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258" w:rsidRPr="00D8668E" w:rsidRDefault="00B41258" w:rsidP="00B41258">
      <w:pPr>
        <w:spacing w:after="0"/>
        <w:rPr>
          <w:rFonts w:asciiTheme="minorHAnsi" w:hAnsiTheme="minorHAnsi" w:cs="Arial"/>
          <w:b/>
          <w:sz w:val="26"/>
          <w:szCs w:val="26"/>
          <w:lang w:val="hu-HU"/>
        </w:rPr>
      </w:pPr>
      <w:r w:rsidRPr="00D8668E">
        <w:rPr>
          <w:rFonts w:asciiTheme="minorHAnsi" w:hAnsiTheme="minorHAnsi" w:cs="Arial"/>
          <w:b/>
          <w:sz w:val="26"/>
          <w:szCs w:val="26"/>
          <w:lang w:val="hu-HU"/>
        </w:rPr>
        <w:t xml:space="preserve">Kik a szegények, mekkora a szegénység, és mi a helyzet a cigányokkal? </w:t>
      </w:r>
    </w:p>
    <w:p w:rsidR="00B41258" w:rsidRPr="00D8668E" w:rsidRDefault="00B41258" w:rsidP="00B41258">
      <w:pPr>
        <w:pStyle w:val="ListParagraph"/>
        <w:spacing w:after="0"/>
        <w:ind w:left="0"/>
        <w:rPr>
          <w:rFonts w:asciiTheme="minorHAnsi" w:eastAsiaTheme="minorHAnsi" w:hAnsiTheme="minorHAnsi" w:cstheme="minorHAnsi"/>
          <w:b/>
          <w:lang w:val="hu-HU"/>
        </w:rPr>
      </w:pPr>
    </w:p>
    <w:p w:rsidR="00B41258" w:rsidRPr="00D8668E" w:rsidRDefault="00B41258" w:rsidP="007E1631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inorHAnsi" w:eastAsiaTheme="minorHAnsi" w:hAnsiTheme="minorHAnsi" w:cstheme="minorHAnsi"/>
          <w:b/>
          <w:lang w:val="hu-HU"/>
        </w:rPr>
      </w:pPr>
      <w:r w:rsidRPr="00D8668E">
        <w:rPr>
          <w:rFonts w:asciiTheme="minorHAnsi" w:eastAsiaTheme="minorHAnsi" w:hAnsiTheme="minorHAnsi" w:cstheme="minorHAnsi"/>
          <w:b/>
          <w:lang w:val="hu-HU"/>
        </w:rPr>
        <w:t xml:space="preserve">A </w:t>
      </w:r>
      <w:hyperlink r:id="rId8" w:history="1">
        <w:r w:rsidRPr="00D8668E">
          <w:rPr>
            <w:rStyle w:val="Hyperlink"/>
            <w:rFonts w:asciiTheme="minorHAnsi" w:eastAsiaTheme="minorHAnsi" w:hAnsiTheme="minorHAnsi" w:cstheme="minorHAnsi"/>
            <w:b/>
            <w:lang w:val="hu-HU"/>
          </w:rPr>
          <w:t>KSH adat</w:t>
        </w:r>
      </w:hyperlink>
      <w:r w:rsidRPr="00D8668E">
        <w:rPr>
          <w:rFonts w:asciiTheme="minorHAnsi" w:eastAsiaTheme="minorHAnsi" w:hAnsiTheme="minorHAnsi" w:cstheme="minorHAnsi"/>
          <w:b/>
          <w:lang w:val="hu-HU"/>
        </w:rPr>
        <w:t xml:space="preserve"> 1,4 millió, de vannak, akik </w:t>
      </w:r>
      <w:hyperlink r:id="rId9" w:history="1">
        <w:r w:rsidRPr="00D8668E">
          <w:rPr>
            <w:rStyle w:val="Hyperlink"/>
            <w:rFonts w:asciiTheme="minorHAnsi" w:eastAsiaTheme="minorHAnsi" w:hAnsiTheme="minorHAnsi" w:cstheme="minorHAnsi"/>
            <w:b/>
            <w:lang w:val="hu-HU"/>
          </w:rPr>
          <w:t>4,8</w:t>
        </w:r>
      </w:hyperlink>
      <w:r w:rsidRPr="00D8668E">
        <w:rPr>
          <w:rFonts w:asciiTheme="minorHAnsi" w:eastAsiaTheme="minorHAnsi" w:hAnsiTheme="minorHAnsi" w:cstheme="minorHAnsi"/>
          <w:b/>
          <w:lang w:val="hu-HU"/>
        </w:rPr>
        <w:t xml:space="preserve"> millió szegényről beszélnek: mindkét szám igaz, csak más a tartalma. 1,4 millió azoknak a száma</w:t>
      </w:r>
      <w:r w:rsidR="00814419" w:rsidRPr="00D8668E">
        <w:rPr>
          <w:rFonts w:asciiTheme="minorHAnsi" w:eastAsiaTheme="minorHAnsi" w:hAnsiTheme="minorHAnsi" w:cstheme="minorHAnsi"/>
          <w:b/>
          <w:lang w:val="hu-HU"/>
        </w:rPr>
        <w:t>,</w:t>
      </w:r>
      <w:r w:rsidRPr="00D8668E">
        <w:rPr>
          <w:rFonts w:asciiTheme="minorHAnsi" w:eastAsiaTheme="minorHAnsi" w:hAnsiTheme="minorHAnsi" w:cstheme="minorHAnsi"/>
          <w:b/>
          <w:lang w:val="hu-HU"/>
        </w:rPr>
        <w:t xml:space="preserve"> akik az átlagos magyar jövedelemszint 60%ánál kevesebből élnek. Közel </w:t>
      </w:r>
      <w:r w:rsidR="00B60532" w:rsidRPr="00D8668E">
        <w:rPr>
          <w:rFonts w:asciiTheme="minorHAnsi" w:eastAsiaTheme="minorHAnsi" w:hAnsiTheme="minorHAnsi" w:cstheme="minorHAnsi"/>
          <w:b/>
          <w:lang w:val="hu-HU"/>
        </w:rPr>
        <w:t>5</w:t>
      </w:r>
      <w:r w:rsidRPr="00D8668E">
        <w:rPr>
          <w:rFonts w:asciiTheme="minorHAnsi" w:eastAsiaTheme="minorHAnsi" w:hAnsiTheme="minorHAnsi" w:cstheme="minorHAnsi"/>
          <w:b/>
          <w:lang w:val="hu-HU"/>
        </w:rPr>
        <w:t xml:space="preserve"> millió pedig azoké, akik nem feltétlenül nélkülöznek, de neccesen, beosztással tudnak csak kijönni jövedelmükből. </w:t>
      </w:r>
    </w:p>
    <w:p w:rsidR="00B41258" w:rsidRPr="00D8668E" w:rsidRDefault="00B41258" w:rsidP="007E1631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inorHAnsi" w:eastAsiaTheme="minorHAnsi" w:hAnsiTheme="minorHAnsi" w:cstheme="minorHAnsi"/>
          <w:b/>
          <w:lang w:val="hu-HU"/>
        </w:rPr>
      </w:pPr>
      <w:r w:rsidRPr="00D8668E">
        <w:rPr>
          <w:rFonts w:asciiTheme="minorHAnsi" w:eastAsiaTheme="minorHAnsi" w:hAnsiTheme="minorHAnsi" w:cstheme="minorHAnsi"/>
          <w:b/>
          <w:lang w:val="hu-HU"/>
        </w:rPr>
        <w:t>A szegénységi mutatók 2005 óta folyamatosan romlanak.</w:t>
      </w:r>
    </w:p>
    <w:p w:rsidR="00B41258" w:rsidRPr="00D8668E" w:rsidRDefault="00B41258" w:rsidP="007E1631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inorHAnsi" w:eastAsiaTheme="minorHAnsi" w:hAnsiTheme="minorHAnsi" w:cstheme="minorHAnsi"/>
          <w:b/>
          <w:lang w:val="hu-HU"/>
        </w:rPr>
      </w:pPr>
      <w:r w:rsidRPr="00D8668E">
        <w:rPr>
          <w:rFonts w:asciiTheme="minorHAnsi" w:eastAsiaTheme="minorHAnsi" w:hAnsiTheme="minorHAnsi" w:cstheme="minorHAnsi"/>
          <w:b/>
          <w:lang w:val="hu-HU"/>
        </w:rPr>
        <w:t>A romák a lakosság 5-7%-át teszik ki. A jövedelmi szegények harmadát.</w:t>
      </w:r>
    </w:p>
    <w:p w:rsidR="00B41258" w:rsidRPr="00D8668E" w:rsidRDefault="00B41258" w:rsidP="007E1631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inorHAnsi" w:eastAsiaTheme="minorHAnsi" w:hAnsiTheme="minorHAnsi" w:cstheme="minorHAnsi"/>
          <w:b/>
          <w:lang w:val="hu-HU"/>
        </w:rPr>
      </w:pPr>
      <w:r w:rsidRPr="00D8668E">
        <w:rPr>
          <w:rFonts w:asciiTheme="minorHAnsi" w:eastAsiaTheme="minorHAnsi" w:hAnsiTheme="minorHAnsi" w:cstheme="minorHAnsi"/>
          <w:b/>
          <w:lang w:val="hu-HU"/>
        </w:rPr>
        <w:t>Ha három, vagy annál több gyermeked van, hatszor valószínűbb, hogy szegény leszel, mint ha egy sincs</w:t>
      </w:r>
      <w:r w:rsidR="00877E23" w:rsidRPr="00D8668E">
        <w:rPr>
          <w:rFonts w:asciiTheme="minorHAnsi" w:eastAsiaTheme="minorHAnsi" w:hAnsiTheme="minorHAnsi" w:cstheme="minorHAnsi"/>
          <w:b/>
          <w:lang w:val="hu-HU"/>
        </w:rPr>
        <w:t>.</w:t>
      </w:r>
    </w:p>
    <w:p w:rsidR="00B41258" w:rsidRPr="00D8668E" w:rsidRDefault="00B41258" w:rsidP="007E1631">
      <w:pPr>
        <w:pStyle w:val="ListParagraph"/>
        <w:numPr>
          <w:ilvl w:val="0"/>
          <w:numId w:val="5"/>
        </w:numPr>
        <w:spacing w:after="0"/>
        <w:ind w:left="284" w:hanging="284"/>
        <w:rPr>
          <w:rFonts w:asciiTheme="minorHAnsi" w:eastAsiaTheme="minorHAnsi" w:hAnsiTheme="minorHAnsi" w:cstheme="minorHAnsi"/>
          <w:b/>
          <w:lang w:val="hu-HU"/>
        </w:rPr>
      </w:pPr>
      <w:r w:rsidRPr="00D8668E">
        <w:rPr>
          <w:rFonts w:asciiTheme="minorHAnsi" w:eastAsiaTheme="minorHAnsi" w:hAnsiTheme="minorHAnsi" w:cstheme="minorHAnsi"/>
          <w:b/>
          <w:lang w:val="hu-HU"/>
        </w:rPr>
        <w:t xml:space="preserve">Ha munkanélküli vagy, legfeljebb általános iskolát végeztél, a gyermeked egyedül neveled, </w:t>
      </w:r>
      <w:r w:rsidRPr="00D8668E">
        <w:rPr>
          <w:rFonts w:asciiTheme="minorHAnsi" w:hAnsiTheme="minorHAnsi" w:cstheme="minorHAnsi"/>
          <w:b/>
          <w:lang w:val="hu-HU"/>
        </w:rPr>
        <w:t xml:space="preserve">vagy ketten ugyan, de több van belőlük, és még roma is vagy, nemigen ment meg semmi a szegénységtől. </w:t>
      </w:r>
    </w:p>
    <w:p w:rsidR="00B41258" w:rsidRPr="00D8668E" w:rsidRDefault="00B41258" w:rsidP="00B41258">
      <w:pPr>
        <w:pStyle w:val="ListParagraph"/>
        <w:spacing w:after="0"/>
        <w:ind w:left="0"/>
        <w:rPr>
          <w:rFonts w:asciiTheme="minorHAnsi" w:eastAsiaTheme="minorHAnsi" w:hAnsiTheme="minorHAnsi" w:cs="Calibri"/>
          <w:lang w:val="hu-HU"/>
        </w:rPr>
      </w:pPr>
    </w:p>
    <w:p w:rsidR="00B41258" w:rsidRPr="00D8668E" w:rsidRDefault="00B41258" w:rsidP="00B412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color w:val="000000"/>
          <w:shd w:val="clear" w:color="auto" w:fill="FFFFFF"/>
          <w:lang w:val="hu-HU"/>
        </w:rPr>
      </w:pPr>
      <w:r w:rsidRPr="00D8668E">
        <w:rPr>
          <w:rFonts w:asciiTheme="minorHAnsi" w:hAnsiTheme="minorHAnsi" w:cstheme="minorHAnsi"/>
          <w:b/>
          <w:color w:val="000000"/>
          <w:shd w:val="clear" w:color="auto" w:fill="FFFFFF"/>
          <w:lang w:val="hu-HU"/>
        </w:rPr>
        <w:t xml:space="preserve">A szegények száma a mércén </w:t>
      </w:r>
      <w:r w:rsidR="005F6AC4">
        <w:rPr>
          <w:rFonts w:asciiTheme="minorHAnsi" w:hAnsiTheme="minorHAnsi" w:cstheme="minorHAnsi"/>
          <w:b/>
          <w:color w:val="000000"/>
          <w:shd w:val="clear" w:color="auto" w:fill="FFFFFF"/>
          <w:lang w:val="hu-HU"/>
        </w:rPr>
        <w:t xml:space="preserve">is </w:t>
      </w:r>
      <w:r w:rsidRPr="00D8668E">
        <w:rPr>
          <w:rFonts w:asciiTheme="minorHAnsi" w:hAnsiTheme="minorHAnsi" w:cstheme="minorHAnsi"/>
          <w:b/>
          <w:color w:val="000000"/>
          <w:shd w:val="clear" w:color="auto" w:fill="FFFFFF"/>
          <w:lang w:val="hu-HU"/>
        </w:rPr>
        <w:t>múlik</w:t>
      </w:r>
    </w:p>
    <w:p w:rsidR="00B41258" w:rsidRPr="00D8668E" w:rsidRDefault="00B41258" w:rsidP="00B412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lang w:val="hu-HU"/>
        </w:rPr>
      </w:pPr>
      <w:r w:rsidRPr="00D8668E">
        <w:rPr>
          <w:rFonts w:asciiTheme="minorHAnsi" w:hAnsiTheme="minorHAnsi"/>
          <w:lang w:val="hu-HU"/>
        </w:rPr>
        <w:t xml:space="preserve">A szegénységet alapvetően két módon: a jövedelmi helyzet vagy életkörülmények alapján mérik. </w:t>
      </w:r>
    </w:p>
    <w:p w:rsidR="00531A1E" w:rsidRPr="00D8668E" w:rsidRDefault="00B41258" w:rsidP="00B412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lang w:val="hu-HU"/>
        </w:rPr>
      </w:pPr>
      <w:r w:rsidRPr="00D8668E">
        <w:rPr>
          <w:rFonts w:asciiTheme="minorHAnsi" w:hAnsiTheme="minorHAnsi"/>
          <w:lang w:val="hu-HU"/>
        </w:rPr>
        <w:t xml:space="preserve">A jövedelmi szegénység leggyakoribb, az unióban is </w:t>
      </w:r>
      <w:hyperlink r:id="rId10" w:history="1">
        <w:r w:rsidRPr="00D8668E">
          <w:rPr>
            <w:rFonts w:asciiTheme="minorHAnsi" w:hAnsiTheme="minorHAnsi"/>
            <w:lang w:val="hu-HU"/>
          </w:rPr>
          <w:t>használt</w:t>
        </w:r>
      </w:hyperlink>
      <w:r w:rsidRPr="00D8668E">
        <w:rPr>
          <w:rFonts w:asciiTheme="minorHAnsi" w:hAnsiTheme="minorHAnsi"/>
          <w:lang w:val="hu-HU"/>
        </w:rPr>
        <w:t xml:space="preserve"> mérőszáma azt mutatja meg, </w:t>
      </w:r>
      <w:proofErr w:type="gramStart"/>
      <w:r w:rsidRPr="00D8668E">
        <w:rPr>
          <w:rFonts w:asciiTheme="minorHAnsi" w:hAnsiTheme="minorHAnsi"/>
          <w:lang w:val="hu-HU"/>
        </w:rPr>
        <w:t>hogy</w:t>
      </w:r>
      <w:proofErr w:type="gramEnd"/>
      <w:r w:rsidRPr="00D8668E">
        <w:rPr>
          <w:rFonts w:asciiTheme="minorHAnsi" w:hAnsiTheme="minorHAnsi"/>
          <w:lang w:val="hu-HU"/>
        </w:rPr>
        <w:t xml:space="preserve"> egy országban hányan élnek kisebb jövedelemből, mint az átlagos (vagy közepes, szakszóval: medián) jövedelem 60%-a. Ezen belül külön kategória a mélyszegénység: ide azokat sorolják, akiknek különösen alacsony (a medián 40%-</w:t>
      </w:r>
      <w:proofErr w:type="gramStart"/>
      <w:r w:rsidRPr="00D8668E">
        <w:rPr>
          <w:rFonts w:asciiTheme="minorHAnsi" w:hAnsiTheme="minorHAnsi"/>
          <w:lang w:val="hu-HU"/>
        </w:rPr>
        <w:t>a</w:t>
      </w:r>
      <w:proofErr w:type="gramEnd"/>
      <w:r w:rsidRPr="00D8668E">
        <w:rPr>
          <w:rFonts w:asciiTheme="minorHAnsi" w:hAnsiTheme="minorHAnsi"/>
          <w:lang w:val="hu-HU"/>
        </w:rPr>
        <w:t xml:space="preserve"> alatti) a jövedelme.</w:t>
      </w:r>
      <w:r w:rsidR="00531A1E" w:rsidRPr="00D8668E">
        <w:rPr>
          <w:rFonts w:asciiTheme="minorHAnsi" w:hAnsiTheme="minorHAnsi"/>
          <w:vertAlign w:val="superscript"/>
        </w:rPr>
        <w:endnoteReference w:id="1"/>
      </w:r>
      <w:r w:rsidR="00531A1E" w:rsidRPr="00D8668E">
        <w:rPr>
          <w:rFonts w:asciiTheme="minorHAnsi" w:hAnsiTheme="minorHAnsi"/>
          <w:lang w:val="hu-HU"/>
        </w:rPr>
        <w:t xml:space="preserve"> Tartósan szegénynek azt tekintik, akinek az egy főre számított jövedelme három egymást követő évben nem éri el az átlagjövedelem 40 vagy 60%-át. </w:t>
      </w:r>
    </w:p>
    <w:p w:rsidR="00FE1813" w:rsidRPr="00D8668E" w:rsidRDefault="00531A1E" w:rsidP="00B412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  <w:shd w:val="clear" w:color="auto" w:fill="FFFFFF"/>
          <w:lang w:val="hu-HU"/>
        </w:rPr>
      </w:pPr>
      <w:r w:rsidRPr="00D8668E">
        <w:rPr>
          <w:rFonts w:asciiTheme="minorHAnsi" w:hAnsiTheme="minorHAnsi"/>
          <w:lang w:val="hu-HU"/>
        </w:rPr>
        <w:t>A nemrég megszüntetésre ítélt</w:t>
      </w:r>
      <w:r w:rsidRPr="00D8668E">
        <w:rPr>
          <w:rStyle w:val="EndnoteReference"/>
          <w:rFonts w:asciiTheme="minorHAnsi" w:hAnsiTheme="minorHAnsi"/>
          <w:lang w:val="hu-HU"/>
        </w:rPr>
        <w:endnoteReference w:id="2"/>
      </w:r>
      <w:r w:rsidRPr="00D8668E">
        <w:rPr>
          <w:rFonts w:asciiTheme="minorHAnsi" w:hAnsiTheme="minorHAnsi"/>
          <w:lang w:val="hu-HU"/>
        </w:rPr>
        <w:t xml:space="preserve"> </w:t>
      </w:r>
      <w:hyperlink r:id="rId11" w:history="1">
        <w:r w:rsidR="00FE1813" w:rsidRPr="00D8668E">
          <w:rPr>
            <w:rStyle w:val="Hyperlink"/>
            <w:rFonts w:asciiTheme="minorHAnsi" w:hAnsiTheme="minorHAnsi"/>
            <w:lang w:val="hu-HU"/>
          </w:rPr>
          <w:t>létminimum</w:t>
        </w:r>
      </w:hyperlink>
      <w:r w:rsidR="00FE1813" w:rsidRPr="00D8668E">
        <w:rPr>
          <w:rFonts w:asciiTheme="minorHAnsi" w:hAnsiTheme="minorHAnsi"/>
          <w:lang w:val="hu-HU"/>
        </w:rPr>
        <w:t xml:space="preserve"> statisztika az </w:t>
      </w:r>
      <w:hyperlink r:id="rId12" w:history="1">
        <w:r w:rsidR="00FE1813" w:rsidRPr="00D8668E">
          <w:rPr>
            <w:rStyle w:val="Hyperlink"/>
            <w:rFonts w:asciiTheme="minorHAnsi" w:hAnsiTheme="minorHAnsi"/>
            <w:lang w:val="hu-HU"/>
          </w:rPr>
          <w:t>OÉTI</w:t>
        </w:r>
      </w:hyperlink>
      <w:r w:rsidR="00FE1813" w:rsidRPr="00D8668E">
        <w:rPr>
          <w:rFonts w:asciiTheme="minorHAnsi" w:hAnsiTheme="minorHAnsi"/>
          <w:lang w:val="hu-HU"/>
        </w:rPr>
        <w:t xml:space="preserve"> által összerakott, az egészséges táplálkozáshoz szükséges </w:t>
      </w:r>
      <w:r w:rsidR="00FE1813" w:rsidRPr="00D8668E">
        <w:rPr>
          <w:rFonts w:asciiTheme="minorHAnsi" w:hAnsiTheme="minorHAnsi"/>
          <w:color w:val="000000"/>
          <w:shd w:val="clear" w:color="auto" w:fill="FFFFFF"/>
          <w:lang w:val="hu-HU"/>
        </w:rPr>
        <w:t xml:space="preserve">élelmiszer-fogyasztás költségéből indul ki: az </w:t>
      </w:r>
      <w:proofErr w:type="spellStart"/>
      <w:r w:rsidR="00FE1813" w:rsidRPr="00D8668E">
        <w:rPr>
          <w:rFonts w:asciiTheme="minorHAnsi" w:hAnsiTheme="minorHAnsi"/>
          <w:color w:val="000000"/>
          <w:shd w:val="clear" w:color="auto" w:fill="FFFFFF"/>
          <w:lang w:val="hu-HU"/>
        </w:rPr>
        <w:t>ekörüli</w:t>
      </w:r>
      <w:proofErr w:type="spellEnd"/>
      <w:r w:rsidR="007C3358" w:rsidRPr="00D8668E">
        <w:rPr>
          <w:rFonts w:asciiTheme="minorHAnsi" w:hAnsiTheme="minorHAnsi"/>
          <w:color w:val="000000"/>
          <w:shd w:val="clear" w:color="auto" w:fill="FFFFFF"/>
          <w:lang w:val="hu-HU"/>
        </w:rPr>
        <w:t xml:space="preserve"> </w:t>
      </w:r>
      <w:r w:rsidR="00FE1813" w:rsidRPr="00D8668E">
        <w:rPr>
          <w:rFonts w:asciiTheme="minorHAnsi" w:hAnsiTheme="minorHAnsi"/>
          <w:color w:val="000000"/>
          <w:shd w:val="clear" w:color="auto" w:fill="FFFFFF"/>
          <w:lang w:val="hu-HU"/>
        </w:rPr>
        <w:t>értékben</w:t>
      </w:r>
      <w:r w:rsidR="007C3358" w:rsidRPr="00D8668E">
        <w:rPr>
          <w:rFonts w:asciiTheme="minorHAnsi" w:hAnsiTheme="minorHAnsi"/>
          <w:color w:val="000000"/>
          <w:shd w:val="clear" w:color="auto" w:fill="FFFFFF"/>
          <w:lang w:val="hu-HU"/>
        </w:rPr>
        <w:t xml:space="preserve"> </w:t>
      </w:r>
      <w:r w:rsidR="00FE1813" w:rsidRPr="00D8668E">
        <w:rPr>
          <w:rFonts w:asciiTheme="minorHAnsi" w:hAnsiTheme="minorHAnsi"/>
          <w:color w:val="000000"/>
          <w:shd w:val="clear" w:color="auto" w:fill="FFFFFF"/>
          <w:lang w:val="hu-HU"/>
        </w:rPr>
        <w:t>élelmiszert</w:t>
      </w:r>
      <w:r w:rsidR="007C3358" w:rsidRPr="00D8668E">
        <w:rPr>
          <w:rStyle w:val="apple-converted-space"/>
          <w:rFonts w:asciiTheme="minorHAnsi" w:hAnsiTheme="minorHAnsi"/>
          <w:color w:val="000000"/>
          <w:shd w:val="clear" w:color="auto" w:fill="FFFFFF"/>
          <w:lang w:val="hu-HU"/>
        </w:rPr>
        <w:t xml:space="preserve"> </w:t>
      </w:r>
      <w:r w:rsidR="00FE1813" w:rsidRPr="00D8668E">
        <w:rPr>
          <w:rFonts w:asciiTheme="minorHAnsi" w:hAnsiTheme="minorHAnsi"/>
          <w:color w:val="000000"/>
          <w:shd w:val="clear" w:color="auto" w:fill="FFFFFF"/>
          <w:lang w:val="hu-HU"/>
        </w:rPr>
        <w:t>fogyasztó háztartások</w:t>
      </w:r>
      <w:r w:rsidR="007C3358" w:rsidRPr="00D8668E">
        <w:rPr>
          <w:rStyle w:val="apple-converted-space"/>
          <w:rFonts w:asciiTheme="minorHAnsi" w:hAnsiTheme="minorHAnsi"/>
          <w:color w:val="000000"/>
          <w:shd w:val="clear" w:color="auto" w:fill="FFFFFF"/>
          <w:lang w:val="hu-HU"/>
        </w:rPr>
        <w:t xml:space="preserve"> </w:t>
      </w:r>
      <w:r w:rsidR="00FE1813" w:rsidRPr="00D8668E">
        <w:rPr>
          <w:rFonts w:asciiTheme="minorHAnsi" w:hAnsiTheme="minorHAnsi"/>
          <w:color w:val="000000"/>
          <w:shd w:val="clear" w:color="auto" w:fill="FFFFFF"/>
          <w:lang w:val="hu-HU"/>
        </w:rPr>
        <w:t>összes</w:t>
      </w:r>
      <w:r w:rsidR="007C3358" w:rsidRPr="00D8668E">
        <w:rPr>
          <w:rFonts w:asciiTheme="minorHAnsi" w:hAnsiTheme="minorHAnsi"/>
          <w:color w:val="000000"/>
          <w:shd w:val="clear" w:color="auto" w:fill="FFFFFF"/>
          <w:lang w:val="hu-HU"/>
        </w:rPr>
        <w:t xml:space="preserve"> </w:t>
      </w:r>
      <w:r w:rsidR="00FE1813" w:rsidRPr="00D8668E">
        <w:rPr>
          <w:rFonts w:asciiTheme="minorHAnsi" w:hAnsiTheme="minorHAnsi"/>
          <w:color w:val="000000"/>
          <w:shd w:val="clear" w:color="auto" w:fill="FFFFFF"/>
          <w:lang w:val="hu-HU"/>
        </w:rPr>
        <w:t>kiadásának havi</w:t>
      </w:r>
      <w:r w:rsidR="007C3358" w:rsidRPr="00D8668E">
        <w:rPr>
          <w:rStyle w:val="apple-converted-space"/>
          <w:rFonts w:asciiTheme="minorHAnsi" w:hAnsiTheme="minorHAnsi"/>
          <w:color w:val="000000"/>
          <w:shd w:val="clear" w:color="auto" w:fill="FFFFFF"/>
          <w:lang w:val="hu-HU"/>
        </w:rPr>
        <w:t xml:space="preserve"> </w:t>
      </w:r>
      <w:r w:rsidR="00FE1813" w:rsidRPr="00D8668E">
        <w:rPr>
          <w:rFonts w:asciiTheme="minorHAnsi" w:hAnsiTheme="minorHAnsi"/>
          <w:color w:val="000000"/>
          <w:shd w:val="clear" w:color="auto" w:fill="FFFFFF"/>
          <w:lang w:val="hu-HU"/>
        </w:rPr>
        <w:t>átlagos</w:t>
      </w:r>
      <w:r w:rsidR="007C3358" w:rsidRPr="00D8668E">
        <w:rPr>
          <w:rFonts w:asciiTheme="minorHAnsi" w:hAnsiTheme="minorHAnsi"/>
          <w:color w:val="000000"/>
          <w:shd w:val="clear" w:color="auto" w:fill="FFFFFF"/>
          <w:lang w:val="hu-HU"/>
        </w:rPr>
        <w:t xml:space="preserve"> értékét tekinti minimumnak. </w:t>
      </w:r>
      <w:r w:rsidR="00FE1813" w:rsidRPr="00D8668E">
        <w:rPr>
          <w:rFonts w:asciiTheme="minorHAnsi" w:hAnsiTheme="minorHAnsi"/>
          <w:color w:val="000000"/>
          <w:shd w:val="clear" w:color="auto" w:fill="FFFFFF"/>
          <w:lang w:val="hu-HU"/>
        </w:rPr>
        <w:t>Bár a „létminimum” elnevezés az életben maradást is veszélyeztető nélkülözésre utal, amit mér, az inkább az átlagos életvitelhez szükséges jövedelem.</w:t>
      </w:r>
    </w:p>
    <w:p w:rsidR="00FE1813" w:rsidRPr="00D8668E" w:rsidRDefault="00FE1813" w:rsidP="00B412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  <w:shd w:val="clear" w:color="auto" w:fill="FFFFFF"/>
          <w:lang w:val="hu-HU"/>
        </w:rPr>
      </w:pPr>
    </w:p>
    <w:p w:rsidR="00FE1813" w:rsidRPr="00D8668E" w:rsidRDefault="00FE1813" w:rsidP="00C911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lang w:val="hu-HU"/>
        </w:rPr>
      </w:pPr>
      <w:r w:rsidRPr="00D8668E">
        <w:rPr>
          <w:rFonts w:asciiTheme="minorHAnsi" w:hAnsiTheme="minorHAnsi"/>
          <w:color w:val="000000"/>
          <w:shd w:val="clear" w:color="auto" w:fill="FFFFFF"/>
          <w:lang w:val="hu-HU"/>
        </w:rPr>
        <w:t>Éppen ezért a létminimum alapján mért szegénység rendszerint jóval nagyobb: 2013-</w:t>
      </w:r>
      <w:r w:rsidR="004E5E1F">
        <w:rPr>
          <w:rFonts w:asciiTheme="minorHAnsi" w:hAnsiTheme="minorHAnsi"/>
          <w:color w:val="000000"/>
          <w:shd w:val="clear" w:color="auto" w:fill="FFFFFF"/>
          <w:lang w:val="hu-HU"/>
        </w:rPr>
        <w:t>b</w:t>
      </w:r>
      <w:r w:rsidRPr="00D8668E">
        <w:rPr>
          <w:rFonts w:asciiTheme="minorHAnsi" w:hAnsiTheme="minorHAnsi"/>
          <w:color w:val="000000"/>
          <w:shd w:val="clear" w:color="auto" w:fill="FFFFFF"/>
          <w:lang w:val="hu-HU"/>
        </w:rPr>
        <w:t>a</w:t>
      </w:r>
      <w:r w:rsidR="004E5E1F">
        <w:rPr>
          <w:rFonts w:asciiTheme="minorHAnsi" w:hAnsiTheme="minorHAnsi"/>
          <w:color w:val="000000"/>
          <w:shd w:val="clear" w:color="auto" w:fill="FFFFFF"/>
          <w:lang w:val="hu-HU"/>
        </w:rPr>
        <w:t>n</w:t>
      </w:r>
      <w:r w:rsidR="00405125">
        <w:rPr>
          <w:rFonts w:asciiTheme="minorHAnsi" w:hAnsiTheme="minorHAnsi"/>
          <w:color w:val="000000"/>
          <w:shd w:val="clear" w:color="auto" w:fill="FFFFFF"/>
          <w:lang w:val="hu-HU"/>
        </w:rPr>
        <w:t xml:space="preserve"> a</w:t>
      </w:r>
      <w:r w:rsidRPr="00D8668E">
        <w:rPr>
          <w:rFonts w:asciiTheme="minorHAnsi" w:hAnsiTheme="minorHAnsi"/>
          <w:lang w:val="hu-HU"/>
        </w:rPr>
        <w:t xml:space="preserve"> mélyszegénységben élők aránya a magyar népesség 4%-át, a jövedelmi szegény</w:t>
      </w:r>
      <w:r w:rsidR="007C3358" w:rsidRPr="00D8668E">
        <w:rPr>
          <w:rFonts w:asciiTheme="minorHAnsi" w:hAnsiTheme="minorHAnsi"/>
          <w:color w:val="000000"/>
          <w:shd w:val="clear" w:color="auto" w:fill="FFFFFF"/>
          <w:lang w:val="hu-HU"/>
        </w:rPr>
        <w:softHyphen/>
      </w:r>
      <w:r w:rsidRPr="00D8668E">
        <w:rPr>
          <w:rFonts w:asciiTheme="minorHAnsi" w:hAnsiTheme="minorHAnsi"/>
          <w:lang w:val="hu-HU"/>
        </w:rPr>
        <w:t>ség pedig</w:t>
      </w:r>
      <w:r w:rsidR="007C3358" w:rsidRPr="00D8668E">
        <w:rPr>
          <w:rFonts w:asciiTheme="minorHAnsi" w:hAnsiTheme="minorHAnsi"/>
          <w:lang w:val="hu-HU"/>
        </w:rPr>
        <w:t xml:space="preserve"> 2013-ban és 2014-ben is</w:t>
      </w:r>
      <w:r w:rsidRPr="00D8668E">
        <w:rPr>
          <w:rFonts w:asciiTheme="minorHAnsi" w:hAnsiTheme="minorHAnsi"/>
          <w:lang w:val="hu-HU"/>
        </w:rPr>
        <w:t xml:space="preserve"> </w:t>
      </w:r>
      <w:r w:rsidR="007C3358" w:rsidRPr="00D8668E">
        <w:rPr>
          <w:rFonts w:asciiTheme="minorHAnsi" w:hAnsiTheme="minorHAnsi"/>
          <w:lang w:val="hu-HU"/>
        </w:rPr>
        <w:t>15</w:t>
      </w:r>
      <w:r w:rsidRPr="00D8668E">
        <w:rPr>
          <w:rFonts w:asciiTheme="minorHAnsi" w:hAnsiTheme="minorHAnsi"/>
          <w:lang w:val="hu-HU"/>
        </w:rPr>
        <w:t>%-át érintette, míg a négyfős háztartásra számított létminimum alatt élők aránya 30-40%-ra volt tehető (a KSH csak a küszöb értékét közli).</w:t>
      </w:r>
      <w:r w:rsidR="007C3358" w:rsidRPr="00D8668E">
        <w:rPr>
          <w:rStyle w:val="EndnoteReference"/>
          <w:rFonts w:asciiTheme="minorHAnsi" w:hAnsiTheme="minorHAnsi"/>
          <w:lang w:val="hu-HU"/>
        </w:rPr>
        <w:endnoteReference w:id="3"/>
      </w:r>
    </w:p>
    <w:p w:rsidR="00FE1813" w:rsidRPr="00D8668E" w:rsidRDefault="00FE1813" w:rsidP="0058570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lang w:val="hu-HU"/>
        </w:rPr>
      </w:pPr>
    </w:p>
    <w:p w:rsidR="00FE1813" w:rsidRPr="00D8668E" w:rsidRDefault="00FE1813" w:rsidP="00B412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lang w:val="hu-HU"/>
        </w:rPr>
      </w:pPr>
      <w:r w:rsidRPr="00D8668E">
        <w:rPr>
          <w:rFonts w:asciiTheme="minorHAnsi" w:hAnsiTheme="minorHAnsi"/>
          <w:lang w:val="hu-HU"/>
        </w:rPr>
        <w:t xml:space="preserve">A szegénység-mércék másik típusa a jövedelem helyett a javakhoz való hozzáférést, vagyis ennek hiányát méri. Az unióban használt </w:t>
      </w:r>
      <w:proofErr w:type="spellStart"/>
      <w:r w:rsidRPr="00D8668E">
        <w:rPr>
          <w:rFonts w:asciiTheme="minorHAnsi" w:hAnsiTheme="minorHAnsi"/>
          <w:lang w:val="hu-HU"/>
        </w:rPr>
        <w:t>deprivációs</w:t>
      </w:r>
      <w:proofErr w:type="spellEnd"/>
      <w:r w:rsidRPr="00D8668E">
        <w:rPr>
          <w:rFonts w:asciiTheme="minorHAnsi" w:hAnsiTheme="minorHAnsi"/>
          <w:lang w:val="hu-HU"/>
        </w:rPr>
        <w:t xml:space="preserve"> mutató kilenc tételt vizsgál, például hogy gondot okoz-e egy váratlan kiadás finanszírozása, vagy van-e a háztartásban automata mosógép. Súlyosan </w:t>
      </w:r>
      <w:proofErr w:type="spellStart"/>
      <w:r w:rsidRPr="00D8668E">
        <w:rPr>
          <w:rFonts w:asciiTheme="minorHAnsi" w:hAnsiTheme="minorHAnsi"/>
          <w:lang w:val="hu-HU"/>
        </w:rPr>
        <w:t>depriváltnak</w:t>
      </w:r>
      <w:proofErr w:type="spellEnd"/>
      <w:r w:rsidRPr="00D8668E">
        <w:rPr>
          <w:rFonts w:asciiTheme="minorHAnsi" w:hAnsiTheme="minorHAnsi"/>
          <w:lang w:val="hu-HU"/>
        </w:rPr>
        <w:t xml:space="preserve"> azt tekintik, aki a kilencből 4 vagy 5 tételben hiányt szenved. A kilenc tétel között azonban több olyan is van (például a gépkocsi vagy a nyaralás), aminek a hiánya még nem jelent súlyos nélkülözést, csak lemaradást a középosztályi átlagtól.</w:t>
      </w:r>
    </w:p>
    <w:p w:rsidR="00FE1813" w:rsidRPr="00D8668E" w:rsidRDefault="00FE1813" w:rsidP="00134763">
      <w:pPr>
        <w:keepNext/>
        <w:shd w:val="clear" w:color="auto" w:fill="FFFFFF" w:themeFill="background1"/>
        <w:autoSpaceDE w:val="0"/>
        <w:autoSpaceDN w:val="0"/>
        <w:adjustRightInd w:val="0"/>
        <w:spacing w:before="120" w:after="0" w:line="240" w:lineRule="auto"/>
        <w:rPr>
          <w:rFonts w:asciiTheme="minorHAnsi" w:hAnsiTheme="minorHAnsi"/>
          <w:sz w:val="20"/>
          <w:szCs w:val="20"/>
          <w:lang w:val="hu-HU"/>
        </w:rPr>
      </w:pPr>
      <w:r w:rsidRPr="00D8668E">
        <w:rPr>
          <w:rFonts w:asciiTheme="minorHAnsi" w:hAnsiTheme="minorHAnsi"/>
          <w:sz w:val="20"/>
          <w:szCs w:val="20"/>
          <w:lang w:val="hu-HU"/>
        </w:rPr>
        <w:lastRenderedPageBreak/>
        <w:t>Az egyes javakban</w:t>
      </w:r>
      <w:r w:rsidR="00E87D64" w:rsidRPr="00D8668E">
        <w:rPr>
          <w:rFonts w:asciiTheme="minorHAnsi" w:hAnsiTheme="minorHAnsi"/>
          <w:sz w:val="20"/>
          <w:szCs w:val="20"/>
          <w:lang w:val="hu-HU"/>
        </w:rPr>
        <w:t xml:space="preserve"> hiányt szenvedők aránya 2014</w:t>
      </w:r>
      <w:r w:rsidRPr="00D8668E">
        <w:rPr>
          <w:rFonts w:asciiTheme="minorHAnsi" w:hAnsiTheme="minorHAnsi"/>
          <w:sz w:val="20"/>
          <w:szCs w:val="20"/>
          <w:lang w:val="hu-HU"/>
        </w:rPr>
        <w:t>-b</w:t>
      </w:r>
      <w:r w:rsidR="00E87D64" w:rsidRPr="00D8668E">
        <w:rPr>
          <w:rFonts w:asciiTheme="minorHAnsi" w:hAnsiTheme="minorHAnsi"/>
          <w:sz w:val="20"/>
          <w:szCs w:val="20"/>
          <w:lang w:val="hu-HU"/>
        </w:rPr>
        <w:t>e</w:t>
      </w:r>
      <w:r w:rsidRPr="00D8668E">
        <w:rPr>
          <w:rFonts w:asciiTheme="minorHAnsi" w:hAnsiTheme="minorHAnsi"/>
          <w:sz w:val="20"/>
          <w:szCs w:val="20"/>
          <w:lang w:val="hu-HU"/>
        </w:rPr>
        <w:t>n (%)</w:t>
      </w:r>
    </w:p>
    <w:p w:rsidR="00FE1813" w:rsidRPr="00D8668E" w:rsidRDefault="00E87D64" w:rsidP="004A479E">
      <w:pPr>
        <w:keepNext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lang w:val="hu-HU"/>
        </w:rPr>
      </w:pPr>
      <w:r w:rsidRPr="00D8668E">
        <w:rPr>
          <w:rFonts w:asciiTheme="minorHAnsi" w:hAnsiTheme="minorHAnsi"/>
          <w:noProof/>
          <w:lang w:val="en-GB" w:eastAsia="en-GB"/>
        </w:rPr>
        <w:drawing>
          <wp:inline distT="0" distB="0" distL="0" distR="0" wp14:anchorId="1D896C2A">
            <wp:extent cx="5023485" cy="23164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485" cy="2316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1813" w:rsidRPr="00D8668E" w:rsidRDefault="00E87D64" w:rsidP="004A479E">
      <w:pPr>
        <w:keepNext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0"/>
          <w:szCs w:val="20"/>
          <w:lang w:val="hu-HU"/>
        </w:rPr>
      </w:pPr>
      <w:r w:rsidRPr="00D8668E">
        <w:rPr>
          <w:rFonts w:asciiTheme="minorHAnsi" w:hAnsiTheme="minorHAnsi"/>
          <w:sz w:val="20"/>
          <w:szCs w:val="20"/>
          <w:lang w:val="hu-HU"/>
        </w:rPr>
        <w:t>Forrás: KSH 2015</w:t>
      </w:r>
    </w:p>
    <w:p w:rsidR="00FE1813" w:rsidRPr="00D8668E" w:rsidRDefault="00FE1813" w:rsidP="00B412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lang w:val="hu-HU"/>
        </w:rPr>
      </w:pPr>
    </w:p>
    <w:p w:rsidR="00FE1813" w:rsidRPr="00D8668E" w:rsidRDefault="00FE1813" w:rsidP="00B41258">
      <w:pPr>
        <w:pStyle w:val="ListParagraph"/>
        <w:spacing w:after="0"/>
        <w:ind w:left="0"/>
        <w:rPr>
          <w:rFonts w:asciiTheme="minorHAnsi" w:hAnsiTheme="minorHAnsi"/>
          <w:lang w:val="hu-HU"/>
        </w:rPr>
      </w:pPr>
      <w:r w:rsidRPr="00D8668E">
        <w:rPr>
          <w:rFonts w:asciiTheme="minorHAnsi" w:hAnsiTheme="minorHAnsi"/>
          <w:lang w:val="hu-HU"/>
        </w:rPr>
        <w:t xml:space="preserve">Mindezek alapján a szegényeknek azt a súlyosan nélkülöző körét, akiknek az alapvető létfeltételek, a fűtés, az étkezés biztosítása is napi gondot jelent, 932 ezer fősre tehetjük. Ők egyszerre relatív jövedelmi szegények és súlyos anyagi </w:t>
      </w:r>
      <w:proofErr w:type="spellStart"/>
      <w:r w:rsidRPr="00D8668E">
        <w:rPr>
          <w:rFonts w:asciiTheme="minorHAnsi" w:hAnsiTheme="minorHAnsi"/>
          <w:lang w:val="hu-HU"/>
        </w:rPr>
        <w:t>deprivációval</w:t>
      </w:r>
      <w:proofErr w:type="spellEnd"/>
      <w:r w:rsidRPr="00D8668E">
        <w:rPr>
          <w:rFonts w:asciiTheme="minorHAnsi" w:hAnsiTheme="minorHAnsi"/>
          <w:lang w:val="hu-HU"/>
        </w:rPr>
        <w:t xml:space="preserve"> sújtottak. </w:t>
      </w:r>
    </w:p>
    <w:p w:rsidR="00FE1813" w:rsidRPr="00D8668E" w:rsidRDefault="00FE1813" w:rsidP="00B41258">
      <w:pPr>
        <w:pStyle w:val="ListParagraph"/>
        <w:spacing w:after="0"/>
        <w:ind w:left="0"/>
        <w:rPr>
          <w:rFonts w:asciiTheme="minorHAnsi" w:hAnsiTheme="minorHAnsi" w:cs="Arial"/>
          <w:b/>
          <w:color w:val="000000"/>
          <w:shd w:val="clear" w:color="auto" w:fill="FFFFFF"/>
          <w:lang w:val="hu-HU"/>
        </w:rPr>
      </w:pPr>
    </w:p>
    <w:p w:rsidR="00FE1813" w:rsidRPr="00D8668E" w:rsidRDefault="00FE1813" w:rsidP="0013476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0"/>
          <w:szCs w:val="20"/>
          <w:lang w:val="hu-HU"/>
        </w:rPr>
      </w:pPr>
      <w:r w:rsidRPr="00D8668E">
        <w:rPr>
          <w:rFonts w:asciiTheme="minorHAnsi" w:hAnsiTheme="minorHAnsi"/>
          <w:sz w:val="20"/>
          <w:szCs w:val="20"/>
          <w:lang w:val="hu-HU"/>
        </w:rPr>
        <w:t xml:space="preserve">A szegények száma Magyarországon 2013-ban </w:t>
      </w:r>
    </w:p>
    <w:tbl>
      <w:tblPr>
        <w:tblW w:w="5976" w:type="dxa"/>
        <w:tblLook w:val="04A0" w:firstRow="1" w:lastRow="0" w:firstColumn="1" w:lastColumn="0" w:noHBand="0" w:noVBand="1"/>
      </w:tblPr>
      <w:tblGrid>
        <w:gridCol w:w="1176"/>
        <w:gridCol w:w="960"/>
        <w:gridCol w:w="960"/>
        <w:gridCol w:w="960"/>
        <w:gridCol w:w="960"/>
        <w:gridCol w:w="960"/>
      </w:tblGrid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0058A0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8668E">
              <w:rPr>
                <w:rFonts w:asciiTheme="minorHAnsi" w:eastAsia="Times New Roman" w:hAnsiTheme="minorHAnsi"/>
                <w:noProof/>
                <w:color w:val="000000"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0</wp:posOffset>
                      </wp:positionV>
                      <wp:extent cx="1958340" cy="1981200"/>
                      <wp:effectExtent l="0" t="0" r="22860" b="19050"/>
                      <wp:wrapNone/>
                      <wp:docPr id="7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58340" cy="1981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alpha val="13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58E9CD" id="Oval 7" o:spid="_x0000_s1026" style="position:absolute;margin-left:37.8pt;margin-top:0;width:154.2pt;height:15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" fillcolor="#2e74b5 [2404]" strokecolor="#1f4d78 [1604]" strokeweight="1pt">
                      <v:fill opacity="8481f"/>
                      <v:stroke joinstyle="miter"/>
                      <v:path arrowok="t"/>
                    </v:oval>
                  </w:pict>
                </mc:Fallback>
              </mc:AlternateContent>
            </w:r>
            <w:r w:rsidRPr="00D8668E">
              <w:rPr>
                <w:rFonts w:asciiTheme="minorHAnsi" w:eastAsia="Times New Roman" w:hAnsiTheme="minorHAnsi"/>
                <w:noProof/>
                <w:color w:val="000000"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1363980</wp:posOffset>
                      </wp:positionH>
                      <wp:positionV relativeFrom="paragraph">
                        <wp:posOffset>198120</wp:posOffset>
                      </wp:positionV>
                      <wp:extent cx="1615440" cy="1562100"/>
                      <wp:effectExtent l="0" t="0" r="22860" b="19050"/>
                      <wp:wrapNone/>
                      <wp:docPr id="4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5440" cy="1562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  <a:alpha val="22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5C0159" id="Oval 3" o:spid="_x0000_s1026" style="position:absolute;margin-left:107.4pt;margin-top:15.6pt;width:127.2pt;height:1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" fillcolor="#a8d08d [1945]" strokecolor="#1f4d78 [1604]" strokeweight="1pt">
                      <v:fill opacity="14392f"/>
                      <v:stroke joinstyle="miter"/>
                      <v:path arrowok="t"/>
                    </v:oval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FE1813" w:rsidRPr="00D8668E" w:rsidTr="00496AD1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E1813" w:rsidRPr="00D8668E" w:rsidRDefault="00FE1813" w:rsidP="00496AD1">
                  <w:pPr>
                    <w:spacing w:after="0" w:line="240" w:lineRule="auto"/>
                    <w:jc w:val="left"/>
                    <w:rPr>
                      <w:rFonts w:asciiTheme="minorHAnsi" w:eastAsia="Times New Roman" w:hAnsiTheme="minorHAnsi"/>
                      <w:color w:val="000000"/>
                      <w:lang w:val="en-GB" w:eastAsia="en-GB"/>
                    </w:rPr>
                  </w:pPr>
                </w:p>
              </w:tc>
            </w:tr>
          </w:tbl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8668E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n-GB" w:eastAsia="en-GB"/>
              </w:rPr>
              <w:t xml:space="preserve">1408 </w:t>
            </w:r>
            <w:proofErr w:type="spellStart"/>
            <w:r w:rsidRPr="00D8668E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n-GB" w:eastAsia="en-GB"/>
              </w:rPr>
              <w:t>ezer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8668E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n-GB" w:eastAsia="en-GB"/>
              </w:rPr>
              <w:t xml:space="preserve">932 </w:t>
            </w:r>
            <w:proofErr w:type="spellStart"/>
            <w:r w:rsidRPr="00D8668E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n-GB" w:eastAsia="en-GB"/>
              </w:rPr>
              <w:t>ezer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  <w:r w:rsidRPr="00D8668E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n-GB" w:eastAsia="en-GB"/>
              </w:rPr>
              <w:t xml:space="preserve">499 </w:t>
            </w:r>
            <w:proofErr w:type="spellStart"/>
            <w:r w:rsidRPr="00D8668E">
              <w:rPr>
                <w:rFonts w:asciiTheme="minorHAnsi" w:eastAsia="Times New Roman" w:hAnsiTheme="minorHAnsi"/>
                <w:color w:val="000000"/>
                <w:sz w:val="22"/>
                <w:szCs w:val="22"/>
                <w:lang w:val="en-GB" w:eastAsia="en-GB"/>
              </w:rPr>
              <w:t>ezer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color w:val="00000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  <w:tr w:rsidR="00FE1813" w:rsidRPr="00D8668E" w:rsidTr="00496AD1">
        <w:trPr>
          <w:trHeight w:val="288"/>
        </w:trPr>
        <w:tc>
          <w:tcPr>
            <w:tcW w:w="3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  <w:proofErr w:type="spellStart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>Súlyos</w:t>
            </w:r>
            <w:proofErr w:type="spellEnd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>anyagi</w:t>
            </w:r>
            <w:proofErr w:type="spellEnd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>depriváció</w:t>
            </w:r>
            <w:proofErr w:type="spellEnd"/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  <w:proofErr w:type="spellStart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>Relatív</w:t>
            </w:r>
            <w:proofErr w:type="spellEnd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>jövedelmi</w:t>
            </w:r>
            <w:proofErr w:type="spellEnd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8668E"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  <w:t>szegénység</w:t>
            </w:r>
            <w:proofErr w:type="spellEnd"/>
          </w:p>
        </w:tc>
      </w:tr>
      <w:tr w:rsidR="00FE1813" w:rsidRPr="00D8668E" w:rsidTr="00496AD1">
        <w:trPr>
          <w:trHeight w:val="288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1813" w:rsidRPr="00D8668E" w:rsidRDefault="00FE1813" w:rsidP="00496AD1">
            <w:pPr>
              <w:spacing w:after="0" w:line="240" w:lineRule="auto"/>
              <w:jc w:val="left"/>
              <w:rPr>
                <w:rFonts w:asciiTheme="minorHAnsi" w:eastAsia="Times New Roman" w:hAnsiTheme="minorHAnsi"/>
                <w:sz w:val="20"/>
                <w:szCs w:val="20"/>
                <w:lang w:val="en-GB" w:eastAsia="en-GB"/>
              </w:rPr>
            </w:pPr>
          </w:p>
        </w:tc>
      </w:tr>
    </w:tbl>
    <w:p w:rsidR="00FE1813" w:rsidRPr="00D8668E" w:rsidRDefault="00FE1813" w:rsidP="00134763">
      <w:pPr>
        <w:spacing w:after="0"/>
        <w:rPr>
          <w:rStyle w:val="FootnoteCharacters"/>
          <w:rFonts w:asciiTheme="minorHAnsi" w:hAnsiTheme="minorHAnsi" w:cs="Arial"/>
          <w:lang w:val="hu-HU"/>
        </w:rPr>
      </w:pPr>
      <w:r w:rsidRPr="00D8668E">
        <w:rPr>
          <w:rStyle w:val="FootnoteCharacters"/>
          <w:rFonts w:asciiTheme="minorHAnsi" w:hAnsiTheme="minorHAnsi" w:cs="Arial"/>
          <w:lang w:val="hu-HU"/>
        </w:rPr>
        <w:t>Forrás: KSH 2014</w:t>
      </w:r>
    </w:p>
    <w:p w:rsidR="00FE1813" w:rsidRPr="00D8668E" w:rsidRDefault="00FE1813" w:rsidP="00B41258">
      <w:pPr>
        <w:pStyle w:val="ListParagraph"/>
        <w:spacing w:after="0"/>
        <w:ind w:left="0"/>
        <w:rPr>
          <w:rFonts w:asciiTheme="minorHAnsi" w:hAnsiTheme="minorHAnsi" w:cs="Arial"/>
          <w:b/>
          <w:color w:val="000000"/>
          <w:shd w:val="clear" w:color="auto" w:fill="FFFFFF"/>
          <w:lang w:val="hu-HU"/>
        </w:rPr>
      </w:pPr>
    </w:p>
    <w:p w:rsidR="00FE1813" w:rsidRPr="00D8668E" w:rsidRDefault="00FE1813" w:rsidP="00B41258">
      <w:pPr>
        <w:pStyle w:val="ListParagraph"/>
        <w:spacing w:after="0"/>
        <w:ind w:left="0"/>
        <w:rPr>
          <w:rFonts w:asciiTheme="minorHAnsi" w:hAnsiTheme="minorHAnsi" w:cs="Arial"/>
          <w:b/>
          <w:color w:val="000000"/>
          <w:shd w:val="clear" w:color="auto" w:fill="FFFFFF"/>
          <w:lang w:val="hu-HU"/>
        </w:rPr>
      </w:pPr>
      <w:r w:rsidRPr="00D8668E">
        <w:rPr>
          <w:rFonts w:asciiTheme="minorHAnsi" w:hAnsiTheme="minorHAnsi" w:cs="Arial"/>
          <w:b/>
          <w:color w:val="000000"/>
          <w:shd w:val="clear" w:color="auto" w:fill="FFFFFF"/>
          <w:lang w:val="hu-HU"/>
        </w:rPr>
        <w:t>A jövedelmi szegénység 2005 óta növekvő tendenciát mutat</w:t>
      </w:r>
    </w:p>
    <w:p w:rsidR="00FE1813" w:rsidRPr="00D8668E" w:rsidRDefault="00FE1813" w:rsidP="00B41258">
      <w:pPr>
        <w:pStyle w:val="ListParagraph"/>
        <w:spacing w:after="0"/>
        <w:ind w:left="0"/>
        <w:rPr>
          <w:rFonts w:asciiTheme="minorHAnsi" w:hAnsiTheme="minorHAnsi" w:cs="Arial"/>
          <w:color w:val="000000"/>
          <w:shd w:val="clear" w:color="auto" w:fill="FFFFFF"/>
          <w:lang w:val="hu-HU"/>
        </w:rPr>
      </w:pPr>
      <w:r w:rsidRPr="00D8668E">
        <w:rPr>
          <w:rFonts w:asciiTheme="minorHAnsi" w:hAnsiTheme="minorHAnsi" w:cs="Arial"/>
          <w:lang w:val="hu-HU"/>
        </w:rPr>
        <w:t xml:space="preserve">A rendszerváltás óta nem volt ennyi szegény az országban, mint ma.   </w:t>
      </w:r>
      <w:r w:rsidRPr="00D8668E">
        <w:rPr>
          <w:rFonts w:asciiTheme="minorHAnsi" w:hAnsiTheme="minorHAnsi" w:cs="Arial"/>
          <w:color w:val="000000"/>
          <w:shd w:val="clear" w:color="auto" w:fill="FFFFFF"/>
          <w:lang w:val="hu-HU"/>
        </w:rPr>
        <w:t>A TÁRKI adatai szerint az utóbbi tíz évben gyorsuló ütemben nőtt a szegénység.</w:t>
      </w:r>
    </w:p>
    <w:p w:rsidR="00FE1813" w:rsidRPr="00D8668E" w:rsidRDefault="00FE1813" w:rsidP="00B4125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lang w:val="hu-HU"/>
        </w:rPr>
      </w:pPr>
    </w:p>
    <w:p w:rsidR="00FE1813" w:rsidRPr="00D8668E" w:rsidRDefault="00FE1813" w:rsidP="004A479E">
      <w:pPr>
        <w:keepNext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sz w:val="20"/>
          <w:szCs w:val="20"/>
          <w:lang w:val="hu-HU"/>
        </w:rPr>
      </w:pPr>
      <w:r w:rsidRPr="00D8668E">
        <w:rPr>
          <w:rFonts w:asciiTheme="minorHAnsi" w:eastAsiaTheme="minorHAnsi" w:hAnsiTheme="minorHAnsi" w:cs="Arial"/>
          <w:sz w:val="20"/>
          <w:szCs w:val="20"/>
          <w:lang w:val="hu-HU"/>
        </w:rPr>
        <w:lastRenderedPageBreak/>
        <w:t>A jövedelemszegények aránya Magyarországon 1996-2014 között (%)</w:t>
      </w:r>
    </w:p>
    <w:p w:rsidR="00FE1813" w:rsidRPr="00D8668E" w:rsidRDefault="00FE1813" w:rsidP="004A479E">
      <w:pPr>
        <w:keepNext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rial"/>
          <w:lang w:val="hu-HU"/>
        </w:rPr>
      </w:pPr>
      <w:r w:rsidRPr="00D8668E">
        <w:rPr>
          <w:rFonts w:asciiTheme="minorHAnsi" w:eastAsiaTheme="minorHAnsi" w:hAnsiTheme="minorHAnsi" w:cs="Arial"/>
          <w:noProof/>
          <w:lang w:val="en-GB" w:eastAsia="en-GB"/>
        </w:rPr>
        <w:drawing>
          <wp:inline distT="0" distB="0" distL="0" distR="0" wp14:anchorId="5015475A" wp14:editId="5B5F3816">
            <wp:extent cx="4259580" cy="2560468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878" cy="25618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1813" w:rsidRPr="00D8668E" w:rsidRDefault="00FE1813" w:rsidP="004A479E">
      <w:pPr>
        <w:keepNext/>
        <w:spacing w:after="0"/>
        <w:rPr>
          <w:rFonts w:asciiTheme="minorHAnsi" w:hAnsiTheme="minorHAnsi" w:cs="Arial"/>
          <w:sz w:val="20"/>
          <w:szCs w:val="20"/>
          <w:lang w:val="hu-HU"/>
        </w:rPr>
      </w:pPr>
      <w:r w:rsidRPr="00D8668E">
        <w:rPr>
          <w:rFonts w:asciiTheme="minorHAnsi" w:hAnsiTheme="minorHAnsi" w:cs="Arial"/>
          <w:sz w:val="20"/>
          <w:szCs w:val="20"/>
          <w:lang w:val="hu-HU"/>
        </w:rPr>
        <w:t>Forrás: Magyar Háztartás Panel és TÁRKI Monitor kutatások 1996-2014 (szaggatott vonal jelzi ahol nem két év telt el a két mérés között).</w:t>
      </w:r>
    </w:p>
    <w:p w:rsidR="00FE1813" w:rsidRPr="00D8668E" w:rsidRDefault="00FE1813" w:rsidP="00B41258">
      <w:pPr>
        <w:pStyle w:val="ListParagraph"/>
        <w:spacing w:after="0"/>
        <w:ind w:left="0"/>
        <w:rPr>
          <w:rFonts w:asciiTheme="minorHAnsi" w:hAnsiTheme="minorHAnsi" w:cs="Arial"/>
          <w:b/>
          <w:color w:val="000000"/>
          <w:shd w:val="clear" w:color="auto" w:fill="FFFFFF"/>
          <w:lang w:val="hu-HU"/>
        </w:rPr>
      </w:pPr>
    </w:p>
    <w:p w:rsidR="00FE1813" w:rsidRPr="00D8668E" w:rsidRDefault="00FE1813" w:rsidP="00B41258">
      <w:pPr>
        <w:pStyle w:val="ListParagraph"/>
        <w:spacing w:after="0"/>
        <w:ind w:left="0"/>
        <w:rPr>
          <w:rFonts w:asciiTheme="minorHAnsi" w:hAnsiTheme="minorHAnsi" w:cs="Arial"/>
          <w:b/>
          <w:color w:val="000000"/>
          <w:shd w:val="clear" w:color="auto" w:fill="FFFFFF"/>
          <w:lang w:val="hu-HU"/>
        </w:rPr>
      </w:pPr>
      <w:r w:rsidRPr="00D8668E">
        <w:rPr>
          <w:rFonts w:asciiTheme="minorHAnsi" w:hAnsiTheme="minorHAnsi" w:cs="Arial"/>
          <w:b/>
          <w:color w:val="000000"/>
          <w:shd w:val="clear" w:color="auto" w:fill="FFFFFF"/>
          <w:lang w:val="hu-HU"/>
        </w:rPr>
        <w:t>Kik a szegények?</w:t>
      </w:r>
    </w:p>
    <w:p w:rsidR="00531A1E" w:rsidRPr="00D8668E" w:rsidRDefault="00FE1813" w:rsidP="00B41258">
      <w:pPr>
        <w:pStyle w:val="ListParagraph"/>
        <w:spacing w:after="0"/>
        <w:ind w:left="0"/>
        <w:rPr>
          <w:rFonts w:asciiTheme="minorHAnsi" w:hAnsiTheme="minorHAnsi"/>
          <w:lang w:val="hu-HU"/>
        </w:rPr>
      </w:pPr>
      <w:r w:rsidRPr="00D8668E">
        <w:rPr>
          <w:rFonts w:asciiTheme="minorHAnsi" w:hAnsiTheme="minorHAnsi"/>
          <w:lang w:val="hu-HU"/>
        </w:rPr>
        <w:t xml:space="preserve">Elég kézenfekvő, hogy a háztartásfő </w:t>
      </w:r>
      <w:r w:rsidRPr="00D8668E">
        <w:rPr>
          <w:rFonts w:asciiTheme="minorHAnsi" w:hAnsiTheme="minorHAnsi"/>
          <w:b/>
          <w:lang w:val="hu-HU"/>
        </w:rPr>
        <w:t>iskolai végzettsége</w:t>
      </w:r>
      <w:r w:rsidRPr="00D8668E">
        <w:rPr>
          <w:rFonts w:asciiTheme="minorHAnsi" w:hAnsiTheme="minorHAnsi"/>
          <w:lang w:val="hu-HU"/>
        </w:rPr>
        <w:t xml:space="preserve"> nagyban meghatározza a szegénység kockázatát: az általános iskolát sem végzette</w:t>
      </w:r>
      <w:bookmarkStart w:id="0" w:name="_GoBack"/>
      <w:bookmarkEnd w:id="0"/>
      <w:r w:rsidRPr="00D8668E">
        <w:rPr>
          <w:rFonts w:asciiTheme="minorHAnsi" w:hAnsiTheme="minorHAnsi"/>
          <w:lang w:val="hu-HU"/>
        </w:rPr>
        <w:t xml:space="preserve">k családtagjai közül minden negyedik szegény, míg a nyolc általánost végzettek esetében ez az arány 16%. Ugyanígy erős a kapcsolat a háztartásfő </w:t>
      </w:r>
      <w:r w:rsidRPr="00D8668E">
        <w:rPr>
          <w:rFonts w:asciiTheme="minorHAnsi" w:hAnsiTheme="minorHAnsi"/>
          <w:b/>
          <w:lang w:val="hu-HU"/>
        </w:rPr>
        <w:t>munkaerő-piaci státuszával</w:t>
      </w:r>
      <w:r w:rsidRPr="00D8668E">
        <w:rPr>
          <w:rFonts w:asciiTheme="minorHAnsi" w:hAnsiTheme="minorHAnsi"/>
          <w:lang w:val="hu-HU"/>
        </w:rPr>
        <w:t>. Az átlagosnál majdnem négyszer magasabb a szegények aránya a munkanélküli háztartásfők családtagjai körében.</w:t>
      </w:r>
      <w:r w:rsidR="00531A1E" w:rsidRPr="00D8668E">
        <w:rPr>
          <w:rStyle w:val="EndnoteReference"/>
          <w:rFonts w:asciiTheme="minorHAnsi" w:hAnsiTheme="minorHAnsi"/>
          <w:lang w:val="hu-HU"/>
        </w:rPr>
        <w:endnoteReference w:id="4"/>
      </w:r>
    </w:p>
    <w:p w:rsidR="00531A1E" w:rsidRPr="00D8668E" w:rsidRDefault="00531A1E" w:rsidP="00B41258">
      <w:pPr>
        <w:pStyle w:val="ListParagraph"/>
        <w:spacing w:after="0"/>
        <w:ind w:left="0"/>
        <w:rPr>
          <w:rFonts w:asciiTheme="minorHAnsi" w:hAnsiTheme="minorHAnsi"/>
          <w:lang w:val="hu-HU"/>
        </w:rPr>
      </w:pPr>
      <w:r w:rsidRPr="00D8668E">
        <w:rPr>
          <w:rFonts w:asciiTheme="minorHAnsi" w:hAnsiTheme="minorHAnsi"/>
          <w:lang w:val="hu-HU"/>
        </w:rPr>
        <w:t xml:space="preserve">A szegénység több, mint tízszer kiterjedtebb a községekben (19,3%), mint a fővárosban (1,4%). Ugyanakkor rossz hírünk azoknak, akik azt gondolják: a szegények a segélyért szülik a gyerekeket, hogy minél több </w:t>
      </w:r>
      <w:r w:rsidRPr="00D8668E">
        <w:rPr>
          <w:rFonts w:asciiTheme="minorHAnsi" w:hAnsiTheme="minorHAnsi"/>
          <w:b/>
          <w:lang w:val="hu-HU"/>
        </w:rPr>
        <w:t xml:space="preserve">gyermek </w:t>
      </w:r>
      <w:r w:rsidRPr="00D8668E">
        <w:rPr>
          <w:rFonts w:asciiTheme="minorHAnsi" w:hAnsiTheme="minorHAnsi"/>
          <w:lang w:val="hu-HU"/>
        </w:rPr>
        <w:t>van egy háztartásban, annak tagjai annál nagyobb valószínűséggel szegények.</w:t>
      </w:r>
      <w:r w:rsidRPr="00D8668E">
        <w:rPr>
          <w:rStyle w:val="EndnoteReference"/>
          <w:rFonts w:asciiTheme="minorHAnsi" w:hAnsiTheme="minorHAnsi"/>
          <w:lang w:val="hu-HU"/>
        </w:rPr>
        <w:endnoteReference w:id="5"/>
      </w:r>
      <w:r w:rsidRPr="00D8668E">
        <w:rPr>
          <w:rFonts w:asciiTheme="minorHAnsi" w:hAnsiTheme="minorHAnsi"/>
          <w:lang w:val="hu-HU"/>
        </w:rPr>
        <w:t xml:space="preserve"> Míg az egy gyerm</w:t>
      </w:r>
      <w:r w:rsidR="00157CD0">
        <w:rPr>
          <w:rFonts w:asciiTheme="minorHAnsi" w:hAnsiTheme="minorHAnsi"/>
          <w:lang w:val="hu-HU"/>
        </w:rPr>
        <w:t xml:space="preserve">ekes háztartások közül minden </w:t>
      </w:r>
      <w:proofErr w:type="spellStart"/>
      <w:r w:rsidR="00157CD0">
        <w:rPr>
          <w:rFonts w:asciiTheme="minorHAnsi" w:hAnsiTheme="minorHAnsi"/>
          <w:lang w:val="hu-HU"/>
        </w:rPr>
        <w:t>ti</w:t>
      </w:r>
      <w:r w:rsidRPr="00D8668E">
        <w:rPr>
          <w:rFonts w:asciiTheme="minorHAnsi" w:hAnsiTheme="minorHAnsi"/>
          <w:lang w:val="hu-HU"/>
        </w:rPr>
        <w:t>zedik</w:t>
      </w:r>
      <w:proofErr w:type="spellEnd"/>
      <w:r w:rsidRPr="00D8668E">
        <w:rPr>
          <w:rFonts w:asciiTheme="minorHAnsi" w:hAnsiTheme="minorHAnsi"/>
          <w:lang w:val="hu-HU"/>
        </w:rPr>
        <w:t xml:space="preserve">, a három- és többgyermekes háztartások közül majd’ minden negyedik szegény (23%). </w:t>
      </w:r>
    </w:p>
    <w:p w:rsidR="00531A1E" w:rsidRPr="00D8668E" w:rsidRDefault="005F6AC4" w:rsidP="00B41258">
      <w:pPr>
        <w:spacing w:after="0"/>
        <w:rPr>
          <w:rFonts w:asciiTheme="minorHAnsi" w:hAnsiTheme="minorHAnsi" w:cs="Arial"/>
          <w:lang w:val="hu-HU"/>
        </w:rPr>
      </w:pPr>
      <w:r>
        <w:rPr>
          <w:rFonts w:asciiTheme="minorHAnsi" w:hAnsiTheme="minorHAnsi" w:cs="Arial"/>
          <w:lang w:val="hu-HU"/>
        </w:rPr>
        <w:t xml:space="preserve">A mélyszegénység </w:t>
      </w:r>
      <w:r>
        <w:rPr>
          <w:rFonts w:ascii="Arial" w:hAnsi="Arial" w:cs="Arial"/>
          <w:lang w:val="hu-HU"/>
        </w:rPr>
        <w:t>─</w:t>
      </w:r>
      <w:r w:rsidR="00531A1E" w:rsidRPr="00D8668E">
        <w:rPr>
          <w:rFonts w:asciiTheme="minorHAnsi" w:hAnsiTheme="minorHAnsi" w:cs="Arial"/>
          <w:lang w:val="hu-HU"/>
        </w:rPr>
        <w:t xml:space="preserve"> a közhiedelemmel ellentétben </w:t>
      </w:r>
      <w:r>
        <w:rPr>
          <w:rFonts w:ascii="Arial" w:hAnsi="Arial" w:cs="Arial"/>
          <w:lang w:val="hu-HU"/>
        </w:rPr>
        <w:t>─</w:t>
      </w:r>
      <w:r w:rsidR="00531A1E" w:rsidRPr="00D8668E">
        <w:rPr>
          <w:rFonts w:asciiTheme="minorHAnsi" w:hAnsiTheme="minorHAnsi" w:cs="Arial"/>
          <w:lang w:val="hu-HU"/>
        </w:rPr>
        <w:t xml:space="preserve"> távolról sem kizárólag </w:t>
      </w:r>
      <w:r w:rsidR="00531A1E" w:rsidRPr="00D8668E">
        <w:rPr>
          <w:rFonts w:asciiTheme="minorHAnsi" w:hAnsiTheme="minorHAnsi" w:cs="Arial"/>
          <w:b/>
          <w:lang w:val="hu-HU"/>
        </w:rPr>
        <w:t>a romák</w:t>
      </w:r>
      <w:r w:rsidR="00531A1E" w:rsidRPr="00D8668E">
        <w:rPr>
          <w:rFonts w:asciiTheme="minorHAnsi" w:hAnsiTheme="minorHAnsi" w:cs="Arial"/>
          <w:lang w:val="hu-HU"/>
        </w:rPr>
        <w:t xml:space="preserve"> problémája. (Az is igaz, hogy a romák körében a szegénység jóval kiterjedtebb, mint a nem-romák körében. A jövedelmi szegénység</w:t>
      </w:r>
      <w:r w:rsidR="00531A1E" w:rsidRPr="00D8668E">
        <w:rPr>
          <w:rStyle w:val="EndnoteReference"/>
          <w:rFonts w:asciiTheme="minorHAnsi" w:hAnsiTheme="minorHAnsi" w:cs="Arial"/>
          <w:lang w:val="hu-HU"/>
        </w:rPr>
        <w:endnoteReference w:id="6"/>
      </w:r>
      <w:r w:rsidR="00531A1E" w:rsidRPr="00D8668E">
        <w:rPr>
          <w:rFonts w:asciiTheme="minorHAnsi" w:hAnsiTheme="minorHAnsi" w:cs="Arial"/>
          <w:lang w:val="hu-HU"/>
        </w:rPr>
        <w:t xml:space="preserve"> 2009-ben a romák körében 68% volt, durván ötszöröse a nem-romák körében mértnek (9%). </w:t>
      </w:r>
    </w:p>
    <w:p w:rsidR="003F0D19" w:rsidRPr="00D8668E" w:rsidRDefault="00531A1E" w:rsidP="004A479E">
      <w:pPr>
        <w:spacing w:after="0"/>
        <w:rPr>
          <w:rFonts w:asciiTheme="minorHAnsi" w:hAnsiTheme="minorHAnsi" w:cs="Arial"/>
          <w:lang w:val="hu-HU"/>
        </w:rPr>
      </w:pPr>
      <w:r w:rsidRPr="00D8668E">
        <w:rPr>
          <w:rFonts w:asciiTheme="minorHAnsi" w:hAnsiTheme="minorHAnsi" w:cs="Arial"/>
          <w:lang w:val="hu-HU"/>
        </w:rPr>
        <w:t>A tartós mélyszegénység kockázata a kisebb településeken és a rosszabb helyzetű megyékben magasabb: e csoport fele két leszakadó megyében (Borsod-Abaúj-Zemplén és Szabolcs-Szatmár-Bereg), illetve kétezer lelkesnél kisebb falvakban él.</w:t>
      </w:r>
      <w:r w:rsidRPr="00D8668E">
        <w:rPr>
          <w:rStyle w:val="EndnoteReference"/>
          <w:rFonts w:asciiTheme="minorHAnsi" w:hAnsiTheme="minorHAnsi" w:cs="Arial"/>
          <w:lang w:val="hu-HU"/>
        </w:rPr>
        <w:endnoteReference w:id="7"/>
      </w:r>
      <w:r w:rsidRPr="00D8668E">
        <w:rPr>
          <w:rFonts w:asciiTheme="minorHAnsi" w:hAnsiTheme="minorHAnsi" w:cs="Arial"/>
          <w:lang w:val="hu-HU"/>
        </w:rPr>
        <w:t xml:space="preserve"> </w:t>
      </w:r>
    </w:p>
    <w:sectPr w:rsidR="003F0D19" w:rsidRPr="00D8668E" w:rsidSect="004A479E"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008" w:rsidRDefault="00303008" w:rsidP="00B41258">
      <w:pPr>
        <w:spacing w:after="0" w:line="240" w:lineRule="auto"/>
      </w:pPr>
      <w:r>
        <w:separator/>
      </w:r>
    </w:p>
  </w:endnote>
  <w:endnote w:type="continuationSeparator" w:id="0">
    <w:p w:rsidR="00303008" w:rsidRDefault="00303008" w:rsidP="00B41258">
      <w:pPr>
        <w:spacing w:after="0" w:line="240" w:lineRule="auto"/>
      </w:pPr>
      <w:r>
        <w:continuationSeparator/>
      </w:r>
    </w:p>
  </w:endnote>
  <w:endnote w:id="1">
    <w:p w:rsidR="00531A1E" w:rsidRPr="00D8668E" w:rsidRDefault="00531A1E" w:rsidP="00FE1813">
      <w:pPr>
        <w:pStyle w:val="EndnoteText"/>
        <w:rPr>
          <w:rFonts w:asciiTheme="minorHAnsi" w:hAnsiTheme="minorHAnsi"/>
          <w:lang w:val="hu-HU"/>
        </w:rPr>
      </w:pPr>
      <w:r w:rsidRPr="00D8668E">
        <w:rPr>
          <w:rStyle w:val="EndnoteReference"/>
          <w:rFonts w:asciiTheme="minorHAnsi" w:hAnsiTheme="minorHAnsi"/>
        </w:rPr>
        <w:endnoteRef/>
      </w:r>
      <w:r w:rsidRPr="00D8668E">
        <w:rPr>
          <w:rFonts w:asciiTheme="minorHAnsi" w:hAnsiTheme="minorHAnsi"/>
          <w:lang w:val="hu-HU"/>
        </w:rPr>
        <w:t xml:space="preserve"> </w:t>
      </w:r>
      <w:proofErr w:type="spellStart"/>
      <w:r w:rsidRPr="00D8668E">
        <w:rPr>
          <w:rFonts w:asciiTheme="minorHAnsi" w:hAnsiTheme="minorHAnsi"/>
          <w:lang w:val="hu-HU"/>
        </w:rPr>
        <w:t>Aldi</w:t>
      </w:r>
      <w:proofErr w:type="spellEnd"/>
      <w:r w:rsidRPr="00D8668E">
        <w:rPr>
          <w:rFonts w:asciiTheme="minorHAnsi" w:hAnsiTheme="minorHAnsi"/>
          <w:lang w:val="hu-HU"/>
        </w:rPr>
        <w:t xml:space="preserve"> J. M. </w:t>
      </w:r>
      <w:proofErr w:type="spellStart"/>
      <w:r w:rsidRPr="00D8668E">
        <w:rPr>
          <w:rFonts w:asciiTheme="minorHAnsi" w:hAnsiTheme="minorHAnsi"/>
          <w:lang w:val="hu-HU"/>
        </w:rPr>
        <w:t>Hagenaars-Bernard</w:t>
      </w:r>
      <w:proofErr w:type="spellEnd"/>
      <w:r w:rsidRPr="00D8668E">
        <w:rPr>
          <w:rFonts w:asciiTheme="minorHAnsi" w:hAnsiTheme="minorHAnsi"/>
          <w:lang w:val="hu-HU"/>
        </w:rPr>
        <w:t xml:space="preserve"> M. S. </w:t>
      </w:r>
      <w:proofErr w:type="gramStart"/>
      <w:r w:rsidRPr="00D8668E">
        <w:rPr>
          <w:rFonts w:asciiTheme="minorHAnsi" w:hAnsiTheme="minorHAnsi"/>
          <w:lang w:val="hu-HU"/>
        </w:rPr>
        <w:t>van</w:t>
      </w:r>
      <w:proofErr w:type="gramEnd"/>
      <w:r w:rsidRPr="00D8668E">
        <w:rPr>
          <w:rFonts w:asciiTheme="minorHAnsi" w:hAnsiTheme="minorHAnsi"/>
          <w:lang w:val="hu-HU"/>
        </w:rPr>
        <w:t xml:space="preserve"> </w:t>
      </w:r>
      <w:proofErr w:type="spellStart"/>
      <w:r w:rsidRPr="00D8668E">
        <w:rPr>
          <w:rFonts w:asciiTheme="minorHAnsi" w:hAnsiTheme="minorHAnsi"/>
          <w:lang w:val="hu-HU"/>
        </w:rPr>
        <w:t>Praag</w:t>
      </w:r>
      <w:proofErr w:type="spellEnd"/>
      <w:r w:rsidRPr="00D8668E">
        <w:rPr>
          <w:rFonts w:asciiTheme="minorHAnsi" w:hAnsiTheme="minorHAnsi"/>
          <w:lang w:val="hu-HU"/>
        </w:rPr>
        <w:t>:</w:t>
      </w:r>
      <w:r w:rsidRPr="00D8668E">
        <w:rPr>
          <w:rFonts w:asciiTheme="minorHAnsi" w:hAnsiTheme="minorHAnsi"/>
        </w:rPr>
        <w:t xml:space="preserve"> </w:t>
      </w:r>
      <w:r w:rsidRPr="00D8668E">
        <w:rPr>
          <w:rFonts w:asciiTheme="minorHAnsi" w:hAnsiTheme="minorHAnsi"/>
          <w:lang w:val="hu-HU"/>
        </w:rPr>
        <w:t xml:space="preserve">A </w:t>
      </w:r>
      <w:proofErr w:type="spellStart"/>
      <w:r w:rsidRPr="00D8668E">
        <w:rPr>
          <w:rFonts w:asciiTheme="minorHAnsi" w:hAnsiTheme="minorHAnsi"/>
          <w:lang w:val="hu-HU"/>
        </w:rPr>
        <w:t>Synthesis</w:t>
      </w:r>
      <w:proofErr w:type="spellEnd"/>
      <w:r w:rsidRPr="00D8668E">
        <w:rPr>
          <w:rFonts w:asciiTheme="minorHAnsi" w:hAnsiTheme="minorHAnsi"/>
          <w:lang w:val="hu-HU"/>
        </w:rPr>
        <w:t xml:space="preserve"> Of </w:t>
      </w:r>
      <w:proofErr w:type="spellStart"/>
      <w:r w:rsidRPr="00D8668E">
        <w:rPr>
          <w:rFonts w:asciiTheme="minorHAnsi" w:hAnsiTheme="minorHAnsi"/>
          <w:lang w:val="hu-HU"/>
        </w:rPr>
        <w:t>Poverty</w:t>
      </w:r>
      <w:proofErr w:type="spellEnd"/>
      <w:r w:rsidRPr="00D8668E">
        <w:rPr>
          <w:rFonts w:asciiTheme="minorHAnsi" w:hAnsiTheme="minorHAnsi"/>
          <w:lang w:val="hu-HU"/>
        </w:rPr>
        <w:t xml:space="preserve"> Line </w:t>
      </w:r>
      <w:proofErr w:type="spellStart"/>
      <w:r w:rsidRPr="00D8668E">
        <w:rPr>
          <w:rFonts w:asciiTheme="minorHAnsi" w:hAnsiTheme="minorHAnsi"/>
          <w:lang w:val="hu-HU"/>
        </w:rPr>
        <w:t>Definitions</w:t>
      </w:r>
      <w:proofErr w:type="spellEnd"/>
      <w:r w:rsidRPr="00D8668E">
        <w:rPr>
          <w:rFonts w:asciiTheme="minorHAnsi" w:hAnsiTheme="minorHAnsi"/>
          <w:lang w:val="hu-HU"/>
        </w:rPr>
        <w:t xml:space="preserve">. </w:t>
      </w:r>
      <w:proofErr w:type="spellStart"/>
      <w:r w:rsidRPr="00D8668E">
        <w:rPr>
          <w:rFonts w:asciiTheme="minorHAnsi" w:hAnsiTheme="minorHAnsi"/>
          <w:lang w:val="hu-HU"/>
        </w:rPr>
        <w:t>In</w:t>
      </w:r>
      <w:proofErr w:type="spellEnd"/>
      <w:r w:rsidRPr="00D8668E">
        <w:rPr>
          <w:rFonts w:asciiTheme="minorHAnsi" w:hAnsiTheme="minorHAnsi"/>
          <w:lang w:val="hu-HU"/>
        </w:rPr>
        <w:t xml:space="preserve">: The </w:t>
      </w:r>
      <w:proofErr w:type="spellStart"/>
      <w:r w:rsidRPr="00D8668E">
        <w:rPr>
          <w:rFonts w:asciiTheme="minorHAnsi" w:hAnsiTheme="minorHAnsi"/>
          <w:lang w:val="hu-HU"/>
        </w:rPr>
        <w:t>Review</w:t>
      </w:r>
      <w:proofErr w:type="spellEnd"/>
      <w:r w:rsidRPr="00D8668E">
        <w:rPr>
          <w:rFonts w:asciiTheme="minorHAnsi" w:hAnsiTheme="minorHAnsi"/>
          <w:lang w:val="hu-HU"/>
        </w:rPr>
        <w:t xml:space="preserve"> of </w:t>
      </w:r>
      <w:proofErr w:type="spellStart"/>
      <w:r w:rsidRPr="00D8668E">
        <w:rPr>
          <w:rFonts w:asciiTheme="minorHAnsi" w:hAnsiTheme="minorHAnsi"/>
          <w:lang w:val="hu-HU"/>
        </w:rPr>
        <w:t>Income</w:t>
      </w:r>
      <w:proofErr w:type="spellEnd"/>
      <w:r w:rsidRPr="00D8668E">
        <w:rPr>
          <w:rFonts w:asciiTheme="minorHAnsi" w:hAnsiTheme="minorHAnsi"/>
          <w:lang w:val="hu-HU"/>
        </w:rPr>
        <w:t xml:space="preserve"> and </w:t>
      </w:r>
      <w:proofErr w:type="spellStart"/>
      <w:r w:rsidRPr="00D8668E">
        <w:rPr>
          <w:rFonts w:asciiTheme="minorHAnsi" w:hAnsiTheme="minorHAnsi"/>
          <w:lang w:val="hu-HU"/>
        </w:rPr>
        <w:t>Wealth</w:t>
      </w:r>
      <w:proofErr w:type="spellEnd"/>
      <w:r w:rsidRPr="00D8668E">
        <w:rPr>
          <w:rFonts w:asciiTheme="minorHAnsi" w:hAnsiTheme="minorHAnsi"/>
          <w:lang w:val="hu-HU"/>
        </w:rPr>
        <w:t xml:space="preserve">. </w:t>
      </w:r>
      <w:proofErr w:type="spellStart"/>
      <w:r w:rsidRPr="00D8668E">
        <w:rPr>
          <w:rFonts w:asciiTheme="minorHAnsi" w:hAnsiTheme="minorHAnsi"/>
          <w:lang w:val="hu-HU"/>
        </w:rPr>
        <w:t>Vol</w:t>
      </w:r>
      <w:proofErr w:type="spellEnd"/>
      <w:r w:rsidRPr="00D8668E">
        <w:rPr>
          <w:rFonts w:asciiTheme="minorHAnsi" w:hAnsiTheme="minorHAnsi"/>
          <w:lang w:val="hu-HU"/>
        </w:rPr>
        <w:t>. 31. 139–154. 1985.</w:t>
      </w:r>
    </w:p>
  </w:endnote>
  <w:endnote w:id="2">
    <w:p w:rsidR="00531A1E" w:rsidRPr="00D8668E" w:rsidRDefault="00531A1E" w:rsidP="00FE1813">
      <w:pPr>
        <w:pStyle w:val="EndnoteText"/>
        <w:rPr>
          <w:rFonts w:asciiTheme="minorHAnsi" w:hAnsiTheme="minorHAnsi"/>
          <w:lang w:val="hu-HU"/>
        </w:rPr>
      </w:pPr>
      <w:r w:rsidRPr="00D8668E">
        <w:rPr>
          <w:rStyle w:val="EndnoteReference"/>
          <w:rFonts w:asciiTheme="minorHAnsi" w:hAnsiTheme="minorHAnsi"/>
        </w:rPr>
        <w:endnoteRef/>
      </w:r>
      <w:r w:rsidRPr="00D8668E">
        <w:rPr>
          <w:rFonts w:asciiTheme="minorHAnsi" w:hAnsiTheme="minorHAnsi"/>
          <w:lang w:val="hu-HU"/>
        </w:rPr>
        <w:t xml:space="preserve"> A KSH a 2015. június 24-i sajtótájékoztatóján jelentette be a szakmai érvekkel indokolt döntést, amelyről a HVG tudósított. </w:t>
      </w:r>
      <w:hyperlink r:id="rId1" w:history="1">
        <w:r w:rsidRPr="00D8668E">
          <w:rPr>
            <w:rStyle w:val="Hyperlink"/>
            <w:rFonts w:asciiTheme="minorHAnsi" w:hAnsiTheme="minorHAnsi"/>
            <w:lang w:val="hu-HU"/>
          </w:rPr>
          <w:t>http://hvg.hu/gazdasag/20150624_Beszunteti_eddigi_letminimumvizsgalatait?s=hk</w:t>
        </w:r>
      </w:hyperlink>
    </w:p>
  </w:endnote>
  <w:endnote w:id="3">
    <w:p w:rsidR="007C3358" w:rsidRPr="00D8668E" w:rsidRDefault="007C3358">
      <w:pPr>
        <w:pStyle w:val="EndnoteText"/>
        <w:rPr>
          <w:rFonts w:asciiTheme="minorHAnsi" w:hAnsiTheme="minorHAnsi"/>
          <w:lang w:val="hu-HU"/>
        </w:rPr>
      </w:pPr>
      <w:r w:rsidRPr="00D8668E">
        <w:rPr>
          <w:rStyle w:val="EndnoteReference"/>
          <w:rFonts w:asciiTheme="minorHAnsi" w:hAnsiTheme="minorHAnsi"/>
        </w:rPr>
        <w:endnoteRef/>
      </w:r>
      <w:r w:rsidRPr="00D8668E">
        <w:rPr>
          <w:rFonts w:asciiTheme="minorHAnsi" w:hAnsiTheme="minorHAnsi"/>
        </w:rPr>
        <w:t xml:space="preserve"> </w:t>
      </w:r>
      <w:r w:rsidRPr="00D8668E">
        <w:rPr>
          <w:rFonts w:asciiTheme="minorHAnsi" w:hAnsiTheme="minorHAnsi"/>
          <w:lang w:val="hu-HU"/>
        </w:rPr>
        <w:t xml:space="preserve">KSH: </w:t>
      </w:r>
      <w:hyperlink r:id="rId2" w:history="1">
        <w:r w:rsidRPr="00D8668E">
          <w:rPr>
            <w:rStyle w:val="Hyperlink"/>
            <w:rFonts w:asciiTheme="minorHAnsi" w:hAnsiTheme="minorHAnsi"/>
            <w:lang w:val="hu-HU"/>
          </w:rPr>
          <w:t>A háztartások életszínvonala</w:t>
        </w:r>
      </w:hyperlink>
      <w:r w:rsidRPr="00D8668E">
        <w:rPr>
          <w:rFonts w:asciiTheme="minorHAnsi" w:hAnsiTheme="minorHAnsi"/>
          <w:lang w:val="hu-HU"/>
        </w:rPr>
        <w:t>, 2015</w:t>
      </w:r>
    </w:p>
  </w:endnote>
  <w:endnote w:id="4">
    <w:p w:rsidR="00531A1E" w:rsidRPr="00D8668E" w:rsidRDefault="00531A1E" w:rsidP="00FE1813">
      <w:pPr>
        <w:pStyle w:val="EndnoteText"/>
        <w:rPr>
          <w:rFonts w:asciiTheme="minorHAnsi" w:hAnsiTheme="minorHAnsi"/>
          <w:lang w:val="hu-HU"/>
        </w:rPr>
      </w:pPr>
      <w:r w:rsidRPr="00D8668E">
        <w:rPr>
          <w:rStyle w:val="EndnoteReference"/>
          <w:rFonts w:asciiTheme="minorHAnsi" w:hAnsiTheme="minorHAnsi"/>
        </w:rPr>
        <w:endnoteRef/>
      </w:r>
      <w:r w:rsidRPr="00D8668E">
        <w:rPr>
          <w:rFonts w:asciiTheme="minorHAnsi" w:hAnsiTheme="minorHAnsi"/>
          <w:lang w:val="hu-HU"/>
        </w:rPr>
        <w:t xml:space="preserve"> </w:t>
      </w:r>
      <w:proofErr w:type="spellStart"/>
      <w:r w:rsidRPr="00D8668E">
        <w:rPr>
          <w:rFonts w:asciiTheme="minorHAnsi" w:hAnsiTheme="minorHAnsi"/>
          <w:spacing w:val="-4"/>
          <w:lang w:val="hu-HU"/>
        </w:rPr>
        <w:t>Gábos</w:t>
      </w:r>
      <w:proofErr w:type="spellEnd"/>
      <w:r w:rsidRPr="00D8668E">
        <w:rPr>
          <w:rFonts w:asciiTheme="minorHAnsi" w:hAnsiTheme="minorHAnsi"/>
          <w:spacing w:val="-4"/>
          <w:lang w:val="hu-HU"/>
        </w:rPr>
        <w:t xml:space="preserve"> András és </w:t>
      </w:r>
      <w:proofErr w:type="spellStart"/>
      <w:r w:rsidRPr="00D8668E">
        <w:rPr>
          <w:rFonts w:asciiTheme="minorHAnsi" w:hAnsiTheme="minorHAnsi"/>
          <w:spacing w:val="-4"/>
          <w:lang w:val="hu-HU"/>
        </w:rPr>
        <w:t>Szivós</w:t>
      </w:r>
      <w:proofErr w:type="spellEnd"/>
      <w:r w:rsidRPr="00D8668E">
        <w:rPr>
          <w:rFonts w:asciiTheme="minorHAnsi" w:hAnsiTheme="minorHAnsi"/>
          <w:spacing w:val="-4"/>
          <w:lang w:val="hu-HU"/>
        </w:rPr>
        <w:t xml:space="preserve"> Péter: </w:t>
      </w:r>
      <w:hyperlink r:id="rId3" w:history="1">
        <w:r w:rsidRPr="005F6AC4">
          <w:rPr>
            <w:rStyle w:val="Hyperlink"/>
            <w:rFonts w:asciiTheme="minorHAnsi" w:hAnsiTheme="minorHAnsi"/>
            <w:spacing w:val="-4"/>
            <w:lang w:val="hu-HU"/>
          </w:rPr>
          <w:t xml:space="preserve">Jövedelmi szegénység és anyagi </w:t>
        </w:r>
        <w:proofErr w:type="spellStart"/>
        <w:r w:rsidRPr="005F6AC4">
          <w:rPr>
            <w:rStyle w:val="Hyperlink"/>
            <w:rFonts w:asciiTheme="minorHAnsi" w:hAnsiTheme="minorHAnsi"/>
            <w:spacing w:val="-4"/>
            <w:lang w:val="hu-HU"/>
          </w:rPr>
          <w:t>depriváció</w:t>
        </w:r>
        <w:proofErr w:type="spellEnd"/>
        <w:r w:rsidRPr="005F6AC4">
          <w:rPr>
            <w:rStyle w:val="Hyperlink"/>
            <w:rFonts w:asciiTheme="minorHAnsi" w:hAnsiTheme="minorHAnsi"/>
            <w:spacing w:val="-4"/>
            <w:lang w:val="hu-HU"/>
          </w:rPr>
          <w:t xml:space="preserve"> Magyar</w:t>
        </w:r>
        <w:r w:rsidR="00D8668E" w:rsidRPr="005F6AC4">
          <w:rPr>
            <w:rStyle w:val="Hyperlink"/>
            <w:rFonts w:asciiTheme="minorHAnsi" w:hAnsiTheme="minorHAnsi"/>
            <w:spacing w:val="-4"/>
            <w:lang w:val="hu-HU"/>
          </w:rPr>
          <w:t>országon</w:t>
        </w:r>
      </w:hyperlink>
      <w:r w:rsidR="00D8668E" w:rsidRPr="00D8668E">
        <w:rPr>
          <w:rFonts w:asciiTheme="minorHAnsi" w:hAnsiTheme="minorHAnsi"/>
          <w:spacing w:val="-4"/>
          <w:lang w:val="hu-HU"/>
        </w:rPr>
        <w:t>, TÁRKI, 2010. 105. o.</w:t>
      </w:r>
    </w:p>
  </w:endnote>
  <w:endnote w:id="5">
    <w:p w:rsidR="00531A1E" w:rsidRPr="00D8668E" w:rsidRDefault="00531A1E" w:rsidP="00FE1813">
      <w:pPr>
        <w:pStyle w:val="EndnoteText"/>
        <w:rPr>
          <w:rFonts w:asciiTheme="minorHAnsi" w:hAnsiTheme="minorHAnsi"/>
          <w:lang w:val="hu-HU"/>
        </w:rPr>
      </w:pPr>
      <w:r w:rsidRPr="00D8668E">
        <w:rPr>
          <w:rStyle w:val="EndnoteReference"/>
          <w:rFonts w:asciiTheme="minorHAnsi" w:hAnsiTheme="minorHAnsi"/>
        </w:rPr>
        <w:endnoteRef/>
      </w:r>
      <w:r w:rsidRPr="00D8668E">
        <w:rPr>
          <w:rFonts w:asciiTheme="minorHAnsi" w:hAnsiTheme="minorHAnsi"/>
          <w:lang w:val="hu-HU"/>
        </w:rPr>
        <w:t xml:space="preserve"> Uo. 106.</w:t>
      </w:r>
    </w:p>
  </w:endnote>
  <w:endnote w:id="6">
    <w:p w:rsidR="00531A1E" w:rsidRPr="00D8668E" w:rsidRDefault="00531A1E" w:rsidP="00FE1813">
      <w:pPr>
        <w:pStyle w:val="EndnoteText"/>
        <w:rPr>
          <w:rFonts w:asciiTheme="minorHAnsi" w:hAnsiTheme="minorHAnsi"/>
          <w:lang w:val="hu-HU"/>
        </w:rPr>
      </w:pPr>
      <w:r w:rsidRPr="00D8668E">
        <w:rPr>
          <w:rStyle w:val="EndnoteReference"/>
          <w:rFonts w:asciiTheme="minorHAnsi" w:hAnsiTheme="minorHAnsi"/>
        </w:rPr>
        <w:endnoteRef/>
      </w:r>
      <w:r w:rsidRPr="00D8668E">
        <w:rPr>
          <w:rFonts w:asciiTheme="minorHAnsi" w:hAnsiTheme="minorHAnsi"/>
          <w:lang w:val="hu-HU"/>
        </w:rPr>
        <w:t xml:space="preserve"> A </w:t>
      </w:r>
      <w:r w:rsidRPr="00D8668E">
        <w:rPr>
          <w:rFonts w:asciiTheme="minorHAnsi" w:hAnsiTheme="minorHAnsi" w:cs="Arial"/>
          <w:lang w:val="hu-HU"/>
        </w:rPr>
        <w:t>mediánjövedelem 60%-ában meghatározott szegénységi küszöb mellett</w:t>
      </w:r>
    </w:p>
  </w:endnote>
  <w:endnote w:id="7">
    <w:p w:rsidR="00531A1E" w:rsidRPr="00D8668E" w:rsidRDefault="00531A1E" w:rsidP="00FE1813">
      <w:pPr>
        <w:pStyle w:val="EndnoteText"/>
        <w:rPr>
          <w:rFonts w:asciiTheme="minorHAnsi" w:hAnsiTheme="minorHAnsi"/>
          <w:lang w:val="hu-HU"/>
        </w:rPr>
      </w:pPr>
      <w:r w:rsidRPr="00D8668E">
        <w:rPr>
          <w:rStyle w:val="EndnoteReference"/>
          <w:rFonts w:asciiTheme="minorHAnsi" w:hAnsiTheme="minorHAnsi"/>
        </w:rPr>
        <w:endnoteRef/>
      </w:r>
      <w:r w:rsidRPr="00D8668E">
        <w:rPr>
          <w:rFonts w:asciiTheme="minorHAnsi" w:hAnsiTheme="minorHAnsi"/>
          <w:lang w:val="hu-HU"/>
        </w:rPr>
        <w:t xml:space="preserve"> Medgyesi Márton és Scharle Ágota (szerk.): </w:t>
      </w:r>
      <w:hyperlink r:id="rId4" w:history="1">
        <w:r w:rsidRPr="005F6AC4">
          <w:rPr>
            <w:rStyle w:val="Hyperlink"/>
            <w:rFonts w:asciiTheme="minorHAnsi" w:hAnsiTheme="minorHAnsi"/>
            <w:lang w:val="hu-HU"/>
          </w:rPr>
          <w:t>Felemelkedés közös erővel: A tartós mélyszegénység csökkentése célhoz kötött támogatások révé</w:t>
        </w:r>
      </w:hyperlink>
      <w:r w:rsidRPr="00D8668E">
        <w:rPr>
          <w:rFonts w:asciiTheme="minorHAnsi" w:hAnsiTheme="minorHAnsi"/>
          <w:lang w:val="hu-HU"/>
        </w:rPr>
        <w:t xml:space="preserve">n. Haza és Haladás Közpolitikai Közhasznú Alapítvány. 2012. 11.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2"/>
        <w:szCs w:val="22"/>
      </w:rPr>
      <w:id w:val="-16844330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668E" w:rsidRDefault="00D8668E" w:rsidP="00D8668E">
        <w:pPr>
          <w:pStyle w:val="Footer"/>
          <w:jc w:val="center"/>
          <w:rPr>
            <w:rFonts w:asciiTheme="majorHAnsi" w:hAnsiTheme="majorHAnsi"/>
            <w:noProof/>
            <w:sz w:val="22"/>
            <w:szCs w:val="22"/>
          </w:rPr>
        </w:pPr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Budapest </w:t>
        </w:r>
        <w:proofErr w:type="spellStart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>Szakpolitikai</w:t>
        </w:r>
        <w:proofErr w:type="spellEnd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</w:t>
        </w:r>
        <w:proofErr w:type="spellStart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>Elemző</w:t>
        </w:r>
        <w:proofErr w:type="spellEnd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</w:t>
        </w:r>
        <w:proofErr w:type="spellStart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>Intézet</w:t>
        </w:r>
        <w:proofErr w:type="spellEnd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| </w:t>
        </w:r>
        <w:hyperlink r:id="rId1" w:history="1">
          <w:r w:rsidRPr="00421550">
            <w:rPr>
              <w:rStyle w:val="Hyperlink"/>
              <w:rFonts w:asciiTheme="majorHAnsi" w:hAnsiTheme="majorHAnsi"/>
              <w:color w:val="808080" w:themeColor="background1" w:themeShade="80"/>
              <w:sz w:val="22"/>
              <w:szCs w:val="22"/>
            </w:rPr>
            <w:t>info@budapestinstitute.eu</w:t>
          </w:r>
        </w:hyperlink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 | </w:t>
        </w:r>
        <w:r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2015. </w:t>
        </w:r>
        <w:proofErr w:type="spellStart"/>
        <w:proofErr w:type="gramStart"/>
        <w:r>
          <w:rPr>
            <w:rFonts w:asciiTheme="majorHAnsi" w:hAnsiTheme="majorHAnsi"/>
            <w:color w:val="808080" w:themeColor="background1" w:themeShade="80"/>
            <w:sz w:val="22"/>
            <w:szCs w:val="22"/>
          </w:rPr>
          <w:t>november</w:t>
        </w:r>
        <w:proofErr w:type="spellEnd"/>
        <w:proofErr w:type="gramEnd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</w:t>
        </w:r>
        <w:r>
          <w:rPr>
            <w:rFonts w:asciiTheme="majorHAnsi" w:hAnsiTheme="majorHAnsi"/>
            <w:color w:val="808080" w:themeColor="background1" w:themeShade="80"/>
            <w:sz w:val="22"/>
            <w:szCs w:val="22"/>
          </w:rPr>
          <w:t>28</w:t>
        </w:r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>.</w:t>
        </w:r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ab/>
        </w:r>
        <w:r w:rsidRPr="00421550">
          <w:rPr>
            <w:rFonts w:asciiTheme="majorHAnsi" w:hAnsiTheme="majorHAnsi"/>
            <w:sz w:val="22"/>
            <w:szCs w:val="22"/>
          </w:rPr>
          <w:fldChar w:fldCharType="begin"/>
        </w:r>
        <w:r w:rsidRPr="00421550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421550">
          <w:rPr>
            <w:rFonts w:asciiTheme="majorHAnsi" w:hAnsiTheme="majorHAnsi"/>
            <w:sz w:val="22"/>
            <w:szCs w:val="22"/>
          </w:rPr>
          <w:fldChar w:fldCharType="separate"/>
        </w:r>
        <w:r w:rsidR="003303AC">
          <w:rPr>
            <w:rFonts w:asciiTheme="majorHAnsi" w:hAnsiTheme="majorHAnsi"/>
            <w:noProof/>
            <w:sz w:val="22"/>
            <w:szCs w:val="22"/>
          </w:rPr>
          <w:t>2</w:t>
        </w:r>
        <w:r w:rsidRPr="00421550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2"/>
        <w:szCs w:val="22"/>
      </w:rPr>
      <w:id w:val="-16751825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6AD1" w:rsidRPr="00421550" w:rsidRDefault="00496AD1" w:rsidP="00421550">
        <w:pPr>
          <w:pStyle w:val="Footer"/>
          <w:jc w:val="center"/>
          <w:rPr>
            <w:rFonts w:asciiTheme="majorHAnsi" w:hAnsiTheme="majorHAnsi"/>
            <w:sz w:val="22"/>
            <w:szCs w:val="22"/>
          </w:rPr>
        </w:pPr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Budapest </w:t>
        </w:r>
        <w:proofErr w:type="spellStart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>Szakpolitikai</w:t>
        </w:r>
        <w:proofErr w:type="spellEnd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</w:t>
        </w:r>
        <w:proofErr w:type="spellStart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>Elemző</w:t>
        </w:r>
        <w:proofErr w:type="spellEnd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</w:t>
        </w:r>
        <w:proofErr w:type="spellStart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>Intézet</w:t>
        </w:r>
        <w:proofErr w:type="spellEnd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| </w:t>
        </w:r>
        <w:hyperlink r:id="rId1" w:history="1">
          <w:r w:rsidRPr="00421550">
            <w:rPr>
              <w:rStyle w:val="Hyperlink"/>
              <w:rFonts w:asciiTheme="majorHAnsi" w:hAnsiTheme="majorHAnsi"/>
              <w:color w:val="808080" w:themeColor="background1" w:themeShade="80"/>
              <w:sz w:val="22"/>
              <w:szCs w:val="22"/>
            </w:rPr>
            <w:t>info@budapestinstitute.eu</w:t>
          </w:r>
        </w:hyperlink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 | </w:t>
        </w:r>
        <w:r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2015. </w:t>
        </w:r>
        <w:proofErr w:type="spellStart"/>
        <w:proofErr w:type="gramStart"/>
        <w:r w:rsidR="002874F2">
          <w:rPr>
            <w:rFonts w:asciiTheme="majorHAnsi" w:hAnsiTheme="majorHAnsi"/>
            <w:color w:val="808080" w:themeColor="background1" w:themeShade="80"/>
            <w:sz w:val="22"/>
            <w:szCs w:val="22"/>
          </w:rPr>
          <w:t>november</w:t>
        </w:r>
        <w:proofErr w:type="spellEnd"/>
        <w:proofErr w:type="gramEnd"/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 xml:space="preserve"> </w:t>
        </w:r>
        <w:r w:rsidR="002874F2">
          <w:rPr>
            <w:rFonts w:asciiTheme="majorHAnsi" w:hAnsiTheme="majorHAnsi"/>
            <w:color w:val="808080" w:themeColor="background1" w:themeShade="80"/>
            <w:sz w:val="22"/>
            <w:szCs w:val="22"/>
          </w:rPr>
          <w:t>28</w:t>
        </w:r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>.</w:t>
        </w:r>
        <w:r w:rsidRPr="00421550">
          <w:rPr>
            <w:rFonts w:asciiTheme="majorHAnsi" w:hAnsiTheme="majorHAnsi"/>
            <w:color w:val="808080" w:themeColor="background1" w:themeShade="80"/>
            <w:sz w:val="22"/>
            <w:szCs w:val="22"/>
          </w:rPr>
          <w:tab/>
        </w:r>
        <w:r w:rsidRPr="00421550">
          <w:rPr>
            <w:rFonts w:asciiTheme="majorHAnsi" w:hAnsiTheme="majorHAnsi"/>
            <w:sz w:val="22"/>
            <w:szCs w:val="22"/>
          </w:rPr>
          <w:fldChar w:fldCharType="begin"/>
        </w:r>
        <w:r w:rsidRPr="00421550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421550">
          <w:rPr>
            <w:rFonts w:asciiTheme="majorHAnsi" w:hAnsiTheme="majorHAnsi"/>
            <w:sz w:val="22"/>
            <w:szCs w:val="22"/>
          </w:rPr>
          <w:fldChar w:fldCharType="separate"/>
        </w:r>
        <w:r w:rsidR="00405125">
          <w:rPr>
            <w:rFonts w:asciiTheme="majorHAnsi" w:hAnsiTheme="majorHAnsi"/>
            <w:noProof/>
            <w:sz w:val="22"/>
            <w:szCs w:val="22"/>
          </w:rPr>
          <w:t>1</w:t>
        </w:r>
        <w:r w:rsidRPr="00421550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008" w:rsidRDefault="00303008" w:rsidP="00B41258">
      <w:pPr>
        <w:spacing w:after="0" w:line="240" w:lineRule="auto"/>
      </w:pPr>
      <w:r>
        <w:separator/>
      </w:r>
    </w:p>
  </w:footnote>
  <w:footnote w:type="continuationSeparator" w:id="0">
    <w:p w:rsidR="00303008" w:rsidRDefault="00303008" w:rsidP="00B41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AD1" w:rsidRDefault="00496AD1" w:rsidP="004A479E">
    <w:pPr>
      <w:pStyle w:val="Header"/>
      <w:jc w:val="right"/>
    </w:pPr>
    <w:r>
      <w:rPr>
        <w:noProof/>
        <w:lang w:val="en-GB" w:eastAsia="en-GB"/>
      </w:rPr>
      <w:drawing>
        <wp:inline distT="0" distB="0" distL="0" distR="0">
          <wp:extent cx="621030" cy="1000760"/>
          <wp:effectExtent l="19050" t="0" r="7620" b="0"/>
          <wp:docPr id="3" name="Kép 4" descr="http://budapestinstitute.eu/images/website/logo_bpint_h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budapestinstitute.eu/images/website/logo_bpint_h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1000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96AD1" w:rsidRDefault="00496AD1" w:rsidP="004A479E">
    <w:pPr>
      <w:pStyle w:val="Header"/>
      <w:jc w:val="center"/>
      <w:rPr>
        <w:rFonts w:ascii="Calibri" w:hAnsi="Calibri"/>
        <w:b/>
        <w:sz w:val="28"/>
        <w:szCs w:val="28"/>
      </w:rPr>
    </w:pPr>
    <w:r w:rsidRPr="00C461C5">
      <w:rPr>
        <w:rFonts w:ascii="Calibri" w:hAnsi="Calibri"/>
        <w:b/>
        <w:sz w:val="28"/>
        <w:szCs w:val="28"/>
      </w:rPr>
      <w:t>BIT#</w:t>
    </w:r>
    <w:r w:rsidR="002874F2">
      <w:rPr>
        <w:rFonts w:ascii="Calibri" w:hAnsi="Calibri"/>
        <w:b/>
        <w:sz w:val="28"/>
        <w:szCs w:val="28"/>
      </w:rPr>
      <w:t>6</w:t>
    </w:r>
    <w:r w:rsidRPr="00C461C5">
      <w:rPr>
        <w:rFonts w:ascii="Calibri" w:hAnsi="Calibri"/>
        <w:b/>
        <w:sz w:val="28"/>
        <w:szCs w:val="28"/>
      </w:rPr>
      <w:t xml:space="preserve"> – Budapest </w:t>
    </w:r>
    <w:proofErr w:type="spellStart"/>
    <w:r w:rsidRPr="00C461C5">
      <w:rPr>
        <w:rFonts w:ascii="Calibri" w:hAnsi="Calibri"/>
        <w:b/>
        <w:sz w:val="28"/>
        <w:szCs w:val="28"/>
      </w:rPr>
      <w:t>Intézet</w:t>
    </w:r>
    <w:proofErr w:type="spellEnd"/>
    <w:r w:rsidRPr="00C461C5">
      <w:rPr>
        <w:rFonts w:ascii="Calibri" w:hAnsi="Calibri"/>
        <w:b/>
        <w:sz w:val="28"/>
        <w:szCs w:val="28"/>
      </w:rPr>
      <w:t xml:space="preserve"> </w:t>
    </w:r>
    <w:proofErr w:type="spellStart"/>
    <w:r w:rsidRPr="00C461C5">
      <w:rPr>
        <w:rFonts w:ascii="Calibri" w:hAnsi="Calibri"/>
        <w:b/>
        <w:sz w:val="28"/>
        <w:szCs w:val="28"/>
      </w:rPr>
      <w:t>Tényanyag</w:t>
    </w:r>
    <w:proofErr w:type="spellEnd"/>
  </w:p>
  <w:p w:rsidR="00496AD1" w:rsidRDefault="00496A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43159"/>
    <w:multiLevelType w:val="hybridMultilevel"/>
    <w:tmpl w:val="A05C6E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C7FFB"/>
    <w:multiLevelType w:val="hybridMultilevel"/>
    <w:tmpl w:val="4ED82F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D01B1"/>
    <w:multiLevelType w:val="hybridMultilevel"/>
    <w:tmpl w:val="4A02C6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5737E"/>
    <w:multiLevelType w:val="hybridMultilevel"/>
    <w:tmpl w:val="078244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01B64"/>
    <w:multiLevelType w:val="hybridMultilevel"/>
    <w:tmpl w:val="8B44386C"/>
    <w:lvl w:ilvl="0" w:tplc="EBC6A06A">
      <w:start w:val="2"/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84C65"/>
    <w:multiLevelType w:val="hybridMultilevel"/>
    <w:tmpl w:val="621A053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71B2E"/>
    <w:multiLevelType w:val="hybridMultilevel"/>
    <w:tmpl w:val="32262C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15EA2"/>
    <w:multiLevelType w:val="hybridMultilevel"/>
    <w:tmpl w:val="1BE4773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258"/>
    <w:rsid w:val="000058A0"/>
    <w:rsid w:val="000763FE"/>
    <w:rsid w:val="00121034"/>
    <w:rsid w:val="00134763"/>
    <w:rsid w:val="00144BE8"/>
    <w:rsid w:val="00157CD0"/>
    <w:rsid w:val="00225A67"/>
    <w:rsid w:val="002874F2"/>
    <w:rsid w:val="002C6D86"/>
    <w:rsid w:val="00303008"/>
    <w:rsid w:val="003303AC"/>
    <w:rsid w:val="0033175C"/>
    <w:rsid w:val="003E08BE"/>
    <w:rsid w:val="003F0D19"/>
    <w:rsid w:val="00405125"/>
    <w:rsid w:val="0041249E"/>
    <w:rsid w:val="00421550"/>
    <w:rsid w:val="0046308D"/>
    <w:rsid w:val="00496AD1"/>
    <w:rsid w:val="004A479E"/>
    <w:rsid w:val="004C14CD"/>
    <w:rsid w:val="004E1495"/>
    <w:rsid w:val="004E1717"/>
    <w:rsid w:val="004E5E1F"/>
    <w:rsid w:val="00531A1E"/>
    <w:rsid w:val="00585709"/>
    <w:rsid w:val="005F6AC4"/>
    <w:rsid w:val="00664312"/>
    <w:rsid w:val="006C04D2"/>
    <w:rsid w:val="007747EA"/>
    <w:rsid w:val="00795F11"/>
    <w:rsid w:val="007C3358"/>
    <w:rsid w:val="007E1631"/>
    <w:rsid w:val="00814419"/>
    <w:rsid w:val="008253EB"/>
    <w:rsid w:val="00877E23"/>
    <w:rsid w:val="008E44C0"/>
    <w:rsid w:val="0093513E"/>
    <w:rsid w:val="00940D0E"/>
    <w:rsid w:val="0095524C"/>
    <w:rsid w:val="009A18E8"/>
    <w:rsid w:val="00A91EAB"/>
    <w:rsid w:val="00B27229"/>
    <w:rsid w:val="00B41258"/>
    <w:rsid w:val="00B60532"/>
    <w:rsid w:val="00B65923"/>
    <w:rsid w:val="00B835F5"/>
    <w:rsid w:val="00C53C93"/>
    <w:rsid w:val="00C91198"/>
    <w:rsid w:val="00CF0C03"/>
    <w:rsid w:val="00D2765C"/>
    <w:rsid w:val="00D8668E"/>
    <w:rsid w:val="00E00015"/>
    <w:rsid w:val="00E87D64"/>
    <w:rsid w:val="00F53859"/>
    <w:rsid w:val="00F67B21"/>
    <w:rsid w:val="00FC6B38"/>
    <w:rsid w:val="00FE1813"/>
    <w:rsid w:val="00FF2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5434488-36E4-44D8-A8E4-175BA693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258"/>
    <w:pPr>
      <w:spacing w:after="200" w:line="276" w:lineRule="auto"/>
      <w:jc w:val="both"/>
    </w:pPr>
    <w:rPr>
      <w:rFonts w:ascii="Myriad Pro" w:eastAsia="Calibri" w:hAnsi="Myriad Pro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1258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B412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5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58"/>
    <w:rPr>
      <w:rFonts w:ascii="Myriad Pro" w:eastAsia="Calibri" w:hAnsi="Myriad Pro" w:cs="Times New Roman"/>
      <w:sz w:val="24"/>
      <w:szCs w:val="24"/>
      <w:lang w:val="en-US"/>
    </w:rPr>
  </w:style>
  <w:style w:type="character" w:styleId="FootnoteReference">
    <w:name w:val="footnote reference"/>
    <w:rsid w:val="00B41258"/>
    <w:rPr>
      <w:vertAlign w:val="superscript"/>
    </w:rPr>
  </w:style>
  <w:style w:type="paragraph" w:styleId="FootnoteText">
    <w:name w:val="footnote text"/>
    <w:basedOn w:val="Normal"/>
    <w:link w:val="FootnoteTextChar"/>
    <w:rsid w:val="00B41258"/>
    <w:pPr>
      <w:suppressLineNumbers/>
      <w:suppressAutoHyphens/>
      <w:spacing w:after="0" w:line="240" w:lineRule="auto"/>
      <w:ind w:left="283" w:hanging="283"/>
    </w:pPr>
    <w:rPr>
      <w:rFonts w:eastAsia="MS Mincho" w:cs="Myriad Pro"/>
      <w:kern w:val="1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rsid w:val="00B41258"/>
    <w:rPr>
      <w:rFonts w:ascii="Myriad Pro" w:eastAsia="MS Mincho" w:hAnsi="Myriad Pro" w:cs="Myriad Pro"/>
      <w:kern w:val="1"/>
      <w:sz w:val="20"/>
      <w:szCs w:val="20"/>
      <w:lang w:val="en-US" w:eastAsia="ar-SA"/>
    </w:rPr>
  </w:style>
  <w:style w:type="character" w:styleId="Hyperlink">
    <w:name w:val="Hyperlink"/>
    <w:uiPriority w:val="99"/>
    <w:unhideWhenUsed/>
    <w:rsid w:val="00B41258"/>
    <w:rPr>
      <w:color w:val="0000FF"/>
      <w:u w:val="single"/>
    </w:rPr>
  </w:style>
  <w:style w:type="character" w:customStyle="1" w:styleId="FootnoteCharacters">
    <w:name w:val="Footnote Characters"/>
    <w:rsid w:val="00B41258"/>
    <w:rPr>
      <w:vertAlign w:val="superscript"/>
    </w:rPr>
  </w:style>
  <w:style w:type="character" w:customStyle="1" w:styleId="apple-converted-space">
    <w:name w:val="apple-converted-space"/>
    <w:basedOn w:val="DefaultParagraphFont"/>
    <w:rsid w:val="00B41258"/>
  </w:style>
  <w:style w:type="paragraph" w:styleId="BalloonText">
    <w:name w:val="Balloon Text"/>
    <w:basedOn w:val="Normal"/>
    <w:link w:val="BalloonTextChar"/>
    <w:uiPriority w:val="99"/>
    <w:semiHidden/>
    <w:unhideWhenUsed/>
    <w:rsid w:val="00B41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58"/>
    <w:rPr>
      <w:rFonts w:ascii="Segoe UI" w:eastAsia="Calibr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E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EAB"/>
    <w:rPr>
      <w:rFonts w:ascii="Myriad Pro" w:eastAsia="Calibri" w:hAnsi="Myriad Pro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A4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479E"/>
    <w:rPr>
      <w:rFonts w:ascii="Myriad Pro" w:eastAsia="Calibri" w:hAnsi="Myriad Pro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4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79E"/>
    <w:rPr>
      <w:rFonts w:ascii="Myriad Pro" w:eastAsia="Calibri" w:hAnsi="Myriad Pro" w:cs="Times New Roman"/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181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1813"/>
    <w:rPr>
      <w:rFonts w:ascii="Myriad Pro" w:eastAsia="Calibri" w:hAnsi="Myriad Pro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FE18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h.hu/docs/hun/xftp/idoszaki/hazteletszinv/hazteletszinv.pdf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ti.h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sh.hu/docs/hun/xftp/idoszaki/letmin/letmin13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sh.hu/docs/hun/xftp/idoszaki/laekindikator/laekindikator10m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hirarena.com/4-8-millio-szegeny-magyarorszagon--uj-riportunk-korozs-lajos-szociologussal-_574" TargetMode="External"/><Relationship Id="rId14" Type="http://schemas.openxmlformats.org/officeDocument/2006/relationships/image" Target="media/image2.png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rsadalomkutatas.hu/kkk.php?TPUBL-A-912/publikaciok/tpubl_a_912.pdf" TargetMode="External"/><Relationship Id="rId2" Type="http://schemas.openxmlformats.org/officeDocument/2006/relationships/hyperlink" Target="http://www.ksh.hu/docs/hun/xftp/idoszaki/hazteletszinv/hazteletszinv14.pdf" TargetMode="External"/><Relationship Id="rId1" Type="http://schemas.openxmlformats.org/officeDocument/2006/relationships/hyperlink" Target="http://hvg.hu/gazdasag/20150624_Beszunteti_eddigi_letminimumvizsgalatait?s=hk" TargetMode="External"/><Relationship Id="rId4" Type="http://schemas.openxmlformats.org/officeDocument/2006/relationships/hyperlink" Target="http://www.hazaeshaladas.hu/ftp/elso_tanulmany/hattertanulmanyok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97D64-07EB-4C5B-A14E-62B46DD8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Orsos Julianna</dc:creator>
  <cp:keywords/>
  <dc:description/>
  <cp:lastModifiedBy>A.Scharle</cp:lastModifiedBy>
  <cp:revision>5</cp:revision>
  <cp:lastPrinted>2015-09-11T09:14:00Z</cp:lastPrinted>
  <dcterms:created xsi:type="dcterms:W3CDTF">2015-12-02T07:56:00Z</dcterms:created>
  <dcterms:modified xsi:type="dcterms:W3CDTF">2016-04-01T13:26:00Z</dcterms:modified>
</cp:coreProperties>
</file>