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theme/themeOverride2.xml" ContentType="application/vnd.openxmlformats-officedocument.themeOverride+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51D1584" w14:textId="77777777" w:rsidR="00D62858" w:rsidRPr="00986F85" w:rsidRDefault="00D62858" w:rsidP="00B04415">
      <w:pPr>
        <w:spacing w:after="0" w:line="360" w:lineRule="auto"/>
        <w:jc w:val="both"/>
        <w:rPr>
          <w:rFonts w:cs="Times New Roman"/>
          <w:b/>
          <w:szCs w:val="24"/>
        </w:rPr>
      </w:pPr>
      <w:bookmarkStart w:id="0" w:name="_GoBack"/>
      <w:bookmarkEnd w:id="0"/>
    </w:p>
    <w:p w14:paraId="47CF098C" w14:textId="77777777" w:rsidR="00D62858" w:rsidRPr="00986F85" w:rsidRDefault="00D62858" w:rsidP="00B04415">
      <w:pPr>
        <w:spacing w:after="0" w:line="360" w:lineRule="auto"/>
        <w:jc w:val="both"/>
        <w:rPr>
          <w:rFonts w:cs="Times New Roman"/>
          <w:b/>
          <w:szCs w:val="24"/>
        </w:rPr>
      </w:pPr>
    </w:p>
    <w:p w14:paraId="6CAE1A38" w14:textId="77777777" w:rsidR="00042EBE" w:rsidRPr="00986F85" w:rsidRDefault="00042EBE" w:rsidP="00B04415">
      <w:pPr>
        <w:spacing w:after="0" w:line="360" w:lineRule="auto"/>
        <w:jc w:val="both"/>
        <w:rPr>
          <w:rFonts w:cs="Times New Roman"/>
          <w:b/>
          <w:color w:val="B10000"/>
          <w:szCs w:val="24"/>
        </w:rPr>
      </w:pPr>
    </w:p>
    <w:p w14:paraId="6E30D8CB" w14:textId="77777777" w:rsidR="00042EBE" w:rsidRPr="00986F85" w:rsidRDefault="00042EBE" w:rsidP="00B04415">
      <w:pPr>
        <w:spacing w:after="0" w:line="360" w:lineRule="auto"/>
        <w:jc w:val="both"/>
        <w:rPr>
          <w:rFonts w:cs="Times New Roman"/>
          <w:b/>
          <w:color w:val="B10000"/>
          <w:szCs w:val="24"/>
        </w:rPr>
      </w:pPr>
    </w:p>
    <w:p w14:paraId="62F9C6B9" w14:textId="77777777" w:rsidR="00042EBE" w:rsidRPr="00986F85" w:rsidRDefault="00042EBE" w:rsidP="00B04415">
      <w:pPr>
        <w:spacing w:after="0" w:line="360" w:lineRule="auto"/>
        <w:jc w:val="both"/>
        <w:rPr>
          <w:rFonts w:cs="Times New Roman"/>
          <w:b/>
          <w:color w:val="B10000"/>
          <w:szCs w:val="24"/>
        </w:rPr>
      </w:pPr>
    </w:p>
    <w:p w14:paraId="2349A577" w14:textId="77777777" w:rsidR="00042EBE" w:rsidRPr="00986F85" w:rsidRDefault="00042EBE" w:rsidP="00B04415">
      <w:pPr>
        <w:spacing w:after="0" w:line="360" w:lineRule="auto"/>
        <w:jc w:val="both"/>
        <w:rPr>
          <w:rFonts w:cs="Times New Roman"/>
          <w:b/>
          <w:color w:val="B10000"/>
          <w:szCs w:val="24"/>
        </w:rPr>
      </w:pPr>
    </w:p>
    <w:p w14:paraId="5B5D7C2D" w14:textId="77777777" w:rsidR="000F498D" w:rsidRPr="00986F85" w:rsidRDefault="000F498D" w:rsidP="00B04415">
      <w:pPr>
        <w:spacing w:after="0" w:line="360" w:lineRule="auto"/>
        <w:jc w:val="center"/>
        <w:rPr>
          <w:b/>
          <w:szCs w:val="24"/>
        </w:rPr>
      </w:pPr>
      <w:r w:rsidRPr="00986F85">
        <w:rPr>
          <w:b/>
          <w:szCs w:val="24"/>
        </w:rPr>
        <w:t xml:space="preserve">Hatásvizsgálat a </w:t>
      </w:r>
      <w:r w:rsidRPr="00986F85">
        <w:rPr>
          <w:rFonts w:cs="Arial"/>
          <w:b/>
          <w:szCs w:val="24"/>
        </w:rPr>
        <w:t>komplex vállalati technológia-fejlesztés kis- és középvállalkozások számára</w:t>
      </w:r>
      <w:r w:rsidRPr="00986F85">
        <w:rPr>
          <w:b/>
          <w:szCs w:val="24"/>
        </w:rPr>
        <w:t xml:space="preserve"> konstrukciókról </w:t>
      </w:r>
    </w:p>
    <w:p w14:paraId="2C71C229" w14:textId="77777777" w:rsidR="00042EBE" w:rsidRPr="00986F85" w:rsidRDefault="00042EBE" w:rsidP="00B04415">
      <w:pPr>
        <w:spacing w:after="0" w:line="360" w:lineRule="auto"/>
        <w:jc w:val="center"/>
        <w:rPr>
          <w:rFonts w:cs="Times New Roman"/>
          <w:szCs w:val="24"/>
        </w:rPr>
      </w:pPr>
    </w:p>
    <w:p w14:paraId="23326362" w14:textId="77777777" w:rsidR="00E3356D" w:rsidRPr="00986F85" w:rsidRDefault="00E3356D" w:rsidP="00B04415">
      <w:pPr>
        <w:spacing w:after="0" w:line="360" w:lineRule="auto"/>
        <w:jc w:val="center"/>
        <w:rPr>
          <w:rFonts w:cs="Times New Roman"/>
          <w:szCs w:val="24"/>
        </w:rPr>
      </w:pPr>
      <w:r w:rsidRPr="00986F85">
        <w:rPr>
          <w:rFonts w:cs="Times New Roman"/>
          <w:szCs w:val="24"/>
        </w:rPr>
        <w:t>a Nemzeti Fejlesztési Ügynökség</w:t>
      </w:r>
    </w:p>
    <w:p w14:paraId="5F1B5AD3" w14:textId="77777777" w:rsidR="00E3356D" w:rsidRPr="00986F85" w:rsidRDefault="00E3356D" w:rsidP="00B04415">
      <w:pPr>
        <w:spacing w:after="0" w:line="360" w:lineRule="auto"/>
        <w:jc w:val="center"/>
        <w:rPr>
          <w:rFonts w:cs="Times New Roman"/>
          <w:szCs w:val="24"/>
        </w:rPr>
      </w:pPr>
    </w:p>
    <w:p w14:paraId="377841A5" w14:textId="77777777" w:rsidR="00E3356D" w:rsidRPr="00986F85" w:rsidRDefault="00E3356D" w:rsidP="00B04415">
      <w:pPr>
        <w:spacing w:after="0" w:line="360" w:lineRule="auto"/>
        <w:jc w:val="center"/>
        <w:outlineLvl w:val="0"/>
        <w:rPr>
          <w:rFonts w:cs="Times New Roman"/>
          <w:szCs w:val="24"/>
        </w:rPr>
      </w:pPr>
      <w:r w:rsidRPr="00986F85">
        <w:rPr>
          <w:rFonts w:cs="Times New Roman"/>
          <w:szCs w:val="24"/>
        </w:rPr>
        <w:t>részére</w:t>
      </w:r>
    </w:p>
    <w:p w14:paraId="1B7B2D7C" w14:textId="77777777" w:rsidR="00042EBE" w:rsidRPr="00986F85" w:rsidRDefault="00042EBE" w:rsidP="00B04415">
      <w:pPr>
        <w:spacing w:after="0" w:line="360" w:lineRule="auto"/>
        <w:jc w:val="center"/>
        <w:rPr>
          <w:rFonts w:cs="Times New Roman"/>
          <w:b/>
          <w:szCs w:val="24"/>
        </w:rPr>
      </w:pPr>
    </w:p>
    <w:p w14:paraId="5F8CC004" w14:textId="77777777" w:rsidR="00042EBE" w:rsidRPr="00986F85" w:rsidRDefault="00042EBE" w:rsidP="00B04415">
      <w:pPr>
        <w:spacing w:after="0" w:line="360" w:lineRule="auto"/>
        <w:jc w:val="center"/>
        <w:rPr>
          <w:rFonts w:cs="Times New Roman"/>
          <w:b/>
          <w:szCs w:val="24"/>
        </w:rPr>
      </w:pPr>
    </w:p>
    <w:p w14:paraId="35AF4EB8" w14:textId="77777777" w:rsidR="00042EBE" w:rsidRPr="00986F85" w:rsidRDefault="00042EBE" w:rsidP="00B04415">
      <w:pPr>
        <w:spacing w:after="0" w:line="360" w:lineRule="auto"/>
        <w:jc w:val="center"/>
        <w:outlineLvl w:val="0"/>
        <w:rPr>
          <w:rFonts w:cs="Times New Roman"/>
          <w:color w:val="B10000"/>
          <w:szCs w:val="24"/>
        </w:rPr>
      </w:pPr>
      <w:r w:rsidRPr="00986F85">
        <w:rPr>
          <w:rFonts w:cs="Times New Roman"/>
          <w:color w:val="B10000"/>
          <w:szCs w:val="24"/>
        </w:rPr>
        <w:t>1. lot – Statisztikai és ökonometriai elemzés</w:t>
      </w:r>
    </w:p>
    <w:p w14:paraId="216BA696" w14:textId="77777777" w:rsidR="00F37C5A" w:rsidRPr="00986F85" w:rsidRDefault="00F37C5A" w:rsidP="009A68E7"/>
    <w:p w14:paraId="39E295BE" w14:textId="77777777" w:rsidR="00042EBE" w:rsidRPr="00986F85" w:rsidRDefault="00042EBE" w:rsidP="009A68E7">
      <w:pPr>
        <w:rPr>
          <w:color w:val="B10000"/>
        </w:rPr>
      </w:pPr>
    </w:p>
    <w:p w14:paraId="44977E47" w14:textId="77777777" w:rsidR="00042EBE" w:rsidRPr="00986F85" w:rsidRDefault="00F37C5A" w:rsidP="00B04415">
      <w:pPr>
        <w:spacing w:after="0" w:line="360" w:lineRule="auto"/>
        <w:jc w:val="center"/>
        <w:rPr>
          <w:rFonts w:cs="Times New Roman"/>
          <w:b/>
          <w:color w:val="B10000"/>
          <w:szCs w:val="24"/>
        </w:rPr>
      </w:pPr>
      <w:r w:rsidRPr="00986F85">
        <w:rPr>
          <w:rFonts w:cs="Times New Roman"/>
          <w:b/>
          <w:color w:val="B10000"/>
          <w:szCs w:val="24"/>
        </w:rPr>
        <w:t>Vizsgálati jelentés</w:t>
      </w:r>
    </w:p>
    <w:p w14:paraId="02D444FC" w14:textId="77777777" w:rsidR="00042EBE" w:rsidRPr="00986F85" w:rsidRDefault="00042EBE" w:rsidP="00B04415">
      <w:pPr>
        <w:spacing w:after="0" w:line="360" w:lineRule="auto"/>
        <w:jc w:val="center"/>
        <w:rPr>
          <w:rFonts w:cs="Times New Roman"/>
          <w:b/>
          <w:color w:val="B10000"/>
          <w:szCs w:val="24"/>
        </w:rPr>
      </w:pPr>
    </w:p>
    <w:p w14:paraId="24672D33" w14:textId="77777777" w:rsidR="00042EBE" w:rsidRPr="00986F85" w:rsidRDefault="00042EBE" w:rsidP="00B04415">
      <w:pPr>
        <w:spacing w:after="0" w:line="360" w:lineRule="auto"/>
        <w:jc w:val="center"/>
        <w:rPr>
          <w:rFonts w:cs="Times New Roman"/>
          <w:b/>
          <w:color w:val="B10000"/>
          <w:szCs w:val="24"/>
        </w:rPr>
      </w:pPr>
    </w:p>
    <w:p w14:paraId="253DB31B" w14:textId="77777777" w:rsidR="00E3356D" w:rsidRPr="00986F85" w:rsidRDefault="00E3356D" w:rsidP="00B04415">
      <w:pPr>
        <w:spacing w:after="0" w:line="360" w:lineRule="auto"/>
        <w:jc w:val="center"/>
        <w:outlineLvl w:val="0"/>
        <w:rPr>
          <w:rFonts w:cs="Times New Roman"/>
          <w:b/>
          <w:color w:val="B10000"/>
          <w:szCs w:val="24"/>
        </w:rPr>
      </w:pPr>
      <w:r w:rsidRPr="00986F85">
        <w:rPr>
          <w:rFonts w:cs="Times New Roman"/>
          <w:b/>
          <w:color w:val="B10000"/>
          <w:szCs w:val="24"/>
        </w:rPr>
        <w:t>Budapest Szakpolitikai Elemző Intézet</w:t>
      </w:r>
    </w:p>
    <w:p w14:paraId="4B0CD86B" w14:textId="77777777" w:rsidR="00042EBE" w:rsidRPr="00986F85" w:rsidRDefault="00042EBE" w:rsidP="00B04415">
      <w:pPr>
        <w:spacing w:after="0" w:line="360" w:lineRule="auto"/>
        <w:jc w:val="center"/>
        <w:rPr>
          <w:rFonts w:cs="Times New Roman"/>
          <w:b/>
          <w:color w:val="B10000"/>
          <w:szCs w:val="24"/>
        </w:rPr>
      </w:pPr>
    </w:p>
    <w:p w14:paraId="46D750E5" w14:textId="77777777" w:rsidR="00042EBE" w:rsidRPr="00986F85" w:rsidRDefault="00042EBE" w:rsidP="00B04415">
      <w:pPr>
        <w:spacing w:after="0" w:line="360" w:lineRule="auto"/>
        <w:jc w:val="center"/>
        <w:rPr>
          <w:rFonts w:cs="Times New Roman"/>
          <w:b/>
          <w:color w:val="B10000"/>
          <w:szCs w:val="24"/>
        </w:rPr>
      </w:pPr>
    </w:p>
    <w:p w14:paraId="4D473ABB" w14:textId="77777777" w:rsidR="00042EBE" w:rsidRPr="00986F85" w:rsidRDefault="00042EBE" w:rsidP="00B04415">
      <w:pPr>
        <w:spacing w:after="0" w:line="360" w:lineRule="auto"/>
        <w:jc w:val="center"/>
        <w:rPr>
          <w:rFonts w:cs="Times New Roman"/>
          <w:b/>
          <w:color w:val="B10000"/>
          <w:szCs w:val="24"/>
        </w:rPr>
      </w:pPr>
    </w:p>
    <w:p w14:paraId="40A4F418" w14:textId="77777777" w:rsidR="00042EBE" w:rsidRPr="00986F85" w:rsidRDefault="00042EBE" w:rsidP="00B04415">
      <w:pPr>
        <w:spacing w:after="0" w:line="360" w:lineRule="auto"/>
        <w:jc w:val="center"/>
        <w:rPr>
          <w:rFonts w:cs="Times New Roman"/>
          <w:i/>
          <w:color w:val="B10000"/>
          <w:szCs w:val="24"/>
        </w:rPr>
      </w:pPr>
    </w:p>
    <w:p w14:paraId="13352698" w14:textId="77777777" w:rsidR="00042EBE" w:rsidRPr="00986F85" w:rsidRDefault="00042EBE" w:rsidP="00B04415">
      <w:pPr>
        <w:spacing w:after="0" w:line="360" w:lineRule="auto"/>
        <w:jc w:val="center"/>
        <w:rPr>
          <w:rFonts w:cs="Times New Roman"/>
          <w:b/>
          <w:color w:val="B10000"/>
          <w:szCs w:val="24"/>
        </w:rPr>
      </w:pPr>
    </w:p>
    <w:p w14:paraId="791661F1" w14:textId="77777777" w:rsidR="00042EBE" w:rsidRPr="00986F85" w:rsidRDefault="00042EBE" w:rsidP="00B04415">
      <w:pPr>
        <w:spacing w:after="0" w:line="360" w:lineRule="auto"/>
        <w:jc w:val="center"/>
        <w:rPr>
          <w:rFonts w:cs="Times New Roman"/>
          <w:b/>
          <w:color w:val="B10000"/>
          <w:szCs w:val="24"/>
        </w:rPr>
      </w:pPr>
    </w:p>
    <w:p w14:paraId="6AB85AC0" w14:textId="77777777" w:rsidR="00042EBE" w:rsidRPr="00986F85" w:rsidRDefault="00042EBE" w:rsidP="00B04415">
      <w:pPr>
        <w:spacing w:after="0" w:line="360" w:lineRule="auto"/>
        <w:jc w:val="center"/>
        <w:rPr>
          <w:rFonts w:cs="Times New Roman"/>
          <w:b/>
          <w:color w:val="B10000"/>
          <w:szCs w:val="24"/>
        </w:rPr>
      </w:pPr>
    </w:p>
    <w:p w14:paraId="3D7E6FDC" w14:textId="77777777" w:rsidR="00042EBE" w:rsidRPr="00986F85" w:rsidRDefault="00042EBE" w:rsidP="00B04415">
      <w:pPr>
        <w:spacing w:after="0" w:line="360" w:lineRule="auto"/>
        <w:jc w:val="center"/>
        <w:outlineLvl w:val="0"/>
        <w:rPr>
          <w:rFonts w:cs="Times New Roman"/>
          <w:b/>
          <w:color w:val="B10000"/>
          <w:szCs w:val="24"/>
        </w:rPr>
      </w:pPr>
      <w:r w:rsidRPr="00986F85">
        <w:rPr>
          <w:rFonts w:cs="Times New Roman"/>
          <w:b/>
          <w:color w:val="B10000"/>
          <w:szCs w:val="24"/>
        </w:rPr>
        <w:t>Budapest</w:t>
      </w:r>
    </w:p>
    <w:p w14:paraId="36962B48" w14:textId="77777777" w:rsidR="00533422" w:rsidRPr="00986F85" w:rsidRDefault="00E3356D" w:rsidP="00B04415">
      <w:pPr>
        <w:spacing w:after="0" w:line="360" w:lineRule="auto"/>
        <w:jc w:val="center"/>
        <w:rPr>
          <w:rFonts w:cs="Times New Roman"/>
          <w:b/>
          <w:color w:val="B10000"/>
          <w:szCs w:val="24"/>
        </w:rPr>
        <w:sectPr w:rsidR="00533422" w:rsidRPr="00986F85" w:rsidSect="00F308C3">
          <w:headerReference w:type="default" r:id="rId8"/>
          <w:footerReference w:type="even" r:id="rId9"/>
          <w:footerReference w:type="default" r:id="rId10"/>
          <w:headerReference w:type="first" r:id="rId11"/>
          <w:pgSz w:w="11906" w:h="16838"/>
          <w:pgMar w:top="1417" w:right="1417" w:bottom="1417" w:left="1417" w:header="720" w:footer="720" w:gutter="0"/>
          <w:cols w:space="720"/>
          <w:titlePg/>
          <w:docGrid w:linePitch="360"/>
        </w:sectPr>
      </w:pPr>
      <w:r w:rsidRPr="00986F85">
        <w:rPr>
          <w:rFonts w:cs="Times New Roman"/>
          <w:b/>
          <w:color w:val="B10000"/>
          <w:szCs w:val="24"/>
        </w:rPr>
        <w:t>2013</w:t>
      </w:r>
      <w:r w:rsidR="00042EBE" w:rsidRPr="00986F85">
        <w:rPr>
          <w:rFonts w:cs="Times New Roman"/>
          <w:b/>
          <w:color w:val="B10000"/>
          <w:szCs w:val="24"/>
        </w:rPr>
        <w:t>.</w:t>
      </w:r>
    </w:p>
    <w:p w14:paraId="3A073343" w14:textId="77777777" w:rsidR="00454220" w:rsidRPr="00986F85" w:rsidRDefault="00454220">
      <w:pPr>
        <w:pStyle w:val="TJ1"/>
        <w:rPr>
          <w:rFonts w:ascii="Myriad Pro" w:hAnsi="Myriad Pro"/>
          <w:noProof w:val="0"/>
        </w:rPr>
      </w:pPr>
      <w:r w:rsidRPr="00986F85">
        <w:rPr>
          <w:rFonts w:ascii="Myriad Pro" w:hAnsi="Myriad Pro"/>
          <w:noProof w:val="0"/>
        </w:rPr>
        <w:lastRenderedPageBreak/>
        <w:t>TARTALOMJEGYZÉK</w:t>
      </w:r>
    </w:p>
    <w:p w14:paraId="41465D78" w14:textId="77777777" w:rsidR="003E184E" w:rsidRPr="00986F85" w:rsidRDefault="007E1F98">
      <w:pPr>
        <w:pStyle w:val="TJ1"/>
        <w:rPr>
          <w:rFonts w:ascii="Myriad Pro" w:eastAsiaTheme="minorEastAsia" w:hAnsi="Myriad Pro" w:cstheme="minorBidi"/>
          <w:b w:val="0"/>
          <w:color w:val="auto"/>
          <w:lang w:val="en-US" w:eastAsia="ja-JP"/>
        </w:rPr>
      </w:pPr>
      <w:r w:rsidRPr="00986F85">
        <w:rPr>
          <w:rFonts w:ascii="Myriad Pro" w:hAnsi="Myriad Pro"/>
          <w:noProof w:val="0"/>
        </w:rPr>
        <w:fldChar w:fldCharType="begin"/>
      </w:r>
      <w:r w:rsidR="00E10AFB" w:rsidRPr="00986F85">
        <w:rPr>
          <w:rFonts w:ascii="Myriad Pro" w:hAnsi="Myriad Pro"/>
        </w:rPr>
        <w:instrText xml:space="preserve"> TOC \o "1-3" \h \z \u </w:instrText>
      </w:r>
      <w:r w:rsidRPr="00986F85">
        <w:rPr>
          <w:rFonts w:ascii="Myriad Pro" w:hAnsi="Myriad Pro"/>
          <w:noProof w:val="0"/>
        </w:rPr>
        <w:fldChar w:fldCharType="separate"/>
      </w:r>
      <w:r w:rsidR="003E184E" w:rsidRPr="00986F85">
        <w:rPr>
          <w:rFonts w:ascii="Myriad Pro" w:hAnsi="Myriad Pro"/>
          <w:caps/>
        </w:rPr>
        <w:t>Ábrajegyzék</w:t>
      </w:r>
      <w:r w:rsidR="003E184E" w:rsidRPr="00986F85">
        <w:rPr>
          <w:rFonts w:ascii="Myriad Pro" w:hAnsi="Myriad Pro"/>
        </w:rPr>
        <w:tab/>
      </w:r>
      <w:r w:rsidRPr="00986F85">
        <w:rPr>
          <w:rFonts w:ascii="Myriad Pro" w:hAnsi="Myriad Pro"/>
        </w:rPr>
        <w:fldChar w:fldCharType="begin"/>
      </w:r>
      <w:r w:rsidR="003E184E" w:rsidRPr="00986F85">
        <w:rPr>
          <w:rFonts w:ascii="Myriad Pro" w:hAnsi="Myriad Pro"/>
        </w:rPr>
        <w:instrText xml:space="preserve"> PAGEREF _Toc230854300 \h </w:instrText>
      </w:r>
      <w:r w:rsidRPr="00986F85">
        <w:rPr>
          <w:rFonts w:ascii="Myriad Pro" w:hAnsi="Myriad Pro"/>
        </w:rPr>
      </w:r>
      <w:r w:rsidRPr="00986F85">
        <w:rPr>
          <w:rFonts w:ascii="Myriad Pro" w:hAnsi="Myriad Pro"/>
        </w:rPr>
        <w:fldChar w:fldCharType="separate"/>
      </w:r>
      <w:r w:rsidR="003E184E" w:rsidRPr="00986F85">
        <w:rPr>
          <w:rFonts w:ascii="Myriad Pro" w:hAnsi="Myriad Pro"/>
        </w:rPr>
        <w:t>3</w:t>
      </w:r>
      <w:r w:rsidRPr="00986F85">
        <w:rPr>
          <w:rFonts w:ascii="Myriad Pro" w:hAnsi="Myriad Pro"/>
        </w:rPr>
        <w:fldChar w:fldCharType="end"/>
      </w:r>
    </w:p>
    <w:p w14:paraId="437C8D0D" w14:textId="77777777" w:rsidR="003E184E" w:rsidRPr="00986F85" w:rsidRDefault="003E184E">
      <w:pPr>
        <w:pStyle w:val="TJ1"/>
        <w:rPr>
          <w:rFonts w:ascii="Myriad Pro" w:eastAsiaTheme="minorEastAsia" w:hAnsi="Myriad Pro" w:cstheme="minorBidi"/>
          <w:b w:val="0"/>
          <w:color w:val="auto"/>
          <w:lang w:val="en-US" w:eastAsia="ja-JP"/>
        </w:rPr>
      </w:pPr>
      <w:r w:rsidRPr="00986F85">
        <w:rPr>
          <w:rFonts w:ascii="Myriad Pro" w:hAnsi="Myriad Pro"/>
          <w:caps/>
        </w:rPr>
        <w:t>Táblázatjegyzék</w:t>
      </w:r>
      <w:r w:rsidRPr="00986F85">
        <w:rPr>
          <w:rFonts w:ascii="Myriad Pro" w:hAnsi="Myriad Pro"/>
        </w:rPr>
        <w:tab/>
      </w:r>
      <w:r w:rsidR="007E1F98" w:rsidRPr="00986F85">
        <w:rPr>
          <w:rFonts w:ascii="Myriad Pro" w:hAnsi="Myriad Pro"/>
        </w:rPr>
        <w:fldChar w:fldCharType="begin"/>
      </w:r>
      <w:r w:rsidRPr="00986F85">
        <w:rPr>
          <w:rFonts w:ascii="Myriad Pro" w:hAnsi="Myriad Pro"/>
        </w:rPr>
        <w:instrText xml:space="preserve"> PAGEREF _Toc230854301 \h </w:instrText>
      </w:r>
      <w:r w:rsidR="007E1F98" w:rsidRPr="00986F85">
        <w:rPr>
          <w:rFonts w:ascii="Myriad Pro" w:hAnsi="Myriad Pro"/>
        </w:rPr>
      </w:r>
      <w:r w:rsidR="007E1F98" w:rsidRPr="00986F85">
        <w:rPr>
          <w:rFonts w:ascii="Myriad Pro" w:hAnsi="Myriad Pro"/>
        </w:rPr>
        <w:fldChar w:fldCharType="separate"/>
      </w:r>
      <w:r w:rsidRPr="00986F85">
        <w:rPr>
          <w:rFonts w:ascii="Myriad Pro" w:hAnsi="Myriad Pro"/>
        </w:rPr>
        <w:t>3</w:t>
      </w:r>
      <w:r w:rsidR="007E1F98" w:rsidRPr="00986F85">
        <w:rPr>
          <w:rFonts w:ascii="Myriad Pro" w:hAnsi="Myriad Pro"/>
        </w:rPr>
        <w:fldChar w:fldCharType="end"/>
      </w:r>
    </w:p>
    <w:p w14:paraId="1C3BF801" w14:textId="77777777" w:rsidR="003E184E" w:rsidRPr="00986F85" w:rsidRDefault="003E184E">
      <w:pPr>
        <w:pStyle w:val="TJ1"/>
        <w:rPr>
          <w:rFonts w:ascii="Myriad Pro" w:eastAsiaTheme="minorEastAsia" w:hAnsi="Myriad Pro" w:cstheme="minorBidi"/>
          <w:b w:val="0"/>
          <w:color w:val="auto"/>
          <w:lang w:val="en-US" w:eastAsia="ja-JP"/>
        </w:rPr>
      </w:pPr>
      <w:r w:rsidRPr="00986F85">
        <w:rPr>
          <w:rFonts w:ascii="Myriad Pro" w:hAnsi="Myriad Pro"/>
        </w:rPr>
        <w:t>VEZETŐI ŐSSZEFOGLALÓ</w:t>
      </w:r>
      <w:r w:rsidRPr="00986F85">
        <w:rPr>
          <w:rFonts w:ascii="Myriad Pro" w:hAnsi="Myriad Pro"/>
        </w:rPr>
        <w:tab/>
      </w:r>
      <w:r w:rsidR="007E1F98" w:rsidRPr="00986F85">
        <w:rPr>
          <w:rFonts w:ascii="Myriad Pro" w:hAnsi="Myriad Pro"/>
        </w:rPr>
        <w:fldChar w:fldCharType="begin"/>
      </w:r>
      <w:r w:rsidRPr="00986F85">
        <w:rPr>
          <w:rFonts w:ascii="Myriad Pro" w:hAnsi="Myriad Pro"/>
        </w:rPr>
        <w:instrText xml:space="preserve"> PAGEREF _Toc230854302 \h </w:instrText>
      </w:r>
      <w:r w:rsidR="007E1F98" w:rsidRPr="00986F85">
        <w:rPr>
          <w:rFonts w:ascii="Myriad Pro" w:hAnsi="Myriad Pro"/>
        </w:rPr>
      </w:r>
      <w:r w:rsidR="007E1F98" w:rsidRPr="00986F85">
        <w:rPr>
          <w:rFonts w:ascii="Myriad Pro" w:hAnsi="Myriad Pro"/>
        </w:rPr>
        <w:fldChar w:fldCharType="separate"/>
      </w:r>
      <w:r w:rsidRPr="00986F85">
        <w:rPr>
          <w:rFonts w:ascii="Myriad Pro" w:hAnsi="Myriad Pro"/>
        </w:rPr>
        <w:t>4</w:t>
      </w:r>
      <w:r w:rsidR="007E1F98" w:rsidRPr="00986F85">
        <w:rPr>
          <w:rFonts w:ascii="Myriad Pro" w:hAnsi="Myriad Pro"/>
        </w:rPr>
        <w:fldChar w:fldCharType="end"/>
      </w:r>
    </w:p>
    <w:p w14:paraId="43A5EE64" w14:textId="77777777" w:rsidR="003E184E" w:rsidRPr="00986F85" w:rsidRDefault="003E184E">
      <w:pPr>
        <w:pStyle w:val="TJ1"/>
        <w:rPr>
          <w:rFonts w:ascii="Myriad Pro" w:eastAsiaTheme="minorEastAsia" w:hAnsi="Myriad Pro" w:cstheme="minorBidi"/>
          <w:b w:val="0"/>
          <w:color w:val="auto"/>
          <w:lang w:val="en-US" w:eastAsia="ja-JP"/>
        </w:rPr>
      </w:pPr>
      <w:r w:rsidRPr="00986F85">
        <w:rPr>
          <w:rFonts w:ascii="Myriad Pro" w:hAnsi="Myriad Pro"/>
        </w:rPr>
        <w:t>BEVEZETŐ</w:t>
      </w:r>
      <w:r w:rsidRPr="00986F85">
        <w:rPr>
          <w:rFonts w:ascii="Myriad Pro" w:hAnsi="Myriad Pro"/>
        </w:rPr>
        <w:tab/>
      </w:r>
      <w:r w:rsidR="007E1F98" w:rsidRPr="00986F85">
        <w:rPr>
          <w:rFonts w:ascii="Myriad Pro" w:hAnsi="Myriad Pro"/>
        </w:rPr>
        <w:fldChar w:fldCharType="begin"/>
      </w:r>
      <w:r w:rsidRPr="00986F85">
        <w:rPr>
          <w:rFonts w:ascii="Myriad Pro" w:hAnsi="Myriad Pro"/>
        </w:rPr>
        <w:instrText xml:space="preserve"> PAGEREF _Toc230854303 \h </w:instrText>
      </w:r>
      <w:r w:rsidR="007E1F98" w:rsidRPr="00986F85">
        <w:rPr>
          <w:rFonts w:ascii="Myriad Pro" w:hAnsi="Myriad Pro"/>
        </w:rPr>
      </w:r>
      <w:r w:rsidR="007E1F98" w:rsidRPr="00986F85">
        <w:rPr>
          <w:rFonts w:ascii="Myriad Pro" w:hAnsi="Myriad Pro"/>
        </w:rPr>
        <w:fldChar w:fldCharType="separate"/>
      </w:r>
      <w:r w:rsidRPr="00986F85">
        <w:rPr>
          <w:rFonts w:ascii="Myriad Pro" w:hAnsi="Myriad Pro"/>
        </w:rPr>
        <w:t>14</w:t>
      </w:r>
      <w:r w:rsidR="007E1F98" w:rsidRPr="00986F85">
        <w:rPr>
          <w:rFonts w:ascii="Myriad Pro" w:hAnsi="Myriad Pro"/>
        </w:rPr>
        <w:fldChar w:fldCharType="end"/>
      </w:r>
    </w:p>
    <w:p w14:paraId="4FB75CBA" w14:textId="77777777" w:rsidR="003E184E" w:rsidRPr="00986F85" w:rsidRDefault="003E184E">
      <w:pPr>
        <w:pStyle w:val="TJ1"/>
        <w:rPr>
          <w:rFonts w:ascii="Myriad Pro" w:eastAsiaTheme="minorEastAsia" w:hAnsi="Myriad Pro" w:cstheme="minorBidi"/>
          <w:b w:val="0"/>
          <w:color w:val="auto"/>
          <w:lang w:val="en-US" w:eastAsia="ja-JP"/>
        </w:rPr>
      </w:pPr>
      <w:r w:rsidRPr="00986F85">
        <w:rPr>
          <w:rFonts w:ascii="Myriad Pro" w:hAnsi="Myriad Pro"/>
        </w:rPr>
        <w:t>I. A VIZSGÁLAT KERETE</w:t>
      </w:r>
      <w:r w:rsidRPr="00986F85">
        <w:rPr>
          <w:rFonts w:ascii="Myriad Pro" w:hAnsi="Myriad Pro"/>
        </w:rPr>
        <w:tab/>
      </w:r>
      <w:r w:rsidR="007E1F98" w:rsidRPr="00986F85">
        <w:rPr>
          <w:rFonts w:ascii="Myriad Pro" w:hAnsi="Myriad Pro"/>
        </w:rPr>
        <w:fldChar w:fldCharType="begin"/>
      </w:r>
      <w:r w:rsidRPr="00986F85">
        <w:rPr>
          <w:rFonts w:ascii="Myriad Pro" w:hAnsi="Myriad Pro"/>
        </w:rPr>
        <w:instrText xml:space="preserve"> PAGEREF _Toc230854304 \h </w:instrText>
      </w:r>
      <w:r w:rsidR="007E1F98" w:rsidRPr="00986F85">
        <w:rPr>
          <w:rFonts w:ascii="Myriad Pro" w:hAnsi="Myriad Pro"/>
        </w:rPr>
      </w:r>
      <w:r w:rsidR="007E1F98" w:rsidRPr="00986F85">
        <w:rPr>
          <w:rFonts w:ascii="Myriad Pro" w:hAnsi="Myriad Pro"/>
        </w:rPr>
        <w:fldChar w:fldCharType="separate"/>
      </w:r>
      <w:r w:rsidRPr="00986F85">
        <w:rPr>
          <w:rFonts w:ascii="Myriad Pro" w:hAnsi="Myriad Pro"/>
        </w:rPr>
        <w:t>14</w:t>
      </w:r>
      <w:r w:rsidR="007E1F98" w:rsidRPr="00986F85">
        <w:rPr>
          <w:rFonts w:ascii="Myriad Pro" w:hAnsi="Myriad Pro"/>
        </w:rPr>
        <w:fldChar w:fldCharType="end"/>
      </w:r>
    </w:p>
    <w:p w14:paraId="486D22B6" w14:textId="77777777" w:rsidR="003E184E" w:rsidRPr="00986F85" w:rsidRDefault="003E184E">
      <w:pPr>
        <w:pStyle w:val="TJ2"/>
        <w:tabs>
          <w:tab w:val="right" w:leader="dot" w:pos="9062"/>
        </w:tabs>
        <w:rPr>
          <w:rFonts w:ascii="Myriad Pro" w:eastAsiaTheme="minorEastAsia" w:hAnsi="Myriad Pro" w:cstheme="minorBidi"/>
          <w:noProof/>
          <w:sz w:val="24"/>
          <w:szCs w:val="24"/>
          <w:lang w:val="en-US" w:eastAsia="ja-JP"/>
        </w:rPr>
      </w:pPr>
      <w:r w:rsidRPr="00986F85">
        <w:rPr>
          <w:rFonts w:ascii="Myriad Pro" w:hAnsi="Myriad Pro"/>
          <w:noProof/>
        </w:rPr>
        <w:t>VIZSGÁLAT CÉLJA</w:t>
      </w:r>
      <w:r w:rsidRPr="00986F85">
        <w:rPr>
          <w:rFonts w:ascii="Myriad Pro" w:hAnsi="Myriad Pro"/>
          <w:noProof/>
        </w:rPr>
        <w:tab/>
      </w:r>
      <w:r w:rsidR="007E1F98" w:rsidRPr="00986F85">
        <w:rPr>
          <w:rFonts w:ascii="Myriad Pro" w:hAnsi="Myriad Pro"/>
          <w:noProof/>
        </w:rPr>
        <w:fldChar w:fldCharType="begin"/>
      </w:r>
      <w:r w:rsidRPr="00986F85">
        <w:rPr>
          <w:rFonts w:ascii="Myriad Pro" w:hAnsi="Myriad Pro"/>
          <w:noProof/>
        </w:rPr>
        <w:instrText xml:space="preserve"> PAGEREF _Toc230854305 \h </w:instrText>
      </w:r>
      <w:r w:rsidR="007E1F98" w:rsidRPr="00986F85">
        <w:rPr>
          <w:rFonts w:ascii="Myriad Pro" w:hAnsi="Myriad Pro"/>
          <w:noProof/>
        </w:rPr>
      </w:r>
      <w:r w:rsidR="007E1F98" w:rsidRPr="00986F85">
        <w:rPr>
          <w:rFonts w:ascii="Myriad Pro" w:hAnsi="Myriad Pro"/>
          <w:noProof/>
        </w:rPr>
        <w:fldChar w:fldCharType="separate"/>
      </w:r>
      <w:r w:rsidRPr="00986F85">
        <w:rPr>
          <w:rFonts w:ascii="Myriad Pro" w:hAnsi="Myriad Pro"/>
          <w:noProof/>
        </w:rPr>
        <w:t>14</w:t>
      </w:r>
      <w:r w:rsidR="007E1F98" w:rsidRPr="00986F85">
        <w:rPr>
          <w:rFonts w:ascii="Myriad Pro" w:hAnsi="Myriad Pro"/>
          <w:noProof/>
        </w:rPr>
        <w:fldChar w:fldCharType="end"/>
      </w:r>
    </w:p>
    <w:p w14:paraId="1DD98379" w14:textId="77777777" w:rsidR="003E184E" w:rsidRPr="00986F85" w:rsidRDefault="003E184E">
      <w:pPr>
        <w:pStyle w:val="TJ2"/>
        <w:tabs>
          <w:tab w:val="right" w:leader="dot" w:pos="9062"/>
        </w:tabs>
        <w:rPr>
          <w:rFonts w:ascii="Myriad Pro" w:eastAsiaTheme="minorEastAsia" w:hAnsi="Myriad Pro" w:cstheme="minorBidi"/>
          <w:noProof/>
          <w:sz w:val="24"/>
          <w:szCs w:val="24"/>
          <w:lang w:val="en-US" w:eastAsia="ja-JP"/>
        </w:rPr>
      </w:pPr>
      <w:r w:rsidRPr="00986F85">
        <w:rPr>
          <w:rFonts w:ascii="Myriad Pro" w:hAnsi="Myriad Pro"/>
          <w:noProof/>
        </w:rPr>
        <w:t>VIZSGÁLT INTÉZKEDÉSEK BEMUTATÁSA</w:t>
      </w:r>
      <w:r w:rsidRPr="00986F85">
        <w:rPr>
          <w:rFonts w:ascii="Myriad Pro" w:hAnsi="Myriad Pro"/>
          <w:noProof/>
        </w:rPr>
        <w:tab/>
      </w:r>
      <w:r w:rsidR="007E1F98" w:rsidRPr="00986F85">
        <w:rPr>
          <w:rFonts w:ascii="Myriad Pro" w:hAnsi="Myriad Pro"/>
          <w:noProof/>
        </w:rPr>
        <w:fldChar w:fldCharType="begin"/>
      </w:r>
      <w:r w:rsidRPr="00986F85">
        <w:rPr>
          <w:rFonts w:ascii="Myriad Pro" w:hAnsi="Myriad Pro"/>
          <w:noProof/>
        </w:rPr>
        <w:instrText xml:space="preserve"> PAGEREF _Toc230854306 \h </w:instrText>
      </w:r>
      <w:r w:rsidR="007E1F98" w:rsidRPr="00986F85">
        <w:rPr>
          <w:rFonts w:ascii="Myriad Pro" w:hAnsi="Myriad Pro"/>
          <w:noProof/>
        </w:rPr>
      </w:r>
      <w:r w:rsidR="007E1F98" w:rsidRPr="00986F85">
        <w:rPr>
          <w:rFonts w:ascii="Myriad Pro" w:hAnsi="Myriad Pro"/>
          <w:noProof/>
        </w:rPr>
        <w:fldChar w:fldCharType="separate"/>
      </w:r>
      <w:r w:rsidRPr="00986F85">
        <w:rPr>
          <w:rFonts w:ascii="Myriad Pro" w:hAnsi="Myriad Pro"/>
          <w:noProof/>
        </w:rPr>
        <w:t>15</w:t>
      </w:r>
      <w:r w:rsidR="007E1F98" w:rsidRPr="00986F85">
        <w:rPr>
          <w:rFonts w:ascii="Myriad Pro" w:hAnsi="Myriad Pro"/>
          <w:noProof/>
        </w:rPr>
        <w:fldChar w:fldCharType="end"/>
      </w:r>
    </w:p>
    <w:p w14:paraId="3C958D40" w14:textId="77777777" w:rsidR="003E184E" w:rsidRPr="00986F85" w:rsidRDefault="003E184E">
      <w:pPr>
        <w:pStyle w:val="TJ2"/>
        <w:tabs>
          <w:tab w:val="right" w:leader="dot" w:pos="9062"/>
        </w:tabs>
        <w:rPr>
          <w:rFonts w:ascii="Myriad Pro" w:eastAsiaTheme="minorEastAsia" w:hAnsi="Myriad Pro" w:cstheme="minorBidi"/>
          <w:noProof/>
          <w:sz w:val="24"/>
          <w:szCs w:val="24"/>
          <w:lang w:val="en-US" w:eastAsia="ja-JP"/>
        </w:rPr>
      </w:pPr>
      <w:r w:rsidRPr="00986F85">
        <w:rPr>
          <w:rFonts w:ascii="Myriad Pro" w:hAnsi="Myriad Pro"/>
          <w:noProof/>
        </w:rPr>
        <w:t>VIZSGÁLATI KÉRDÉSEK</w:t>
      </w:r>
      <w:r w:rsidRPr="00986F85">
        <w:rPr>
          <w:rFonts w:ascii="Myriad Pro" w:hAnsi="Myriad Pro"/>
          <w:noProof/>
        </w:rPr>
        <w:tab/>
      </w:r>
      <w:r w:rsidR="007E1F98" w:rsidRPr="00986F85">
        <w:rPr>
          <w:rFonts w:ascii="Myriad Pro" w:hAnsi="Myriad Pro"/>
          <w:noProof/>
        </w:rPr>
        <w:fldChar w:fldCharType="begin"/>
      </w:r>
      <w:r w:rsidRPr="00986F85">
        <w:rPr>
          <w:rFonts w:ascii="Myriad Pro" w:hAnsi="Myriad Pro"/>
          <w:noProof/>
        </w:rPr>
        <w:instrText xml:space="preserve"> PAGEREF _Toc230854307 \h </w:instrText>
      </w:r>
      <w:r w:rsidR="007E1F98" w:rsidRPr="00986F85">
        <w:rPr>
          <w:rFonts w:ascii="Myriad Pro" w:hAnsi="Myriad Pro"/>
          <w:noProof/>
        </w:rPr>
      </w:r>
      <w:r w:rsidR="007E1F98" w:rsidRPr="00986F85">
        <w:rPr>
          <w:rFonts w:ascii="Myriad Pro" w:hAnsi="Myriad Pro"/>
          <w:noProof/>
        </w:rPr>
        <w:fldChar w:fldCharType="separate"/>
      </w:r>
      <w:r w:rsidRPr="00986F85">
        <w:rPr>
          <w:rFonts w:ascii="Myriad Pro" w:hAnsi="Myriad Pro"/>
          <w:noProof/>
        </w:rPr>
        <w:t>17</w:t>
      </w:r>
      <w:r w:rsidR="007E1F98" w:rsidRPr="00986F85">
        <w:rPr>
          <w:rFonts w:ascii="Myriad Pro" w:hAnsi="Myriad Pro"/>
          <w:noProof/>
        </w:rPr>
        <w:fldChar w:fldCharType="end"/>
      </w:r>
    </w:p>
    <w:p w14:paraId="5058B75A" w14:textId="77777777" w:rsidR="003E184E" w:rsidRPr="00986F85" w:rsidRDefault="003E184E">
      <w:pPr>
        <w:pStyle w:val="TJ2"/>
        <w:tabs>
          <w:tab w:val="right" w:leader="dot" w:pos="9062"/>
        </w:tabs>
        <w:rPr>
          <w:rFonts w:ascii="Myriad Pro" w:eastAsiaTheme="minorEastAsia" w:hAnsi="Myriad Pro" w:cstheme="minorBidi"/>
          <w:noProof/>
          <w:sz w:val="24"/>
          <w:szCs w:val="24"/>
          <w:lang w:val="en-US" w:eastAsia="ja-JP"/>
        </w:rPr>
      </w:pPr>
      <w:r w:rsidRPr="00986F85">
        <w:rPr>
          <w:rFonts w:ascii="Myriad Pro" w:hAnsi="Myriad Pro"/>
          <w:noProof/>
        </w:rPr>
        <w:t>VIZSGÁLAT MENETE, ALKALMAZOTT MÓDSZERTAN</w:t>
      </w:r>
      <w:r w:rsidRPr="00986F85">
        <w:rPr>
          <w:rFonts w:ascii="Myriad Pro" w:hAnsi="Myriad Pro"/>
          <w:noProof/>
        </w:rPr>
        <w:tab/>
      </w:r>
      <w:r w:rsidR="007E1F98" w:rsidRPr="00986F85">
        <w:rPr>
          <w:rFonts w:ascii="Myriad Pro" w:hAnsi="Myriad Pro"/>
          <w:noProof/>
        </w:rPr>
        <w:fldChar w:fldCharType="begin"/>
      </w:r>
      <w:r w:rsidRPr="00986F85">
        <w:rPr>
          <w:rFonts w:ascii="Myriad Pro" w:hAnsi="Myriad Pro"/>
          <w:noProof/>
        </w:rPr>
        <w:instrText xml:space="preserve"> PAGEREF _Toc230854308 \h </w:instrText>
      </w:r>
      <w:r w:rsidR="007E1F98" w:rsidRPr="00986F85">
        <w:rPr>
          <w:rFonts w:ascii="Myriad Pro" w:hAnsi="Myriad Pro"/>
          <w:noProof/>
        </w:rPr>
      </w:r>
      <w:r w:rsidR="007E1F98" w:rsidRPr="00986F85">
        <w:rPr>
          <w:rFonts w:ascii="Myriad Pro" w:hAnsi="Myriad Pro"/>
          <w:noProof/>
        </w:rPr>
        <w:fldChar w:fldCharType="separate"/>
      </w:r>
      <w:r w:rsidRPr="00986F85">
        <w:rPr>
          <w:rFonts w:ascii="Myriad Pro" w:hAnsi="Myriad Pro"/>
          <w:noProof/>
        </w:rPr>
        <w:t>18</w:t>
      </w:r>
      <w:r w:rsidR="007E1F98" w:rsidRPr="00986F85">
        <w:rPr>
          <w:rFonts w:ascii="Myriad Pro" w:hAnsi="Myriad Pro"/>
          <w:noProof/>
        </w:rPr>
        <w:fldChar w:fldCharType="end"/>
      </w:r>
    </w:p>
    <w:p w14:paraId="767ECF22" w14:textId="77777777" w:rsidR="003E184E" w:rsidRPr="00986F85" w:rsidRDefault="003E184E">
      <w:pPr>
        <w:pStyle w:val="TJ1"/>
        <w:rPr>
          <w:rFonts w:ascii="Myriad Pro" w:eastAsiaTheme="minorEastAsia" w:hAnsi="Myriad Pro" w:cstheme="minorBidi"/>
          <w:b w:val="0"/>
          <w:color w:val="auto"/>
          <w:lang w:val="en-US" w:eastAsia="ja-JP"/>
        </w:rPr>
      </w:pPr>
      <w:r w:rsidRPr="00986F85">
        <w:rPr>
          <w:rFonts w:ascii="Myriad Pro" w:hAnsi="Myriad Pro"/>
        </w:rPr>
        <w:t>II. VIZSGÁLAT MEGALAPOZÁSA</w:t>
      </w:r>
      <w:r w:rsidRPr="00986F85">
        <w:rPr>
          <w:rFonts w:ascii="Myriad Pro" w:hAnsi="Myriad Pro"/>
        </w:rPr>
        <w:tab/>
      </w:r>
      <w:r w:rsidR="007E1F98" w:rsidRPr="00986F85">
        <w:rPr>
          <w:rFonts w:ascii="Myriad Pro" w:hAnsi="Myriad Pro"/>
        </w:rPr>
        <w:fldChar w:fldCharType="begin"/>
      </w:r>
      <w:r w:rsidRPr="00986F85">
        <w:rPr>
          <w:rFonts w:ascii="Myriad Pro" w:hAnsi="Myriad Pro"/>
        </w:rPr>
        <w:instrText xml:space="preserve"> PAGEREF _Toc230854309 \h </w:instrText>
      </w:r>
      <w:r w:rsidR="007E1F98" w:rsidRPr="00986F85">
        <w:rPr>
          <w:rFonts w:ascii="Myriad Pro" w:hAnsi="Myriad Pro"/>
        </w:rPr>
      </w:r>
      <w:r w:rsidR="007E1F98" w:rsidRPr="00986F85">
        <w:rPr>
          <w:rFonts w:ascii="Myriad Pro" w:hAnsi="Myriad Pro"/>
        </w:rPr>
        <w:fldChar w:fldCharType="separate"/>
      </w:r>
      <w:r w:rsidRPr="00986F85">
        <w:rPr>
          <w:rFonts w:ascii="Myriad Pro" w:hAnsi="Myriad Pro"/>
        </w:rPr>
        <w:t>21</w:t>
      </w:r>
      <w:r w:rsidR="007E1F98" w:rsidRPr="00986F85">
        <w:rPr>
          <w:rFonts w:ascii="Myriad Pro" w:hAnsi="Myriad Pro"/>
        </w:rPr>
        <w:fldChar w:fldCharType="end"/>
      </w:r>
    </w:p>
    <w:p w14:paraId="79DD4A94" w14:textId="77777777" w:rsidR="003E184E" w:rsidRPr="00986F85" w:rsidRDefault="003E184E">
      <w:pPr>
        <w:pStyle w:val="TJ2"/>
        <w:tabs>
          <w:tab w:val="right" w:leader="dot" w:pos="9062"/>
        </w:tabs>
        <w:rPr>
          <w:rFonts w:ascii="Myriad Pro" w:eastAsiaTheme="minorEastAsia" w:hAnsi="Myriad Pro" w:cstheme="minorBidi"/>
          <w:noProof/>
          <w:sz w:val="24"/>
          <w:szCs w:val="24"/>
          <w:lang w:val="en-US" w:eastAsia="ja-JP"/>
        </w:rPr>
      </w:pPr>
      <w:r w:rsidRPr="00986F85">
        <w:rPr>
          <w:rFonts w:ascii="Myriad Pro" w:hAnsi="Myriad Pro"/>
          <w:noProof/>
        </w:rPr>
        <w:t>FEJLESZTÉSPOLITIKAI KONTEXTUS</w:t>
      </w:r>
      <w:r w:rsidRPr="00986F85">
        <w:rPr>
          <w:rFonts w:ascii="Myriad Pro" w:hAnsi="Myriad Pro"/>
          <w:noProof/>
        </w:rPr>
        <w:tab/>
      </w:r>
      <w:r w:rsidR="007E1F98" w:rsidRPr="00986F85">
        <w:rPr>
          <w:rFonts w:ascii="Myriad Pro" w:hAnsi="Myriad Pro"/>
          <w:noProof/>
        </w:rPr>
        <w:fldChar w:fldCharType="begin"/>
      </w:r>
      <w:r w:rsidRPr="00986F85">
        <w:rPr>
          <w:rFonts w:ascii="Myriad Pro" w:hAnsi="Myriad Pro"/>
          <w:noProof/>
        </w:rPr>
        <w:instrText xml:space="preserve"> PAGEREF _Toc230854310 \h </w:instrText>
      </w:r>
      <w:r w:rsidR="007E1F98" w:rsidRPr="00986F85">
        <w:rPr>
          <w:rFonts w:ascii="Myriad Pro" w:hAnsi="Myriad Pro"/>
          <w:noProof/>
        </w:rPr>
      </w:r>
      <w:r w:rsidR="007E1F98" w:rsidRPr="00986F85">
        <w:rPr>
          <w:rFonts w:ascii="Myriad Pro" w:hAnsi="Myriad Pro"/>
          <w:noProof/>
        </w:rPr>
        <w:fldChar w:fldCharType="separate"/>
      </w:r>
      <w:r w:rsidRPr="00986F85">
        <w:rPr>
          <w:rFonts w:ascii="Myriad Pro" w:hAnsi="Myriad Pro"/>
          <w:noProof/>
        </w:rPr>
        <w:t>21</w:t>
      </w:r>
      <w:r w:rsidR="007E1F98" w:rsidRPr="00986F85">
        <w:rPr>
          <w:rFonts w:ascii="Myriad Pro" w:hAnsi="Myriad Pro"/>
          <w:noProof/>
        </w:rPr>
        <w:fldChar w:fldCharType="end"/>
      </w:r>
    </w:p>
    <w:p w14:paraId="3982FA17" w14:textId="77777777" w:rsidR="003E184E" w:rsidRPr="00986F85" w:rsidRDefault="003E184E">
      <w:pPr>
        <w:pStyle w:val="TJ2"/>
        <w:tabs>
          <w:tab w:val="right" w:leader="dot" w:pos="9062"/>
        </w:tabs>
        <w:rPr>
          <w:rFonts w:ascii="Myriad Pro" w:eastAsiaTheme="minorEastAsia" w:hAnsi="Myriad Pro" w:cstheme="minorBidi"/>
          <w:noProof/>
          <w:sz w:val="24"/>
          <w:szCs w:val="24"/>
          <w:lang w:val="en-US" w:eastAsia="ja-JP"/>
        </w:rPr>
      </w:pPr>
      <w:r w:rsidRPr="00986F85">
        <w:rPr>
          <w:rFonts w:ascii="Myriad Pro" w:hAnsi="Myriad Pro"/>
          <w:noProof/>
        </w:rPr>
        <w:t>KORÁBBI VIZSGÁLATOK EREDMÉNYEI</w:t>
      </w:r>
      <w:r w:rsidRPr="00986F85">
        <w:rPr>
          <w:rFonts w:ascii="Myriad Pro" w:hAnsi="Myriad Pro"/>
          <w:noProof/>
        </w:rPr>
        <w:tab/>
      </w:r>
      <w:r w:rsidR="007E1F98" w:rsidRPr="00986F85">
        <w:rPr>
          <w:rFonts w:ascii="Myriad Pro" w:hAnsi="Myriad Pro"/>
          <w:noProof/>
        </w:rPr>
        <w:fldChar w:fldCharType="begin"/>
      </w:r>
      <w:r w:rsidRPr="00986F85">
        <w:rPr>
          <w:rFonts w:ascii="Myriad Pro" w:hAnsi="Myriad Pro"/>
          <w:noProof/>
        </w:rPr>
        <w:instrText xml:space="preserve"> PAGEREF _Toc230854311 \h </w:instrText>
      </w:r>
      <w:r w:rsidR="007E1F98" w:rsidRPr="00986F85">
        <w:rPr>
          <w:rFonts w:ascii="Myriad Pro" w:hAnsi="Myriad Pro"/>
          <w:noProof/>
        </w:rPr>
      </w:r>
      <w:r w:rsidR="007E1F98" w:rsidRPr="00986F85">
        <w:rPr>
          <w:rFonts w:ascii="Myriad Pro" w:hAnsi="Myriad Pro"/>
          <w:noProof/>
        </w:rPr>
        <w:fldChar w:fldCharType="separate"/>
      </w:r>
      <w:r w:rsidRPr="00986F85">
        <w:rPr>
          <w:rFonts w:ascii="Myriad Pro" w:hAnsi="Myriad Pro"/>
          <w:noProof/>
        </w:rPr>
        <w:t>22</w:t>
      </w:r>
      <w:r w:rsidR="007E1F98" w:rsidRPr="00986F85">
        <w:rPr>
          <w:rFonts w:ascii="Myriad Pro" w:hAnsi="Myriad Pro"/>
          <w:noProof/>
        </w:rPr>
        <w:fldChar w:fldCharType="end"/>
      </w:r>
    </w:p>
    <w:p w14:paraId="70C1149A" w14:textId="77777777" w:rsidR="003E184E" w:rsidRPr="00986F85" w:rsidRDefault="003E184E">
      <w:pPr>
        <w:pStyle w:val="TJ3"/>
        <w:tabs>
          <w:tab w:val="right" w:leader="dot" w:pos="9062"/>
        </w:tabs>
        <w:rPr>
          <w:rFonts w:ascii="Myriad Pro" w:eastAsiaTheme="minorEastAsia" w:hAnsi="Myriad Pro" w:cstheme="minorBidi"/>
          <w:i w:val="0"/>
          <w:noProof/>
          <w:sz w:val="24"/>
          <w:szCs w:val="24"/>
          <w:lang w:val="en-US" w:eastAsia="ja-JP"/>
        </w:rPr>
      </w:pPr>
      <w:r w:rsidRPr="00986F85">
        <w:rPr>
          <w:rFonts w:ascii="Myriad Pro" w:hAnsi="Myriad Pro"/>
          <w:noProof/>
        </w:rPr>
        <w:t>Vonatkozó hazai elemzések</w:t>
      </w:r>
      <w:r w:rsidRPr="00986F85">
        <w:rPr>
          <w:rFonts w:ascii="Myriad Pro" w:hAnsi="Myriad Pro"/>
          <w:noProof/>
        </w:rPr>
        <w:tab/>
      </w:r>
      <w:r w:rsidR="007E1F98" w:rsidRPr="00986F85">
        <w:rPr>
          <w:rFonts w:ascii="Myriad Pro" w:hAnsi="Myriad Pro"/>
          <w:noProof/>
        </w:rPr>
        <w:fldChar w:fldCharType="begin"/>
      </w:r>
      <w:r w:rsidRPr="00986F85">
        <w:rPr>
          <w:rFonts w:ascii="Myriad Pro" w:hAnsi="Myriad Pro"/>
          <w:noProof/>
        </w:rPr>
        <w:instrText xml:space="preserve"> PAGEREF _Toc230854312 \h </w:instrText>
      </w:r>
      <w:r w:rsidR="007E1F98" w:rsidRPr="00986F85">
        <w:rPr>
          <w:rFonts w:ascii="Myriad Pro" w:hAnsi="Myriad Pro"/>
          <w:noProof/>
        </w:rPr>
      </w:r>
      <w:r w:rsidR="007E1F98" w:rsidRPr="00986F85">
        <w:rPr>
          <w:rFonts w:ascii="Myriad Pro" w:hAnsi="Myriad Pro"/>
          <w:noProof/>
        </w:rPr>
        <w:fldChar w:fldCharType="separate"/>
      </w:r>
      <w:r w:rsidRPr="00986F85">
        <w:rPr>
          <w:rFonts w:ascii="Myriad Pro" w:hAnsi="Myriad Pro"/>
          <w:noProof/>
        </w:rPr>
        <w:t>22</w:t>
      </w:r>
      <w:r w:rsidR="007E1F98" w:rsidRPr="00986F85">
        <w:rPr>
          <w:rFonts w:ascii="Myriad Pro" w:hAnsi="Myriad Pro"/>
          <w:noProof/>
        </w:rPr>
        <w:fldChar w:fldCharType="end"/>
      </w:r>
    </w:p>
    <w:p w14:paraId="3A404664" w14:textId="77777777" w:rsidR="003E184E" w:rsidRPr="00986F85" w:rsidRDefault="003E184E">
      <w:pPr>
        <w:pStyle w:val="TJ2"/>
        <w:tabs>
          <w:tab w:val="right" w:leader="dot" w:pos="9062"/>
        </w:tabs>
        <w:rPr>
          <w:rFonts w:ascii="Myriad Pro" w:eastAsiaTheme="minorEastAsia" w:hAnsi="Myriad Pro" w:cstheme="minorBidi"/>
          <w:noProof/>
          <w:sz w:val="24"/>
          <w:szCs w:val="24"/>
          <w:lang w:val="en-US" w:eastAsia="ja-JP"/>
        </w:rPr>
      </w:pPr>
      <w:r w:rsidRPr="00986F85">
        <w:rPr>
          <w:rFonts w:ascii="Myriad Pro" w:hAnsi="Myriad Pro"/>
          <w:noProof/>
        </w:rPr>
        <w:t>ADATBÁZISOK BEMUTATÁSA</w:t>
      </w:r>
      <w:r w:rsidRPr="00986F85">
        <w:rPr>
          <w:rFonts w:ascii="Myriad Pro" w:hAnsi="Myriad Pro"/>
          <w:noProof/>
        </w:rPr>
        <w:tab/>
      </w:r>
      <w:r w:rsidR="007E1F98" w:rsidRPr="00986F85">
        <w:rPr>
          <w:rFonts w:ascii="Myriad Pro" w:hAnsi="Myriad Pro"/>
          <w:noProof/>
        </w:rPr>
        <w:fldChar w:fldCharType="begin"/>
      </w:r>
      <w:r w:rsidRPr="00986F85">
        <w:rPr>
          <w:rFonts w:ascii="Myriad Pro" w:hAnsi="Myriad Pro"/>
          <w:noProof/>
        </w:rPr>
        <w:instrText xml:space="preserve"> PAGEREF _Toc230854313 \h </w:instrText>
      </w:r>
      <w:r w:rsidR="007E1F98" w:rsidRPr="00986F85">
        <w:rPr>
          <w:rFonts w:ascii="Myriad Pro" w:hAnsi="Myriad Pro"/>
          <w:noProof/>
        </w:rPr>
      </w:r>
      <w:r w:rsidR="007E1F98" w:rsidRPr="00986F85">
        <w:rPr>
          <w:rFonts w:ascii="Myriad Pro" w:hAnsi="Myriad Pro"/>
          <w:noProof/>
        </w:rPr>
        <w:fldChar w:fldCharType="separate"/>
      </w:r>
      <w:r w:rsidRPr="00986F85">
        <w:rPr>
          <w:rFonts w:ascii="Myriad Pro" w:hAnsi="Myriad Pro"/>
          <w:noProof/>
        </w:rPr>
        <w:t>25</w:t>
      </w:r>
      <w:r w:rsidR="007E1F98" w:rsidRPr="00986F85">
        <w:rPr>
          <w:rFonts w:ascii="Myriad Pro" w:hAnsi="Myriad Pro"/>
          <w:noProof/>
        </w:rPr>
        <w:fldChar w:fldCharType="end"/>
      </w:r>
    </w:p>
    <w:p w14:paraId="4ED93A47" w14:textId="77777777" w:rsidR="003E184E" w:rsidRPr="00986F85" w:rsidRDefault="003E184E">
      <w:pPr>
        <w:pStyle w:val="TJ3"/>
        <w:tabs>
          <w:tab w:val="right" w:leader="dot" w:pos="9062"/>
        </w:tabs>
        <w:rPr>
          <w:rFonts w:ascii="Myriad Pro" w:eastAsiaTheme="minorEastAsia" w:hAnsi="Myriad Pro" w:cstheme="minorBidi"/>
          <w:i w:val="0"/>
          <w:noProof/>
          <w:sz w:val="24"/>
          <w:szCs w:val="24"/>
          <w:lang w:val="en-US" w:eastAsia="ja-JP"/>
        </w:rPr>
      </w:pPr>
      <w:r w:rsidRPr="00986F85">
        <w:rPr>
          <w:rFonts w:ascii="Myriad Pro" w:hAnsi="Myriad Pro"/>
          <w:noProof/>
        </w:rPr>
        <w:t>Kontroll (NAV) adatbázis jellemzése</w:t>
      </w:r>
      <w:r w:rsidRPr="00986F85">
        <w:rPr>
          <w:rFonts w:ascii="Myriad Pro" w:hAnsi="Myriad Pro"/>
          <w:noProof/>
        </w:rPr>
        <w:tab/>
      </w:r>
      <w:r w:rsidR="007E1F98" w:rsidRPr="00986F85">
        <w:rPr>
          <w:rFonts w:ascii="Myriad Pro" w:hAnsi="Myriad Pro"/>
          <w:noProof/>
        </w:rPr>
        <w:fldChar w:fldCharType="begin"/>
      </w:r>
      <w:r w:rsidRPr="00986F85">
        <w:rPr>
          <w:rFonts w:ascii="Myriad Pro" w:hAnsi="Myriad Pro"/>
          <w:noProof/>
        </w:rPr>
        <w:instrText xml:space="preserve"> PAGEREF _Toc230854314 \h </w:instrText>
      </w:r>
      <w:r w:rsidR="007E1F98" w:rsidRPr="00986F85">
        <w:rPr>
          <w:rFonts w:ascii="Myriad Pro" w:hAnsi="Myriad Pro"/>
          <w:noProof/>
        </w:rPr>
      </w:r>
      <w:r w:rsidR="007E1F98" w:rsidRPr="00986F85">
        <w:rPr>
          <w:rFonts w:ascii="Myriad Pro" w:hAnsi="Myriad Pro"/>
          <w:noProof/>
        </w:rPr>
        <w:fldChar w:fldCharType="separate"/>
      </w:r>
      <w:r w:rsidRPr="00986F85">
        <w:rPr>
          <w:rFonts w:ascii="Myriad Pro" w:hAnsi="Myriad Pro"/>
          <w:noProof/>
        </w:rPr>
        <w:t>25</w:t>
      </w:r>
      <w:r w:rsidR="007E1F98" w:rsidRPr="00986F85">
        <w:rPr>
          <w:rFonts w:ascii="Myriad Pro" w:hAnsi="Myriad Pro"/>
          <w:noProof/>
        </w:rPr>
        <w:fldChar w:fldCharType="end"/>
      </w:r>
    </w:p>
    <w:p w14:paraId="7E9D885C" w14:textId="77777777" w:rsidR="003E184E" w:rsidRPr="00986F85" w:rsidRDefault="003E184E">
      <w:pPr>
        <w:pStyle w:val="TJ3"/>
        <w:tabs>
          <w:tab w:val="right" w:leader="dot" w:pos="9062"/>
        </w:tabs>
        <w:rPr>
          <w:rFonts w:ascii="Myriad Pro" w:eastAsiaTheme="minorEastAsia" w:hAnsi="Myriad Pro" w:cstheme="minorBidi"/>
          <w:i w:val="0"/>
          <w:noProof/>
          <w:sz w:val="24"/>
          <w:szCs w:val="24"/>
          <w:lang w:val="en-US" w:eastAsia="ja-JP"/>
        </w:rPr>
      </w:pPr>
      <w:r w:rsidRPr="00986F85">
        <w:rPr>
          <w:rFonts w:ascii="Myriad Pro" w:hAnsi="Myriad Pro"/>
          <w:noProof/>
        </w:rPr>
        <w:t>Kezelt (EMIR-NAV) adatbázis jellemzése</w:t>
      </w:r>
      <w:r w:rsidRPr="00986F85">
        <w:rPr>
          <w:rFonts w:ascii="Myriad Pro" w:hAnsi="Myriad Pro"/>
          <w:noProof/>
        </w:rPr>
        <w:tab/>
      </w:r>
      <w:r w:rsidR="007E1F98" w:rsidRPr="00986F85">
        <w:rPr>
          <w:rFonts w:ascii="Myriad Pro" w:hAnsi="Myriad Pro"/>
          <w:noProof/>
        </w:rPr>
        <w:fldChar w:fldCharType="begin"/>
      </w:r>
      <w:r w:rsidRPr="00986F85">
        <w:rPr>
          <w:rFonts w:ascii="Myriad Pro" w:hAnsi="Myriad Pro"/>
          <w:noProof/>
        </w:rPr>
        <w:instrText xml:space="preserve"> PAGEREF _Toc230854315 \h </w:instrText>
      </w:r>
      <w:r w:rsidR="007E1F98" w:rsidRPr="00986F85">
        <w:rPr>
          <w:rFonts w:ascii="Myriad Pro" w:hAnsi="Myriad Pro"/>
          <w:noProof/>
        </w:rPr>
      </w:r>
      <w:r w:rsidR="007E1F98" w:rsidRPr="00986F85">
        <w:rPr>
          <w:rFonts w:ascii="Myriad Pro" w:hAnsi="Myriad Pro"/>
          <w:noProof/>
        </w:rPr>
        <w:fldChar w:fldCharType="separate"/>
      </w:r>
      <w:r w:rsidRPr="00986F85">
        <w:rPr>
          <w:rFonts w:ascii="Myriad Pro" w:hAnsi="Myriad Pro"/>
          <w:noProof/>
        </w:rPr>
        <w:t>26</w:t>
      </w:r>
      <w:r w:rsidR="007E1F98" w:rsidRPr="00986F85">
        <w:rPr>
          <w:rFonts w:ascii="Myriad Pro" w:hAnsi="Myriad Pro"/>
          <w:noProof/>
        </w:rPr>
        <w:fldChar w:fldCharType="end"/>
      </w:r>
    </w:p>
    <w:p w14:paraId="7C853811" w14:textId="77777777" w:rsidR="003E184E" w:rsidRPr="00986F85" w:rsidRDefault="003E184E">
      <w:pPr>
        <w:pStyle w:val="TJ1"/>
        <w:rPr>
          <w:rFonts w:ascii="Myriad Pro" w:eastAsiaTheme="minorEastAsia" w:hAnsi="Myriad Pro" w:cstheme="minorBidi"/>
          <w:b w:val="0"/>
          <w:color w:val="auto"/>
          <w:lang w:val="en-US" w:eastAsia="ja-JP"/>
        </w:rPr>
      </w:pPr>
      <w:r w:rsidRPr="00986F85">
        <w:rPr>
          <w:rFonts w:ascii="Myriad Pro" w:hAnsi="Myriad Pro"/>
        </w:rPr>
        <w:t>III. ÁTFOGÓ ELEMZÉS</w:t>
      </w:r>
      <w:r w:rsidRPr="00986F85">
        <w:rPr>
          <w:rFonts w:ascii="Myriad Pro" w:hAnsi="Myriad Pro"/>
        </w:rPr>
        <w:tab/>
      </w:r>
      <w:r w:rsidR="007E1F98" w:rsidRPr="00986F85">
        <w:rPr>
          <w:rFonts w:ascii="Myriad Pro" w:hAnsi="Myriad Pro"/>
        </w:rPr>
        <w:fldChar w:fldCharType="begin"/>
      </w:r>
      <w:r w:rsidRPr="00986F85">
        <w:rPr>
          <w:rFonts w:ascii="Myriad Pro" w:hAnsi="Myriad Pro"/>
        </w:rPr>
        <w:instrText xml:space="preserve"> PAGEREF _Toc230854316 \h </w:instrText>
      </w:r>
      <w:r w:rsidR="007E1F98" w:rsidRPr="00986F85">
        <w:rPr>
          <w:rFonts w:ascii="Myriad Pro" w:hAnsi="Myriad Pro"/>
        </w:rPr>
      </w:r>
      <w:r w:rsidR="007E1F98" w:rsidRPr="00986F85">
        <w:rPr>
          <w:rFonts w:ascii="Myriad Pro" w:hAnsi="Myriad Pro"/>
        </w:rPr>
        <w:fldChar w:fldCharType="separate"/>
      </w:r>
      <w:r w:rsidRPr="00986F85">
        <w:rPr>
          <w:rFonts w:ascii="Myriad Pro" w:hAnsi="Myriad Pro"/>
        </w:rPr>
        <w:t>27</w:t>
      </w:r>
      <w:r w:rsidR="007E1F98" w:rsidRPr="00986F85">
        <w:rPr>
          <w:rFonts w:ascii="Myriad Pro" w:hAnsi="Myriad Pro"/>
        </w:rPr>
        <w:fldChar w:fldCharType="end"/>
      </w:r>
    </w:p>
    <w:p w14:paraId="1DC4CDC1" w14:textId="77777777" w:rsidR="003E184E" w:rsidRPr="00986F85" w:rsidRDefault="003E184E">
      <w:pPr>
        <w:pStyle w:val="TJ2"/>
        <w:tabs>
          <w:tab w:val="right" w:leader="dot" w:pos="9062"/>
        </w:tabs>
        <w:rPr>
          <w:rFonts w:ascii="Myriad Pro" w:eastAsiaTheme="minorEastAsia" w:hAnsi="Myriad Pro" w:cstheme="minorBidi"/>
          <w:noProof/>
          <w:sz w:val="24"/>
          <w:szCs w:val="24"/>
          <w:lang w:val="en-US" w:eastAsia="ja-JP"/>
        </w:rPr>
      </w:pPr>
      <w:r w:rsidRPr="00986F85">
        <w:rPr>
          <w:rFonts w:ascii="Myriad Pro" w:hAnsi="Myriad Pro"/>
          <w:noProof/>
        </w:rPr>
        <w:t>KONTROLL VÁLLALKOZÁSOK JELLEMZŐI</w:t>
      </w:r>
      <w:r w:rsidRPr="00986F85">
        <w:rPr>
          <w:rFonts w:ascii="Myriad Pro" w:hAnsi="Myriad Pro"/>
          <w:noProof/>
        </w:rPr>
        <w:tab/>
      </w:r>
      <w:r w:rsidR="007E1F98" w:rsidRPr="00986F85">
        <w:rPr>
          <w:rFonts w:ascii="Myriad Pro" w:hAnsi="Myriad Pro"/>
          <w:noProof/>
        </w:rPr>
        <w:fldChar w:fldCharType="begin"/>
      </w:r>
      <w:r w:rsidRPr="00986F85">
        <w:rPr>
          <w:rFonts w:ascii="Myriad Pro" w:hAnsi="Myriad Pro"/>
          <w:noProof/>
        </w:rPr>
        <w:instrText xml:space="preserve"> PAGEREF _Toc230854317 \h </w:instrText>
      </w:r>
      <w:r w:rsidR="007E1F98" w:rsidRPr="00986F85">
        <w:rPr>
          <w:rFonts w:ascii="Myriad Pro" w:hAnsi="Myriad Pro"/>
          <w:noProof/>
        </w:rPr>
      </w:r>
      <w:r w:rsidR="007E1F98" w:rsidRPr="00986F85">
        <w:rPr>
          <w:rFonts w:ascii="Myriad Pro" w:hAnsi="Myriad Pro"/>
          <w:noProof/>
        </w:rPr>
        <w:fldChar w:fldCharType="separate"/>
      </w:r>
      <w:r w:rsidRPr="00986F85">
        <w:rPr>
          <w:rFonts w:ascii="Myriad Pro" w:hAnsi="Myriad Pro"/>
          <w:noProof/>
        </w:rPr>
        <w:t>27</w:t>
      </w:r>
      <w:r w:rsidR="007E1F98" w:rsidRPr="00986F85">
        <w:rPr>
          <w:rFonts w:ascii="Myriad Pro" w:hAnsi="Myriad Pro"/>
          <w:noProof/>
        </w:rPr>
        <w:fldChar w:fldCharType="end"/>
      </w:r>
    </w:p>
    <w:p w14:paraId="2216160B" w14:textId="77777777" w:rsidR="003E184E" w:rsidRPr="00986F85" w:rsidRDefault="003E184E">
      <w:pPr>
        <w:pStyle w:val="TJ1"/>
        <w:rPr>
          <w:rFonts w:ascii="Myriad Pro" w:eastAsiaTheme="minorEastAsia" w:hAnsi="Myriad Pro" w:cstheme="minorBidi"/>
          <w:b w:val="0"/>
          <w:color w:val="auto"/>
          <w:lang w:val="en-US" w:eastAsia="ja-JP"/>
        </w:rPr>
      </w:pPr>
      <w:r w:rsidRPr="00986F85">
        <w:rPr>
          <w:rFonts w:ascii="Myriad Pro" w:hAnsi="Myriad Pro"/>
        </w:rPr>
        <w:t>IV. HATÁSVIZSGÁLAT</w:t>
      </w:r>
      <w:r w:rsidRPr="00986F85">
        <w:rPr>
          <w:rFonts w:ascii="Myriad Pro" w:hAnsi="Myriad Pro"/>
        </w:rPr>
        <w:tab/>
      </w:r>
      <w:r w:rsidR="007E1F98" w:rsidRPr="00986F85">
        <w:rPr>
          <w:rFonts w:ascii="Myriad Pro" w:hAnsi="Myriad Pro"/>
        </w:rPr>
        <w:fldChar w:fldCharType="begin"/>
      </w:r>
      <w:r w:rsidRPr="00986F85">
        <w:rPr>
          <w:rFonts w:ascii="Myriad Pro" w:hAnsi="Myriad Pro"/>
        </w:rPr>
        <w:instrText xml:space="preserve"> PAGEREF _Toc230854318 \h </w:instrText>
      </w:r>
      <w:r w:rsidR="007E1F98" w:rsidRPr="00986F85">
        <w:rPr>
          <w:rFonts w:ascii="Myriad Pro" w:hAnsi="Myriad Pro"/>
        </w:rPr>
      </w:r>
      <w:r w:rsidR="007E1F98" w:rsidRPr="00986F85">
        <w:rPr>
          <w:rFonts w:ascii="Myriad Pro" w:hAnsi="Myriad Pro"/>
        </w:rPr>
        <w:fldChar w:fldCharType="separate"/>
      </w:r>
      <w:r w:rsidRPr="00986F85">
        <w:rPr>
          <w:rFonts w:ascii="Myriad Pro" w:hAnsi="Myriad Pro"/>
        </w:rPr>
        <w:t>38</w:t>
      </w:r>
      <w:r w:rsidR="007E1F98" w:rsidRPr="00986F85">
        <w:rPr>
          <w:rFonts w:ascii="Myriad Pro" w:hAnsi="Myriad Pro"/>
        </w:rPr>
        <w:fldChar w:fldCharType="end"/>
      </w:r>
    </w:p>
    <w:p w14:paraId="44586EED" w14:textId="77777777" w:rsidR="003E184E" w:rsidRPr="00986F85" w:rsidRDefault="003E184E">
      <w:pPr>
        <w:pStyle w:val="TJ2"/>
        <w:tabs>
          <w:tab w:val="right" w:leader="dot" w:pos="9062"/>
        </w:tabs>
        <w:rPr>
          <w:rFonts w:ascii="Myriad Pro" w:eastAsiaTheme="minorEastAsia" w:hAnsi="Myriad Pro" w:cstheme="minorBidi"/>
          <w:noProof/>
          <w:sz w:val="24"/>
          <w:szCs w:val="24"/>
          <w:lang w:val="en-US" w:eastAsia="ja-JP"/>
        </w:rPr>
      </w:pPr>
      <w:r w:rsidRPr="00986F85">
        <w:rPr>
          <w:rFonts w:ascii="Myriad Pro" w:hAnsi="Myriad Pro"/>
          <w:noProof/>
        </w:rPr>
        <w:t>ALKALMAZOTT MODELLEK</w:t>
      </w:r>
      <w:r w:rsidRPr="00986F85">
        <w:rPr>
          <w:rFonts w:ascii="Myriad Pro" w:hAnsi="Myriad Pro"/>
          <w:noProof/>
        </w:rPr>
        <w:tab/>
      </w:r>
      <w:r w:rsidR="007E1F98" w:rsidRPr="00986F85">
        <w:rPr>
          <w:rFonts w:ascii="Myriad Pro" w:hAnsi="Myriad Pro"/>
          <w:noProof/>
        </w:rPr>
        <w:fldChar w:fldCharType="begin"/>
      </w:r>
      <w:r w:rsidRPr="00986F85">
        <w:rPr>
          <w:rFonts w:ascii="Myriad Pro" w:hAnsi="Myriad Pro"/>
          <w:noProof/>
        </w:rPr>
        <w:instrText xml:space="preserve"> PAGEREF _Toc230854319 \h </w:instrText>
      </w:r>
      <w:r w:rsidR="007E1F98" w:rsidRPr="00986F85">
        <w:rPr>
          <w:rFonts w:ascii="Myriad Pro" w:hAnsi="Myriad Pro"/>
          <w:noProof/>
        </w:rPr>
      </w:r>
      <w:r w:rsidR="007E1F98" w:rsidRPr="00986F85">
        <w:rPr>
          <w:rFonts w:ascii="Myriad Pro" w:hAnsi="Myriad Pro"/>
          <w:noProof/>
        </w:rPr>
        <w:fldChar w:fldCharType="separate"/>
      </w:r>
      <w:r w:rsidRPr="00986F85">
        <w:rPr>
          <w:rFonts w:ascii="Myriad Pro" w:hAnsi="Myriad Pro"/>
          <w:noProof/>
        </w:rPr>
        <w:t>38</w:t>
      </w:r>
      <w:r w:rsidR="007E1F98" w:rsidRPr="00986F85">
        <w:rPr>
          <w:rFonts w:ascii="Myriad Pro" w:hAnsi="Myriad Pro"/>
          <w:noProof/>
        </w:rPr>
        <w:fldChar w:fldCharType="end"/>
      </w:r>
    </w:p>
    <w:p w14:paraId="0FA44627" w14:textId="77777777" w:rsidR="003E184E" w:rsidRPr="00986F85" w:rsidRDefault="003E184E">
      <w:pPr>
        <w:pStyle w:val="TJ2"/>
        <w:tabs>
          <w:tab w:val="right" w:leader="dot" w:pos="9062"/>
        </w:tabs>
        <w:rPr>
          <w:rFonts w:ascii="Myriad Pro" w:eastAsiaTheme="minorEastAsia" w:hAnsi="Myriad Pro" w:cstheme="minorBidi"/>
          <w:noProof/>
          <w:sz w:val="24"/>
          <w:szCs w:val="24"/>
          <w:lang w:val="en-US" w:eastAsia="ja-JP"/>
        </w:rPr>
      </w:pPr>
      <w:r w:rsidRPr="00986F85">
        <w:rPr>
          <w:rFonts w:ascii="Myriad Pro" w:hAnsi="Myriad Pro"/>
          <w:noProof/>
        </w:rPr>
        <w:t>VIZSGÁLAT KORLÁTAI</w:t>
      </w:r>
      <w:r w:rsidRPr="00986F85">
        <w:rPr>
          <w:rFonts w:ascii="Myriad Pro" w:hAnsi="Myriad Pro"/>
          <w:noProof/>
        </w:rPr>
        <w:tab/>
      </w:r>
      <w:r w:rsidR="007E1F98" w:rsidRPr="00986F85">
        <w:rPr>
          <w:rFonts w:ascii="Myriad Pro" w:hAnsi="Myriad Pro"/>
          <w:noProof/>
        </w:rPr>
        <w:fldChar w:fldCharType="begin"/>
      </w:r>
      <w:r w:rsidRPr="00986F85">
        <w:rPr>
          <w:rFonts w:ascii="Myriad Pro" w:hAnsi="Myriad Pro"/>
          <w:noProof/>
        </w:rPr>
        <w:instrText xml:space="preserve"> PAGEREF _Toc230854320 \h </w:instrText>
      </w:r>
      <w:r w:rsidR="007E1F98" w:rsidRPr="00986F85">
        <w:rPr>
          <w:rFonts w:ascii="Myriad Pro" w:hAnsi="Myriad Pro"/>
          <w:noProof/>
        </w:rPr>
      </w:r>
      <w:r w:rsidR="007E1F98" w:rsidRPr="00986F85">
        <w:rPr>
          <w:rFonts w:ascii="Myriad Pro" w:hAnsi="Myriad Pro"/>
          <w:noProof/>
        </w:rPr>
        <w:fldChar w:fldCharType="separate"/>
      </w:r>
      <w:r w:rsidRPr="00986F85">
        <w:rPr>
          <w:rFonts w:ascii="Myriad Pro" w:hAnsi="Myriad Pro"/>
          <w:noProof/>
        </w:rPr>
        <w:t>43</w:t>
      </w:r>
      <w:r w:rsidR="007E1F98" w:rsidRPr="00986F85">
        <w:rPr>
          <w:rFonts w:ascii="Myriad Pro" w:hAnsi="Myriad Pro"/>
          <w:noProof/>
        </w:rPr>
        <w:fldChar w:fldCharType="end"/>
      </w:r>
    </w:p>
    <w:p w14:paraId="2C2407A8" w14:textId="77777777" w:rsidR="003E184E" w:rsidRPr="00986F85" w:rsidRDefault="003E184E">
      <w:pPr>
        <w:pStyle w:val="TJ2"/>
        <w:tabs>
          <w:tab w:val="right" w:leader="dot" w:pos="9062"/>
        </w:tabs>
        <w:rPr>
          <w:rFonts w:ascii="Myriad Pro" w:eastAsiaTheme="minorEastAsia" w:hAnsi="Myriad Pro" w:cstheme="minorBidi"/>
          <w:noProof/>
          <w:sz w:val="24"/>
          <w:szCs w:val="24"/>
          <w:lang w:val="en-US" w:eastAsia="ja-JP"/>
        </w:rPr>
      </w:pPr>
      <w:r w:rsidRPr="00986F85">
        <w:rPr>
          <w:rFonts w:ascii="Myriad Pro" w:hAnsi="Myriad Pro"/>
          <w:noProof/>
        </w:rPr>
        <w:t>VIZSGÁLT BEAVATKOZÁSOK</w:t>
      </w:r>
      <w:r w:rsidRPr="00986F85">
        <w:rPr>
          <w:rFonts w:ascii="Myriad Pro" w:hAnsi="Myriad Pro"/>
          <w:noProof/>
        </w:rPr>
        <w:tab/>
      </w:r>
      <w:r w:rsidR="007E1F98" w:rsidRPr="00986F85">
        <w:rPr>
          <w:rFonts w:ascii="Myriad Pro" w:hAnsi="Myriad Pro"/>
          <w:noProof/>
        </w:rPr>
        <w:fldChar w:fldCharType="begin"/>
      </w:r>
      <w:r w:rsidRPr="00986F85">
        <w:rPr>
          <w:rFonts w:ascii="Myriad Pro" w:hAnsi="Myriad Pro"/>
          <w:noProof/>
        </w:rPr>
        <w:instrText xml:space="preserve"> PAGEREF _Toc230854321 \h </w:instrText>
      </w:r>
      <w:r w:rsidR="007E1F98" w:rsidRPr="00986F85">
        <w:rPr>
          <w:rFonts w:ascii="Myriad Pro" w:hAnsi="Myriad Pro"/>
          <w:noProof/>
        </w:rPr>
      </w:r>
      <w:r w:rsidR="007E1F98" w:rsidRPr="00986F85">
        <w:rPr>
          <w:rFonts w:ascii="Myriad Pro" w:hAnsi="Myriad Pro"/>
          <w:noProof/>
        </w:rPr>
        <w:fldChar w:fldCharType="separate"/>
      </w:r>
      <w:r w:rsidRPr="00986F85">
        <w:rPr>
          <w:rFonts w:ascii="Myriad Pro" w:hAnsi="Myriad Pro"/>
          <w:noProof/>
        </w:rPr>
        <w:t>47</w:t>
      </w:r>
      <w:r w:rsidR="007E1F98" w:rsidRPr="00986F85">
        <w:rPr>
          <w:rFonts w:ascii="Myriad Pro" w:hAnsi="Myriad Pro"/>
          <w:noProof/>
        </w:rPr>
        <w:fldChar w:fldCharType="end"/>
      </w:r>
    </w:p>
    <w:p w14:paraId="7D46886D" w14:textId="77777777" w:rsidR="003E184E" w:rsidRPr="00986F85" w:rsidRDefault="003E184E">
      <w:pPr>
        <w:pStyle w:val="TJ2"/>
        <w:tabs>
          <w:tab w:val="right" w:leader="dot" w:pos="9062"/>
        </w:tabs>
        <w:rPr>
          <w:rFonts w:ascii="Myriad Pro" w:eastAsiaTheme="minorEastAsia" w:hAnsi="Myriad Pro" w:cstheme="minorBidi"/>
          <w:noProof/>
          <w:sz w:val="24"/>
          <w:szCs w:val="24"/>
          <w:lang w:val="en-US" w:eastAsia="ja-JP"/>
        </w:rPr>
      </w:pPr>
      <w:r w:rsidRPr="00986F85">
        <w:rPr>
          <w:rFonts w:ascii="Myriad Pro" w:hAnsi="Myriad Pro"/>
          <w:noProof/>
        </w:rPr>
        <w:t>A TÁMOGATÁS CÉLZÁSA</w:t>
      </w:r>
      <w:r w:rsidRPr="00986F85">
        <w:rPr>
          <w:rFonts w:ascii="Myriad Pro" w:hAnsi="Myriad Pro"/>
          <w:noProof/>
        </w:rPr>
        <w:tab/>
      </w:r>
      <w:r w:rsidR="007E1F98" w:rsidRPr="00986F85">
        <w:rPr>
          <w:rFonts w:ascii="Myriad Pro" w:hAnsi="Myriad Pro"/>
          <w:noProof/>
        </w:rPr>
        <w:fldChar w:fldCharType="begin"/>
      </w:r>
      <w:r w:rsidRPr="00986F85">
        <w:rPr>
          <w:rFonts w:ascii="Myriad Pro" w:hAnsi="Myriad Pro"/>
          <w:noProof/>
        </w:rPr>
        <w:instrText xml:space="preserve"> PAGEREF _Toc230854322 \h </w:instrText>
      </w:r>
      <w:r w:rsidR="007E1F98" w:rsidRPr="00986F85">
        <w:rPr>
          <w:rFonts w:ascii="Myriad Pro" w:hAnsi="Myriad Pro"/>
          <w:noProof/>
        </w:rPr>
      </w:r>
      <w:r w:rsidR="007E1F98" w:rsidRPr="00986F85">
        <w:rPr>
          <w:rFonts w:ascii="Myriad Pro" w:hAnsi="Myriad Pro"/>
          <w:noProof/>
        </w:rPr>
        <w:fldChar w:fldCharType="separate"/>
      </w:r>
      <w:r w:rsidRPr="00986F85">
        <w:rPr>
          <w:rFonts w:ascii="Myriad Pro" w:hAnsi="Myriad Pro"/>
          <w:noProof/>
        </w:rPr>
        <w:t>48</w:t>
      </w:r>
      <w:r w:rsidR="007E1F98" w:rsidRPr="00986F85">
        <w:rPr>
          <w:rFonts w:ascii="Myriad Pro" w:hAnsi="Myriad Pro"/>
          <w:noProof/>
        </w:rPr>
        <w:fldChar w:fldCharType="end"/>
      </w:r>
    </w:p>
    <w:p w14:paraId="15ECB9FB" w14:textId="77777777" w:rsidR="003E184E" w:rsidRPr="00986F85" w:rsidRDefault="003E184E">
      <w:pPr>
        <w:pStyle w:val="TJ2"/>
        <w:tabs>
          <w:tab w:val="right" w:leader="dot" w:pos="9062"/>
        </w:tabs>
        <w:rPr>
          <w:rFonts w:ascii="Myriad Pro" w:eastAsiaTheme="minorEastAsia" w:hAnsi="Myriad Pro" w:cstheme="minorBidi"/>
          <w:noProof/>
          <w:sz w:val="24"/>
          <w:szCs w:val="24"/>
          <w:lang w:val="en-US" w:eastAsia="ja-JP"/>
        </w:rPr>
      </w:pPr>
      <w:r w:rsidRPr="00986F85">
        <w:rPr>
          <w:rFonts w:ascii="Myriad Pro" w:hAnsi="Myriad Pro"/>
          <w:noProof/>
        </w:rPr>
        <w:t>A TÁMOGATÁS HATÁSA</w:t>
      </w:r>
      <w:r w:rsidRPr="00986F85">
        <w:rPr>
          <w:rFonts w:ascii="Myriad Pro" w:hAnsi="Myriad Pro"/>
          <w:noProof/>
        </w:rPr>
        <w:tab/>
      </w:r>
      <w:r w:rsidR="007E1F98" w:rsidRPr="00986F85">
        <w:rPr>
          <w:rFonts w:ascii="Myriad Pro" w:hAnsi="Myriad Pro"/>
          <w:noProof/>
        </w:rPr>
        <w:fldChar w:fldCharType="begin"/>
      </w:r>
      <w:r w:rsidRPr="00986F85">
        <w:rPr>
          <w:rFonts w:ascii="Myriad Pro" w:hAnsi="Myriad Pro"/>
          <w:noProof/>
        </w:rPr>
        <w:instrText xml:space="preserve"> PAGEREF _Toc230854323 \h </w:instrText>
      </w:r>
      <w:r w:rsidR="007E1F98" w:rsidRPr="00986F85">
        <w:rPr>
          <w:rFonts w:ascii="Myriad Pro" w:hAnsi="Myriad Pro"/>
          <w:noProof/>
        </w:rPr>
      </w:r>
      <w:r w:rsidR="007E1F98" w:rsidRPr="00986F85">
        <w:rPr>
          <w:rFonts w:ascii="Myriad Pro" w:hAnsi="Myriad Pro"/>
          <w:noProof/>
        </w:rPr>
        <w:fldChar w:fldCharType="separate"/>
      </w:r>
      <w:r w:rsidRPr="00986F85">
        <w:rPr>
          <w:rFonts w:ascii="Myriad Pro" w:hAnsi="Myriad Pro"/>
          <w:noProof/>
        </w:rPr>
        <w:t>59</w:t>
      </w:r>
      <w:r w:rsidR="007E1F98" w:rsidRPr="00986F85">
        <w:rPr>
          <w:rFonts w:ascii="Myriad Pro" w:hAnsi="Myriad Pro"/>
          <w:noProof/>
        </w:rPr>
        <w:fldChar w:fldCharType="end"/>
      </w:r>
    </w:p>
    <w:p w14:paraId="35A799BE" w14:textId="77777777" w:rsidR="003E184E" w:rsidRPr="00986F85" w:rsidRDefault="003E184E">
      <w:pPr>
        <w:pStyle w:val="TJ1"/>
        <w:rPr>
          <w:rFonts w:ascii="Myriad Pro" w:eastAsiaTheme="minorEastAsia" w:hAnsi="Myriad Pro" w:cstheme="minorBidi"/>
          <w:b w:val="0"/>
          <w:color w:val="auto"/>
          <w:lang w:val="en-US" w:eastAsia="ja-JP"/>
        </w:rPr>
      </w:pPr>
      <w:r w:rsidRPr="00986F85">
        <w:rPr>
          <w:rFonts w:ascii="Myriad Pro" w:hAnsi="Myriad Pro"/>
        </w:rPr>
        <w:t>IV. JAVASLATOK</w:t>
      </w:r>
      <w:r w:rsidRPr="00986F85">
        <w:rPr>
          <w:rFonts w:ascii="Myriad Pro" w:hAnsi="Myriad Pro"/>
        </w:rPr>
        <w:tab/>
      </w:r>
      <w:r w:rsidR="007E1F98" w:rsidRPr="00986F85">
        <w:rPr>
          <w:rFonts w:ascii="Myriad Pro" w:hAnsi="Myriad Pro"/>
        </w:rPr>
        <w:fldChar w:fldCharType="begin"/>
      </w:r>
      <w:r w:rsidRPr="00986F85">
        <w:rPr>
          <w:rFonts w:ascii="Myriad Pro" w:hAnsi="Myriad Pro"/>
        </w:rPr>
        <w:instrText xml:space="preserve"> PAGEREF _Toc230854324 \h </w:instrText>
      </w:r>
      <w:r w:rsidR="007E1F98" w:rsidRPr="00986F85">
        <w:rPr>
          <w:rFonts w:ascii="Myriad Pro" w:hAnsi="Myriad Pro"/>
        </w:rPr>
      </w:r>
      <w:r w:rsidR="007E1F98" w:rsidRPr="00986F85">
        <w:rPr>
          <w:rFonts w:ascii="Myriad Pro" w:hAnsi="Myriad Pro"/>
        </w:rPr>
        <w:fldChar w:fldCharType="separate"/>
      </w:r>
      <w:r w:rsidRPr="00986F85">
        <w:rPr>
          <w:rFonts w:ascii="Myriad Pro" w:hAnsi="Myriad Pro"/>
        </w:rPr>
        <w:t>74</w:t>
      </w:r>
      <w:r w:rsidR="007E1F98" w:rsidRPr="00986F85">
        <w:rPr>
          <w:rFonts w:ascii="Myriad Pro" w:hAnsi="Myriad Pro"/>
        </w:rPr>
        <w:fldChar w:fldCharType="end"/>
      </w:r>
    </w:p>
    <w:p w14:paraId="79C1D367" w14:textId="77777777" w:rsidR="003E184E" w:rsidRPr="00986F85" w:rsidRDefault="003E184E">
      <w:pPr>
        <w:pStyle w:val="TJ2"/>
        <w:tabs>
          <w:tab w:val="right" w:leader="dot" w:pos="9062"/>
        </w:tabs>
        <w:rPr>
          <w:rFonts w:ascii="Myriad Pro" w:eastAsiaTheme="minorEastAsia" w:hAnsi="Myriad Pro" w:cstheme="minorBidi"/>
          <w:noProof/>
          <w:sz w:val="24"/>
          <w:szCs w:val="24"/>
          <w:lang w:val="en-US" w:eastAsia="ja-JP"/>
        </w:rPr>
      </w:pPr>
      <w:r w:rsidRPr="00986F85">
        <w:rPr>
          <w:rFonts w:ascii="Myriad Pro" w:hAnsi="Myriad Pro"/>
          <w:noProof/>
        </w:rPr>
        <w:t>ADMINISZTRATÍV ADATGYŰJTÉS ÉS ADATBÁZISOK</w:t>
      </w:r>
      <w:r w:rsidRPr="00986F85">
        <w:rPr>
          <w:rFonts w:ascii="Myriad Pro" w:hAnsi="Myriad Pro"/>
          <w:noProof/>
        </w:rPr>
        <w:tab/>
      </w:r>
      <w:r w:rsidR="007E1F98" w:rsidRPr="00986F85">
        <w:rPr>
          <w:rFonts w:ascii="Myriad Pro" w:hAnsi="Myriad Pro"/>
          <w:noProof/>
        </w:rPr>
        <w:fldChar w:fldCharType="begin"/>
      </w:r>
      <w:r w:rsidRPr="00986F85">
        <w:rPr>
          <w:rFonts w:ascii="Myriad Pro" w:hAnsi="Myriad Pro"/>
          <w:noProof/>
        </w:rPr>
        <w:instrText xml:space="preserve"> PAGEREF _Toc230854325 \h </w:instrText>
      </w:r>
      <w:r w:rsidR="007E1F98" w:rsidRPr="00986F85">
        <w:rPr>
          <w:rFonts w:ascii="Myriad Pro" w:hAnsi="Myriad Pro"/>
          <w:noProof/>
        </w:rPr>
      </w:r>
      <w:r w:rsidR="007E1F98" w:rsidRPr="00986F85">
        <w:rPr>
          <w:rFonts w:ascii="Myriad Pro" w:hAnsi="Myriad Pro"/>
          <w:noProof/>
        </w:rPr>
        <w:fldChar w:fldCharType="separate"/>
      </w:r>
      <w:r w:rsidRPr="00986F85">
        <w:rPr>
          <w:rFonts w:ascii="Myriad Pro" w:hAnsi="Myriad Pro"/>
          <w:noProof/>
        </w:rPr>
        <w:t>74</w:t>
      </w:r>
      <w:r w:rsidR="007E1F98" w:rsidRPr="00986F85">
        <w:rPr>
          <w:rFonts w:ascii="Myriad Pro" w:hAnsi="Myriad Pro"/>
          <w:noProof/>
        </w:rPr>
        <w:fldChar w:fldCharType="end"/>
      </w:r>
    </w:p>
    <w:p w14:paraId="1BD81E44" w14:textId="77777777" w:rsidR="003E184E" w:rsidRPr="00986F85" w:rsidRDefault="003E184E">
      <w:pPr>
        <w:pStyle w:val="TJ2"/>
        <w:tabs>
          <w:tab w:val="right" w:leader="dot" w:pos="9062"/>
        </w:tabs>
        <w:rPr>
          <w:rFonts w:ascii="Myriad Pro" w:eastAsiaTheme="minorEastAsia" w:hAnsi="Myriad Pro" w:cstheme="minorBidi"/>
          <w:noProof/>
          <w:sz w:val="24"/>
          <w:szCs w:val="24"/>
          <w:lang w:val="en-US" w:eastAsia="ja-JP"/>
        </w:rPr>
      </w:pPr>
      <w:r w:rsidRPr="00986F85">
        <w:rPr>
          <w:rFonts w:ascii="Myriad Pro" w:hAnsi="Myriad Pro"/>
          <w:noProof/>
        </w:rPr>
        <w:t>SZAKPOLITIKAI TERVEZÉS</w:t>
      </w:r>
      <w:r w:rsidRPr="00986F85">
        <w:rPr>
          <w:rFonts w:ascii="Myriad Pro" w:hAnsi="Myriad Pro"/>
          <w:noProof/>
        </w:rPr>
        <w:tab/>
      </w:r>
      <w:r w:rsidR="007E1F98" w:rsidRPr="00986F85">
        <w:rPr>
          <w:rFonts w:ascii="Myriad Pro" w:hAnsi="Myriad Pro"/>
          <w:noProof/>
        </w:rPr>
        <w:fldChar w:fldCharType="begin"/>
      </w:r>
      <w:r w:rsidRPr="00986F85">
        <w:rPr>
          <w:rFonts w:ascii="Myriad Pro" w:hAnsi="Myriad Pro"/>
          <w:noProof/>
        </w:rPr>
        <w:instrText xml:space="preserve"> PAGEREF _Toc230854326 \h </w:instrText>
      </w:r>
      <w:r w:rsidR="007E1F98" w:rsidRPr="00986F85">
        <w:rPr>
          <w:rFonts w:ascii="Myriad Pro" w:hAnsi="Myriad Pro"/>
          <w:noProof/>
        </w:rPr>
      </w:r>
      <w:r w:rsidR="007E1F98" w:rsidRPr="00986F85">
        <w:rPr>
          <w:rFonts w:ascii="Myriad Pro" w:hAnsi="Myriad Pro"/>
          <w:noProof/>
        </w:rPr>
        <w:fldChar w:fldCharType="separate"/>
      </w:r>
      <w:r w:rsidRPr="00986F85">
        <w:rPr>
          <w:rFonts w:ascii="Myriad Pro" w:hAnsi="Myriad Pro"/>
          <w:noProof/>
        </w:rPr>
        <w:t>74</w:t>
      </w:r>
      <w:r w:rsidR="007E1F98" w:rsidRPr="00986F85">
        <w:rPr>
          <w:rFonts w:ascii="Myriad Pro" w:hAnsi="Myriad Pro"/>
          <w:noProof/>
        </w:rPr>
        <w:fldChar w:fldCharType="end"/>
      </w:r>
    </w:p>
    <w:p w14:paraId="4D0DD651" w14:textId="77777777" w:rsidR="003E184E" w:rsidRPr="00986F85" w:rsidRDefault="003E184E">
      <w:pPr>
        <w:pStyle w:val="TJ2"/>
        <w:tabs>
          <w:tab w:val="right" w:leader="dot" w:pos="9062"/>
        </w:tabs>
        <w:rPr>
          <w:rFonts w:ascii="Myriad Pro" w:eastAsiaTheme="minorEastAsia" w:hAnsi="Myriad Pro" w:cstheme="minorBidi"/>
          <w:noProof/>
          <w:sz w:val="24"/>
          <w:szCs w:val="24"/>
          <w:lang w:val="en-US" w:eastAsia="ja-JP"/>
        </w:rPr>
      </w:pPr>
      <w:r w:rsidRPr="00986F85">
        <w:rPr>
          <w:rFonts w:ascii="Myriad Pro" w:hAnsi="Myriad Pro"/>
          <w:noProof/>
        </w:rPr>
        <w:t>VÉGREHAJTÁS</w:t>
      </w:r>
      <w:r w:rsidRPr="00986F85">
        <w:rPr>
          <w:rFonts w:ascii="Myriad Pro" w:hAnsi="Myriad Pro"/>
          <w:noProof/>
        </w:rPr>
        <w:tab/>
      </w:r>
      <w:r w:rsidR="007E1F98" w:rsidRPr="00986F85">
        <w:rPr>
          <w:rFonts w:ascii="Myriad Pro" w:hAnsi="Myriad Pro"/>
          <w:noProof/>
        </w:rPr>
        <w:fldChar w:fldCharType="begin"/>
      </w:r>
      <w:r w:rsidRPr="00986F85">
        <w:rPr>
          <w:rFonts w:ascii="Myriad Pro" w:hAnsi="Myriad Pro"/>
          <w:noProof/>
        </w:rPr>
        <w:instrText xml:space="preserve"> PAGEREF _Toc230854327 \h </w:instrText>
      </w:r>
      <w:r w:rsidR="007E1F98" w:rsidRPr="00986F85">
        <w:rPr>
          <w:rFonts w:ascii="Myriad Pro" w:hAnsi="Myriad Pro"/>
          <w:noProof/>
        </w:rPr>
      </w:r>
      <w:r w:rsidR="007E1F98" w:rsidRPr="00986F85">
        <w:rPr>
          <w:rFonts w:ascii="Myriad Pro" w:hAnsi="Myriad Pro"/>
          <w:noProof/>
        </w:rPr>
        <w:fldChar w:fldCharType="separate"/>
      </w:r>
      <w:r w:rsidRPr="00986F85">
        <w:rPr>
          <w:rFonts w:ascii="Myriad Pro" w:hAnsi="Myriad Pro"/>
          <w:noProof/>
        </w:rPr>
        <w:t>76</w:t>
      </w:r>
      <w:r w:rsidR="007E1F98" w:rsidRPr="00986F85">
        <w:rPr>
          <w:rFonts w:ascii="Myriad Pro" w:hAnsi="Myriad Pro"/>
          <w:noProof/>
        </w:rPr>
        <w:fldChar w:fldCharType="end"/>
      </w:r>
    </w:p>
    <w:p w14:paraId="26E3C36F" w14:textId="77777777" w:rsidR="003E184E" w:rsidRPr="00986F85" w:rsidRDefault="003E184E">
      <w:pPr>
        <w:pStyle w:val="TJ1"/>
        <w:rPr>
          <w:rFonts w:ascii="Myriad Pro" w:eastAsiaTheme="minorEastAsia" w:hAnsi="Myriad Pro" w:cstheme="minorBidi"/>
          <w:b w:val="0"/>
          <w:color w:val="auto"/>
          <w:lang w:val="en-US" w:eastAsia="ja-JP"/>
        </w:rPr>
      </w:pPr>
      <w:r w:rsidRPr="00986F85">
        <w:rPr>
          <w:rFonts w:ascii="Myriad Pro" w:hAnsi="Myriad Pro"/>
        </w:rPr>
        <w:t>HIVATKOZÁSJEGYZÉK</w:t>
      </w:r>
      <w:r w:rsidRPr="00986F85">
        <w:rPr>
          <w:rFonts w:ascii="Myriad Pro" w:hAnsi="Myriad Pro"/>
        </w:rPr>
        <w:tab/>
      </w:r>
      <w:r w:rsidR="007E1F98" w:rsidRPr="00986F85">
        <w:rPr>
          <w:rFonts w:ascii="Myriad Pro" w:hAnsi="Myriad Pro"/>
        </w:rPr>
        <w:fldChar w:fldCharType="begin"/>
      </w:r>
      <w:r w:rsidRPr="00986F85">
        <w:rPr>
          <w:rFonts w:ascii="Myriad Pro" w:hAnsi="Myriad Pro"/>
        </w:rPr>
        <w:instrText xml:space="preserve"> PAGEREF _Toc230854328 \h </w:instrText>
      </w:r>
      <w:r w:rsidR="007E1F98" w:rsidRPr="00986F85">
        <w:rPr>
          <w:rFonts w:ascii="Myriad Pro" w:hAnsi="Myriad Pro"/>
        </w:rPr>
      </w:r>
      <w:r w:rsidR="007E1F98" w:rsidRPr="00986F85">
        <w:rPr>
          <w:rFonts w:ascii="Myriad Pro" w:hAnsi="Myriad Pro"/>
        </w:rPr>
        <w:fldChar w:fldCharType="separate"/>
      </w:r>
      <w:r w:rsidRPr="00986F85">
        <w:rPr>
          <w:rFonts w:ascii="Myriad Pro" w:hAnsi="Myriad Pro"/>
        </w:rPr>
        <w:t>77</w:t>
      </w:r>
      <w:r w:rsidR="007E1F98" w:rsidRPr="00986F85">
        <w:rPr>
          <w:rFonts w:ascii="Myriad Pro" w:hAnsi="Myriad Pro"/>
        </w:rPr>
        <w:fldChar w:fldCharType="end"/>
      </w:r>
    </w:p>
    <w:p w14:paraId="0ACD4348" w14:textId="77777777" w:rsidR="003E184E" w:rsidRPr="00986F85" w:rsidRDefault="003E184E">
      <w:pPr>
        <w:pStyle w:val="TJ1"/>
        <w:rPr>
          <w:rFonts w:ascii="Myriad Pro" w:eastAsiaTheme="minorEastAsia" w:hAnsi="Myriad Pro" w:cstheme="minorBidi"/>
          <w:b w:val="0"/>
          <w:color w:val="auto"/>
          <w:lang w:val="en-US" w:eastAsia="ja-JP"/>
        </w:rPr>
      </w:pPr>
      <w:r w:rsidRPr="00986F85">
        <w:rPr>
          <w:rFonts w:ascii="Myriad Pro" w:hAnsi="Myriad Pro"/>
        </w:rPr>
        <w:t>MELLÉKLETEK</w:t>
      </w:r>
      <w:r w:rsidRPr="00986F85">
        <w:rPr>
          <w:rFonts w:ascii="Myriad Pro" w:hAnsi="Myriad Pro"/>
        </w:rPr>
        <w:tab/>
      </w:r>
      <w:r w:rsidR="007E1F98" w:rsidRPr="00986F85">
        <w:rPr>
          <w:rFonts w:ascii="Myriad Pro" w:hAnsi="Myriad Pro"/>
        </w:rPr>
        <w:fldChar w:fldCharType="begin"/>
      </w:r>
      <w:r w:rsidRPr="00986F85">
        <w:rPr>
          <w:rFonts w:ascii="Myriad Pro" w:hAnsi="Myriad Pro"/>
        </w:rPr>
        <w:instrText xml:space="preserve"> PAGEREF _Toc230854329 \h </w:instrText>
      </w:r>
      <w:r w:rsidR="007E1F98" w:rsidRPr="00986F85">
        <w:rPr>
          <w:rFonts w:ascii="Myriad Pro" w:hAnsi="Myriad Pro"/>
        </w:rPr>
      </w:r>
      <w:r w:rsidR="007E1F98" w:rsidRPr="00986F85">
        <w:rPr>
          <w:rFonts w:ascii="Myriad Pro" w:hAnsi="Myriad Pro"/>
        </w:rPr>
        <w:fldChar w:fldCharType="separate"/>
      </w:r>
      <w:r w:rsidRPr="00986F85">
        <w:rPr>
          <w:rFonts w:ascii="Myriad Pro" w:hAnsi="Myriad Pro"/>
        </w:rPr>
        <w:t>79</w:t>
      </w:r>
      <w:r w:rsidR="007E1F98" w:rsidRPr="00986F85">
        <w:rPr>
          <w:rFonts w:ascii="Myriad Pro" w:hAnsi="Myriad Pro"/>
        </w:rPr>
        <w:fldChar w:fldCharType="end"/>
      </w:r>
    </w:p>
    <w:p w14:paraId="7F9ADF58" w14:textId="77777777" w:rsidR="003E184E" w:rsidRPr="00986F85" w:rsidRDefault="003E184E">
      <w:pPr>
        <w:pStyle w:val="TJ2"/>
        <w:tabs>
          <w:tab w:val="right" w:leader="dot" w:pos="9062"/>
        </w:tabs>
        <w:rPr>
          <w:rFonts w:ascii="Myriad Pro" w:eastAsiaTheme="minorEastAsia" w:hAnsi="Myriad Pro" w:cstheme="minorBidi"/>
          <w:noProof/>
          <w:sz w:val="24"/>
          <w:szCs w:val="24"/>
          <w:lang w:val="en-US" w:eastAsia="ja-JP"/>
        </w:rPr>
      </w:pPr>
      <w:r w:rsidRPr="00986F85">
        <w:rPr>
          <w:rFonts w:ascii="Myriad Pro" w:hAnsi="Myriad Pro"/>
          <w:noProof/>
        </w:rPr>
        <w:t>I. MÓDSZERTANI MELLÉKLET</w:t>
      </w:r>
      <w:r w:rsidRPr="00986F85">
        <w:rPr>
          <w:rFonts w:ascii="Myriad Pro" w:hAnsi="Myriad Pro"/>
          <w:noProof/>
        </w:rPr>
        <w:tab/>
      </w:r>
      <w:r w:rsidR="007E1F98" w:rsidRPr="00986F85">
        <w:rPr>
          <w:rFonts w:ascii="Myriad Pro" w:hAnsi="Myriad Pro"/>
          <w:noProof/>
        </w:rPr>
        <w:fldChar w:fldCharType="begin"/>
      </w:r>
      <w:r w:rsidRPr="00986F85">
        <w:rPr>
          <w:rFonts w:ascii="Myriad Pro" w:hAnsi="Myriad Pro"/>
          <w:noProof/>
        </w:rPr>
        <w:instrText xml:space="preserve"> PAGEREF _Toc230854330 \h </w:instrText>
      </w:r>
      <w:r w:rsidR="007E1F98" w:rsidRPr="00986F85">
        <w:rPr>
          <w:rFonts w:ascii="Myriad Pro" w:hAnsi="Myriad Pro"/>
          <w:noProof/>
        </w:rPr>
      </w:r>
      <w:r w:rsidR="007E1F98" w:rsidRPr="00986F85">
        <w:rPr>
          <w:rFonts w:ascii="Myriad Pro" w:hAnsi="Myriad Pro"/>
          <w:noProof/>
        </w:rPr>
        <w:fldChar w:fldCharType="separate"/>
      </w:r>
      <w:r w:rsidRPr="00986F85">
        <w:rPr>
          <w:rFonts w:ascii="Myriad Pro" w:hAnsi="Myriad Pro"/>
          <w:noProof/>
        </w:rPr>
        <w:t>79</w:t>
      </w:r>
      <w:r w:rsidR="007E1F98" w:rsidRPr="00986F85">
        <w:rPr>
          <w:rFonts w:ascii="Myriad Pro" w:hAnsi="Myriad Pro"/>
          <w:noProof/>
        </w:rPr>
        <w:fldChar w:fldCharType="end"/>
      </w:r>
    </w:p>
    <w:p w14:paraId="73772A07" w14:textId="77777777" w:rsidR="003E184E" w:rsidRPr="00986F85" w:rsidRDefault="003E184E">
      <w:pPr>
        <w:pStyle w:val="TJ2"/>
        <w:tabs>
          <w:tab w:val="right" w:leader="dot" w:pos="9062"/>
        </w:tabs>
        <w:rPr>
          <w:rFonts w:ascii="Myriad Pro" w:eastAsiaTheme="minorEastAsia" w:hAnsi="Myriad Pro" w:cstheme="minorBidi"/>
          <w:noProof/>
          <w:sz w:val="24"/>
          <w:szCs w:val="24"/>
          <w:lang w:val="en-US" w:eastAsia="ja-JP"/>
        </w:rPr>
      </w:pPr>
      <w:r w:rsidRPr="00986F85">
        <w:rPr>
          <w:rFonts w:ascii="Myriad Pro" w:hAnsi="Myriad Pro"/>
          <w:noProof/>
        </w:rPr>
        <w:t>II. LEÍRÓ STATISZTIKÁK</w:t>
      </w:r>
      <w:r w:rsidRPr="00986F85">
        <w:rPr>
          <w:rFonts w:ascii="Myriad Pro" w:hAnsi="Myriad Pro"/>
          <w:noProof/>
        </w:rPr>
        <w:tab/>
      </w:r>
      <w:r w:rsidR="007E1F98" w:rsidRPr="00986F85">
        <w:rPr>
          <w:rFonts w:ascii="Myriad Pro" w:hAnsi="Myriad Pro"/>
          <w:noProof/>
        </w:rPr>
        <w:fldChar w:fldCharType="begin"/>
      </w:r>
      <w:r w:rsidRPr="00986F85">
        <w:rPr>
          <w:rFonts w:ascii="Myriad Pro" w:hAnsi="Myriad Pro"/>
          <w:noProof/>
        </w:rPr>
        <w:instrText xml:space="preserve"> PAGEREF _Toc230854331 \h </w:instrText>
      </w:r>
      <w:r w:rsidR="007E1F98" w:rsidRPr="00986F85">
        <w:rPr>
          <w:rFonts w:ascii="Myriad Pro" w:hAnsi="Myriad Pro"/>
          <w:noProof/>
        </w:rPr>
      </w:r>
      <w:r w:rsidR="007E1F98" w:rsidRPr="00986F85">
        <w:rPr>
          <w:rFonts w:ascii="Myriad Pro" w:hAnsi="Myriad Pro"/>
          <w:noProof/>
        </w:rPr>
        <w:fldChar w:fldCharType="separate"/>
      </w:r>
      <w:r w:rsidRPr="00986F85">
        <w:rPr>
          <w:rFonts w:ascii="Myriad Pro" w:hAnsi="Myriad Pro"/>
          <w:noProof/>
        </w:rPr>
        <w:t>88</w:t>
      </w:r>
      <w:r w:rsidR="007E1F98" w:rsidRPr="00986F85">
        <w:rPr>
          <w:rFonts w:ascii="Myriad Pro" w:hAnsi="Myriad Pro"/>
          <w:noProof/>
        </w:rPr>
        <w:fldChar w:fldCharType="end"/>
      </w:r>
    </w:p>
    <w:p w14:paraId="3D944082" w14:textId="77777777" w:rsidR="003E184E" w:rsidRPr="00986F85" w:rsidRDefault="003E184E">
      <w:pPr>
        <w:pStyle w:val="TJ2"/>
        <w:tabs>
          <w:tab w:val="right" w:leader="dot" w:pos="9062"/>
        </w:tabs>
        <w:rPr>
          <w:rFonts w:ascii="Myriad Pro" w:eastAsiaTheme="minorEastAsia" w:hAnsi="Myriad Pro" w:cstheme="minorBidi"/>
          <w:noProof/>
          <w:sz w:val="24"/>
          <w:szCs w:val="24"/>
          <w:lang w:val="en-US" w:eastAsia="ja-JP"/>
        </w:rPr>
      </w:pPr>
      <w:r w:rsidRPr="00986F85">
        <w:rPr>
          <w:rFonts w:ascii="Myriad Pro" w:hAnsi="Myriad Pro"/>
          <w:noProof/>
        </w:rPr>
        <w:t>III. ROBUSZTUSSÁG VIZSGÁLATOK</w:t>
      </w:r>
      <w:r w:rsidRPr="00986F85">
        <w:rPr>
          <w:rFonts w:ascii="Myriad Pro" w:hAnsi="Myriad Pro"/>
          <w:noProof/>
        </w:rPr>
        <w:tab/>
      </w:r>
      <w:r w:rsidR="007E1F98" w:rsidRPr="00986F85">
        <w:rPr>
          <w:rFonts w:ascii="Myriad Pro" w:hAnsi="Myriad Pro"/>
          <w:noProof/>
        </w:rPr>
        <w:fldChar w:fldCharType="begin"/>
      </w:r>
      <w:r w:rsidRPr="00986F85">
        <w:rPr>
          <w:rFonts w:ascii="Myriad Pro" w:hAnsi="Myriad Pro"/>
          <w:noProof/>
        </w:rPr>
        <w:instrText xml:space="preserve"> PAGEREF _Toc230854332 \h </w:instrText>
      </w:r>
      <w:r w:rsidR="007E1F98" w:rsidRPr="00986F85">
        <w:rPr>
          <w:rFonts w:ascii="Myriad Pro" w:hAnsi="Myriad Pro"/>
          <w:noProof/>
        </w:rPr>
      </w:r>
      <w:r w:rsidR="007E1F98" w:rsidRPr="00986F85">
        <w:rPr>
          <w:rFonts w:ascii="Myriad Pro" w:hAnsi="Myriad Pro"/>
          <w:noProof/>
        </w:rPr>
        <w:fldChar w:fldCharType="separate"/>
      </w:r>
      <w:r w:rsidRPr="00986F85">
        <w:rPr>
          <w:rFonts w:ascii="Myriad Pro" w:hAnsi="Myriad Pro"/>
          <w:noProof/>
        </w:rPr>
        <w:t>100</w:t>
      </w:r>
      <w:r w:rsidR="007E1F98" w:rsidRPr="00986F85">
        <w:rPr>
          <w:rFonts w:ascii="Myriad Pro" w:hAnsi="Myriad Pro"/>
          <w:noProof/>
        </w:rPr>
        <w:fldChar w:fldCharType="end"/>
      </w:r>
    </w:p>
    <w:p w14:paraId="7B7B9FB4" w14:textId="77777777" w:rsidR="00E10AFB" w:rsidRPr="00986F85" w:rsidRDefault="007E1F98" w:rsidP="00B04415">
      <w:pPr>
        <w:spacing w:after="0" w:line="360" w:lineRule="auto"/>
        <w:jc w:val="both"/>
        <w:rPr>
          <w:szCs w:val="24"/>
        </w:rPr>
      </w:pPr>
      <w:r w:rsidRPr="00986F85">
        <w:rPr>
          <w:b/>
          <w:bCs/>
          <w:noProof/>
          <w:szCs w:val="24"/>
        </w:rPr>
        <w:fldChar w:fldCharType="end"/>
      </w:r>
    </w:p>
    <w:p w14:paraId="50AAAC7C" w14:textId="77777777" w:rsidR="00C13522" w:rsidRPr="00986F85" w:rsidRDefault="00C13522" w:rsidP="00B04415">
      <w:pPr>
        <w:spacing w:after="0" w:line="360" w:lineRule="auto"/>
        <w:jc w:val="both"/>
        <w:rPr>
          <w:rFonts w:cs="Times New Roman"/>
          <w:szCs w:val="24"/>
        </w:rPr>
        <w:sectPr w:rsidR="00C13522" w:rsidRPr="00986F85">
          <w:pgSz w:w="11906" w:h="16838"/>
          <w:pgMar w:top="1417" w:right="1417" w:bottom="1417" w:left="1417" w:header="720" w:footer="720" w:gutter="0"/>
          <w:cols w:space="720"/>
          <w:docGrid w:linePitch="360"/>
        </w:sectPr>
      </w:pPr>
    </w:p>
    <w:p w14:paraId="3EA7E0B2" w14:textId="77777777" w:rsidR="00CA538E" w:rsidRPr="00986F85" w:rsidRDefault="00CA538E" w:rsidP="009A68E7">
      <w:pPr>
        <w:pStyle w:val="Cmsor1"/>
        <w:rPr>
          <w:caps/>
        </w:rPr>
      </w:pPr>
      <w:bookmarkStart w:id="1" w:name="_Toc230854300"/>
      <w:r w:rsidRPr="00986F85">
        <w:rPr>
          <w:caps/>
        </w:rPr>
        <w:lastRenderedPageBreak/>
        <w:t>Ábra</w:t>
      </w:r>
      <w:r w:rsidR="009A68E7" w:rsidRPr="00986F85">
        <w:rPr>
          <w:caps/>
        </w:rPr>
        <w:t>jegyzék</w:t>
      </w:r>
      <w:bookmarkEnd w:id="1"/>
    </w:p>
    <w:p w14:paraId="4963E9BA" w14:textId="77777777" w:rsidR="003E184E" w:rsidRPr="00986F85" w:rsidRDefault="007E1F98">
      <w:pPr>
        <w:pStyle w:val="brajegyzk"/>
        <w:tabs>
          <w:tab w:val="right" w:leader="dot" w:pos="9060"/>
        </w:tabs>
        <w:rPr>
          <w:rFonts w:ascii="Myriad Pro" w:eastAsiaTheme="minorEastAsia" w:hAnsi="Myriad Pro" w:cstheme="minorBidi"/>
          <w:i w:val="0"/>
          <w:iCs w:val="0"/>
          <w:noProof/>
          <w:sz w:val="24"/>
          <w:szCs w:val="24"/>
          <w:lang w:val="en-US" w:eastAsia="ja-JP"/>
        </w:rPr>
      </w:pPr>
      <w:r w:rsidRPr="00986F85">
        <w:rPr>
          <w:rFonts w:ascii="Myriad Pro" w:hAnsi="Myriad Pro"/>
          <w:highlight w:val="yellow"/>
        </w:rPr>
        <w:fldChar w:fldCharType="begin"/>
      </w:r>
      <w:r w:rsidR="009A68E7" w:rsidRPr="00986F85">
        <w:rPr>
          <w:rFonts w:ascii="Myriad Pro" w:hAnsi="Myriad Pro"/>
          <w:highlight w:val="yellow"/>
        </w:rPr>
        <w:instrText xml:space="preserve"> TOC \h \z \c "ábra" </w:instrText>
      </w:r>
      <w:r w:rsidRPr="00986F85">
        <w:rPr>
          <w:rFonts w:ascii="Myriad Pro" w:hAnsi="Myriad Pro"/>
          <w:highlight w:val="yellow"/>
        </w:rPr>
        <w:fldChar w:fldCharType="separate"/>
      </w:r>
      <w:r w:rsidR="003E184E" w:rsidRPr="00986F85">
        <w:rPr>
          <w:rFonts w:ascii="Myriad Pro" w:hAnsi="Myriad Pro"/>
          <w:noProof/>
        </w:rPr>
        <w:t xml:space="preserve">1. ábra: </w:t>
      </w:r>
      <w:r w:rsidR="003E184E" w:rsidRPr="00986F85">
        <w:rPr>
          <w:rFonts w:ascii="Myriad Pro" w:hAnsi="Myriad Pro" w:cs="Times New Roman"/>
          <w:noProof/>
        </w:rPr>
        <w:t>Vállalatok regionális megoszlása, 2006/ 2011</w:t>
      </w:r>
      <w:r w:rsidR="003E184E" w:rsidRPr="00986F85">
        <w:rPr>
          <w:rFonts w:ascii="Myriad Pro" w:hAnsi="Myriad Pro"/>
          <w:noProof/>
        </w:rPr>
        <w:tab/>
      </w:r>
      <w:r w:rsidRPr="00986F85">
        <w:rPr>
          <w:rFonts w:ascii="Myriad Pro" w:hAnsi="Myriad Pro"/>
          <w:noProof/>
        </w:rPr>
        <w:fldChar w:fldCharType="begin"/>
      </w:r>
      <w:r w:rsidR="003E184E" w:rsidRPr="00986F85">
        <w:rPr>
          <w:rFonts w:ascii="Myriad Pro" w:hAnsi="Myriad Pro"/>
          <w:noProof/>
        </w:rPr>
        <w:instrText xml:space="preserve"> PAGEREF _Toc230854333 \h </w:instrText>
      </w:r>
      <w:r w:rsidRPr="00986F85">
        <w:rPr>
          <w:rFonts w:ascii="Myriad Pro" w:hAnsi="Myriad Pro"/>
          <w:noProof/>
        </w:rPr>
      </w:r>
      <w:r w:rsidRPr="00986F85">
        <w:rPr>
          <w:rFonts w:ascii="Myriad Pro" w:hAnsi="Myriad Pro"/>
          <w:noProof/>
        </w:rPr>
        <w:fldChar w:fldCharType="separate"/>
      </w:r>
      <w:r w:rsidR="003E184E" w:rsidRPr="00986F85">
        <w:rPr>
          <w:rFonts w:ascii="Myriad Pro" w:hAnsi="Myriad Pro"/>
          <w:noProof/>
        </w:rPr>
        <w:t>28</w:t>
      </w:r>
      <w:r w:rsidRPr="00986F85">
        <w:rPr>
          <w:rFonts w:ascii="Myriad Pro" w:hAnsi="Myriad Pro"/>
          <w:noProof/>
        </w:rPr>
        <w:fldChar w:fldCharType="end"/>
      </w:r>
    </w:p>
    <w:p w14:paraId="190A4EFA" w14:textId="77777777" w:rsidR="003E184E" w:rsidRPr="00986F85" w:rsidRDefault="003E184E">
      <w:pPr>
        <w:pStyle w:val="brajegyzk"/>
        <w:tabs>
          <w:tab w:val="right" w:leader="dot" w:pos="9060"/>
        </w:tabs>
        <w:rPr>
          <w:rFonts w:ascii="Myriad Pro" w:eastAsiaTheme="minorEastAsia" w:hAnsi="Myriad Pro" w:cstheme="minorBidi"/>
          <w:i w:val="0"/>
          <w:iCs w:val="0"/>
          <w:noProof/>
          <w:sz w:val="24"/>
          <w:szCs w:val="24"/>
          <w:lang w:val="en-US" w:eastAsia="ja-JP"/>
        </w:rPr>
      </w:pPr>
      <w:r w:rsidRPr="00986F85">
        <w:rPr>
          <w:rFonts w:ascii="Myriad Pro" w:hAnsi="Myriad Pro"/>
          <w:noProof/>
        </w:rPr>
        <w:t xml:space="preserve">2. ábra: </w:t>
      </w:r>
      <w:r w:rsidRPr="00986F85">
        <w:rPr>
          <w:rFonts w:ascii="Myriad Pro" w:hAnsi="Myriad Pro" w:cs="Times New Roman"/>
          <w:noProof/>
        </w:rPr>
        <w:t>LHH kistérségekben található vállalkozások aránya, 2006</w:t>
      </w:r>
      <w:r w:rsidRPr="00986F85">
        <w:rPr>
          <w:rFonts w:ascii="Myriad Pro" w:hAnsi="Myriad Pro"/>
          <w:noProof/>
        </w:rPr>
        <w:tab/>
      </w:r>
      <w:r w:rsidR="007E1F98" w:rsidRPr="00986F85">
        <w:rPr>
          <w:rFonts w:ascii="Myriad Pro" w:hAnsi="Myriad Pro"/>
          <w:noProof/>
        </w:rPr>
        <w:fldChar w:fldCharType="begin"/>
      </w:r>
      <w:r w:rsidRPr="00986F85">
        <w:rPr>
          <w:rFonts w:ascii="Myriad Pro" w:hAnsi="Myriad Pro"/>
          <w:noProof/>
        </w:rPr>
        <w:instrText xml:space="preserve"> PAGEREF _Toc230854334 \h </w:instrText>
      </w:r>
      <w:r w:rsidR="007E1F98" w:rsidRPr="00986F85">
        <w:rPr>
          <w:rFonts w:ascii="Myriad Pro" w:hAnsi="Myriad Pro"/>
          <w:noProof/>
        </w:rPr>
      </w:r>
      <w:r w:rsidR="007E1F98" w:rsidRPr="00986F85">
        <w:rPr>
          <w:rFonts w:ascii="Myriad Pro" w:hAnsi="Myriad Pro"/>
          <w:noProof/>
        </w:rPr>
        <w:fldChar w:fldCharType="separate"/>
      </w:r>
      <w:r w:rsidRPr="00986F85">
        <w:rPr>
          <w:rFonts w:ascii="Myriad Pro" w:hAnsi="Myriad Pro"/>
          <w:noProof/>
        </w:rPr>
        <w:t>29</w:t>
      </w:r>
      <w:r w:rsidR="007E1F98" w:rsidRPr="00986F85">
        <w:rPr>
          <w:rFonts w:ascii="Myriad Pro" w:hAnsi="Myriad Pro"/>
          <w:noProof/>
        </w:rPr>
        <w:fldChar w:fldCharType="end"/>
      </w:r>
    </w:p>
    <w:p w14:paraId="3B848E75" w14:textId="77777777" w:rsidR="003E184E" w:rsidRPr="00986F85" w:rsidRDefault="003E184E">
      <w:pPr>
        <w:pStyle w:val="brajegyzk"/>
        <w:tabs>
          <w:tab w:val="right" w:leader="dot" w:pos="9060"/>
        </w:tabs>
        <w:rPr>
          <w:rFonts w:ascii="Myriad Pro" w:eastAsiaTheme="minorEastAsia" w:hAnsi="Myriad Pro" w:cstheme="minorBidi"/>
          <w:i w:val="0"/>
          <w:iCs w:val="0"/>
          <w:noProof/>
          <w:sz w:val="24"/>
          <w:szCs w:val="24"/>
          <w:lang w:val="en-US" w:eastAsia="ja-JP"/>
        </w:rPr>
      </w:pPr>
      <w:r w:rsidRPr="00986F85">
        <w:rPr>
          <w:rFonts w:ascii="Myriad Pro" w:hAnsi="Myriad Pro"/>
          <w:noProof/>
        </w:rPr>
        <w:t xml:space="preserve">3. ábra: </w:t>
      </w:r>
      <w:r w:rsidRPr="00986F85">
        <w:rPr>
          <w:rFonts w:ascii="Myriad Pro" w:hAnsi="Myriad Pro" w:cs="Times New Roman"/>
          <w:noProof/>
        </w:rPr>
        <w:t>Vállalatok iparági megoszlása, 2006</w:t>
      </w:r>
      <w:r w:rsidRPr="00986F85">
        <w:rPr>
          <w:rFonts w:ascii="Myriad Pro" w:hAnsi="Myriad Pro"/>
          <w:noProof/>
        </w:rPr>
        <w:tab/>
      </w:r>
      <w:r w:rsidR="007E1F98" w:rsidRPr="00986F85">
        <w:rPr>
          <w:rFonts w:ascii="Myriad Pro" w:hAnsi="Myriad Pro"/>
          <w:noProof/>
        </w:rPr>
        <w:fldChar w:fldCharType="begin"/>
      </w:r>
      <w:r w:rsidRPr="00986F85">
        <w:rPr>
          <w:rFonts w:ascii="Myriad Pro" w:hAnsi="Myriad Pro"/>
          <w:noProof/>
        </w:rPr>
        <w:instrText xml:space="preserve"> PAGEREF _Toc230854335 \h </w:instrText>
      </w:r>
      <w:r w:rsidR="007E1F98" w:rsidRPr="00986F85">
        <w:rPr>
          <w:rFonts w:ascii="Myriad Pro" w:hAnsi="Myriad Pro"/>
          <w:noProof/>
        </w:rPr>
      </w:r>
      <w:r w:rsidR="007E1F98" w:rsidRPr="00986F85">
        <w:rPr>
          <w:rFonts w:ascii="Myriad Pro" w:hAnsi="Myriad Pro"/>
          <w:noProof/>
        </w:rPr>
        <w:fldChar w:fldCharType="separate"/>
      </w:r>
      <w:r w:rsidRPr="00986F85">
        <w:rPr>
          <w:rFonts w:ascii="Myriad Pro" w:hAnsi="Myriad Pro"/>
          <w:noProof/>
        </w:rPr>
        <w:t>30</w:t>
      </w:r>
      <w:r w:rsidR="007E1F98" w:rsidRPr="00986F85">
        <w:rPr>
          <w:rFonts w:ascii="Myriad Pro" w:hAnsi="Myriad Pro"/>
          <w:noProof/>
        </w:rPr>
        <w:fldChar w:fldCharType="end"/>
      </w:r>
    </w:p>
    <w:p w14:paraId="6759FCD6" w14:textId="77777777" w:rsidR="003E184E" w:rsidRPr="00986F85" w:rsidRDefault="003E184E">
      <w:pPr>
        <w:pStyle w:val="brajegyzk"/>
        <w:tabs>
          <w:tab w:val="right" w:leader="dot" w:pos="9060"/>
        </w:tabs>
        <w:rPr>
          <w:rFonts w:ascii="Myriad Pro" w:eastAsiaTheme="minorEastAsia" w:hAnsi="Myriad Pro" w:cstheme="minorBidi"/>
          <w:i w:val="0"/>
          <w:iCs w:val="0"/>
          <w:noProof/>
          <w:sz w:val="24"/>
          <w:szCs w:val="24"/>
          <w:lang w:val="en-US" w:eastAsia="ja-JP"/>
        </w:rPr>
      </w:pPr>
      <w:r w:rsidRPr="00986F85">
        <w:rPr>
          <w:rFonts w:ascii="Myriad Pro" w:hAnsi="Myriad Pro"/>
          <w:noProof/>
        </w:rPr>
        <w:t xml:space="preserve">4. ábra: </w:t>
      </w:r>
      <w:r w:rsidRPr="00986F85">
        <w:rPr>
          <w:rFonts w:ascii="Myriad Pro" w:hAnsi="Myriad Pro" w:cs="Times New Roman"/>
          <w:noProof/>
        </w:rPr>
        <w:t>Export-orientált cégek számossága egyes ágazatokban, 2011</w:t>
      </w:r>
      <w:r w:rsidRPr="00986F85">
        <w:rPr>
          <w:rFonts w:ascii="Myriad Pro" w:hAnsi="Myriad Pro"/>
          <w:noProof/>
        </w:rPr>
        <w:tab/>
      </w:r>
      <w:r w:rsidR="007E1F98" w:rsidRPr="00986F85">
        <w:rPr>
          <w:rFonts w:ascii="Myriad Pro" w:hAnsi="Myriad Pro"/>
          <w:noProof/>
        </w:rPr>
        <w:fldChar w:fldCharType="begin"/>
      </w:r>
      <w:r w:rsidRPr="00986F85">
        <w:rPr>
          <w:rFonts w:ascii="Myriad Pro" w:hAnsi="Myriad Pro"/>
          <w:noProof/>
        </w:rPr>
        <w:instrText xml:space="preserve"> PAGEREF _Toc230854336 \h </w:instrText>
      </w:r>
      <w:r w:rsidR="007E1F98" w:rsidRPr="00986F85">
        <w:rPr>
          <w:rFonts w:ascii="Myriad Pro" w:hAnsi="Myriad Pro"/>
          <w:noProof/>
        </w:rPr>
      </w:r>
      <w:r w:rsidR="007E1F98" w:rsidRPr="00986F85">
        <w:rPr>
          <w:rFonts w:ascii="Myriad Pro" w:hAnsi="Myriad Pro"/>
          <w:noProof/>
        </w:rPr>
        <w:fldChar w:fldCharType="separate"/>
      </w:r>
      <w:r w:rsidRPr="00986F85">
        <w:rPr>
          <w:rFonts w:ascii="Myriad Pro" w:hAnsi="Myriad Pro"/>
          <w:noProof/>
        </w:rPr>
        <w:t>31</w:t>
      </w:r>
      <w:r w:rsidR="007E1F98" w:rsidRPr="00986F85">
        <w:rPr>
          <w:rFonts w:ascii="Myriad Pro" w:hAnsi="Myriad Pro"/>
          <w:noProof/>
        </w:rPr>
        <w:fldChar w:fldCharType="end"/>
      </w:r>
    </w:p>
    <w:p w14:paraId="024591E3" w14:textId="77777777" w:rsidR="003E184E" w:rsidRPr="00986F85" w:rsidRDefault="003E184E">
      <w:pPr>
        <w:pStyle w:val="brajegyzk"/>
        <w:tabs>
          <w:tab w:val="right" w:leader="dot" w:pos="9060"/>
        </w:tabs>
        <w:rPr>
          <w:rFonts w:ascii="Myriad Pro" w:eastAsiaTheme="minorEastAsia" w:hAnsi="Myriad Pro" w:cstheme="minorBidi"/>
          <w:i w:val="0"/>
          <w:iCs w:val="0"/>
          <w:noProof/>
          <w:sz w:val="24"/>
          <w:szCs w:val="24"/>
          <w:lang w:val="en-US" w:eastAsia="ja-JP"/>
        </w:rPr>
      </w:pPr>
      <w:r w:rsidRPr="00986F85">
        <w:rPr>
          <w:rFonts w:ascii="Myriad Pro" w:hAnsi="Myriad Pro"/>
          <w:noProof/>
        </w:rPr>
        <w:t xml:space="preserve">5. ábra: </w:t>
      </w:r>
      <w:r w:rsidRPr="00986F85">
        <w:rPr>
          <w:rFonts w:ascii="Myriad Pro" w:hAnsi="Myriad Pro" w:cs="Times New Roman"/>
          <w:noProof/>
          <w:lang w:eastAsia="en-US"/>
        </w:rPr>
        <w:t>Vállalatok foglalkoztatotti kategóriák szerinti eloszlása, 2006</w:t>
      </w:r>
      <w:r w:rsidRPr="00986F85">
        <w:rPr>
          <w:rFonts w:ascii="Myriad Pro" w:hAnsi="Myriad Pro"/>
          <w:noProof/>
        </w:rPr>
        <w:tab/>
      </w:r>
      <w:r w:rsidR="007E1F98" w:rsidRPr="00986F85">
        <w:rPr>
          <w:rFonts w:ascii="Myriad Pro" w:hAnsi="Myriad Pro"/>
          <w:noProof/>
        </w:rPr>
        <w:fldChar w:fldCharType="begin"/>
      </w:r>
      <w:r w:rsidRPr="00986F85">
        <w:rPr>
          <w:rFonts w:ascii="Myriad Pro" w:hAnsi="Myriad Pro"/>
          <w:noProof/>
        </w:rPr>
        <w:instrText xml:space="preserve"> PAGEREF _Toc230854337 \h </w:instrText>
      </w:r>
      <w:r w:rsidR="007E1F98" w:rsidRPr="00986F85">
        <w:rPr>
          <w:rFonts w:ascii="Myriad Pro" w:hAnsi="Myriad Pro"/>
          <w:noProof/>
        </w:rPr>
      </w:r>
      <w:r w:rsidR="007E1F98" w:rsidRPr="00986F85">
        <w:rPr>
          <w:rFonts w:ascii="Myriad Pro" w:hAnsi="Myriad Pro"/>
          <w:noProof/>
        </w:rPr>
        <w:fldChar w:fldCharType="separate"/>
      </w:r>
      <w:r w:rsidRPr="00986F85">
        <w:rPr>
          <w:rFonts w:ascii="Myriad Pro" w:hAnsi="Myriad Pro"/>
          <w:noProof/>
        </w:rPr>
        <w:t>32</w:t>
      </w:r>
      <w:r w:rsidR="007E1F98" w:rsidRPr="00986F85">
        <w:rPr>
          <w:rFonts w:ascii="Myriad Pro" w:hAnsi="Myriad Pro"/>
          <w:noProof/>
        </w:rPr>
        <w:fldChar w:fldCharType="end"/>
      </w:r>
    </w:p>
    <w:p w14:paraId="41FA5368" w14:textId="77777777" w:rsidR="003E184E" w:rsidRPr="00986F85" w:rsidRDefault="003E184E">
      <w:pPr>
        <w:pStyle w:val="brajegyzk"/>
        <w:tabs>
          <w:tab w:val="right" w:leader="dot" w:pos="9060"/>
        </w:tabs>
        <w:rPr>
          <w:rFonts w:ascii="Myriad Pro" w:eastAsiaTheme="minorEastAsia" w:hAnsi="Myriad Pro" w:cstheme="minorBidi"/>
          <w:i w:val="0"/>
          <w:iCs w:val="0"/>
          <w:noProof/>
          <w:sz w:val="24"/>
          <w:szCs w:val="24"/>
          <w:lang w:val="en-US" w:eastAsia="ja-JP"/>
        </w:rPr>
      </w:pPr>
      <w:r w:rsidRPr="00986F85">
        <w:rPr>
          <w:rFonts w:ascii="Myriad Pro" w:hAnsi="Myriad Pro"/>
          <w:noProof/>
        </w:rPr>
        <w:t xml:space="preserve">6. ábra: </w:t>
      </w:r>
      <w:r w:rsidRPr="00986F85">
        <w:rPr>
          <w:rFonts w:ascii="Myriad Pro" w:hAnsi="Myriad Pro" w:cs="Times New Roman"/>
          <w:noProof/>
        </w:rPr>
        <w:t>Vállalati korcsoportok szerinti megoszlás ágazatonként, 2006</w:t>
      </w:r>
      <w:r w:rsidRPr="00986F85">
        <w:rPr>
          <w:rFonts w:ascii="Myriad Pro" w:hAnsi="Myriad Pro"/>
          <w:noProof/>
        </w:rPr>
        <w:tab/>
      </w:r>
      <w:r w:rsidR="007E1F98" w:rsidRPr="00986F85">
        <w:rPr>
          <w:rFonts w:ascii="Myriad Pro" w:hAnsi="Myriad Pro"/>
          <w:noProof/>
        </w:rPr>
        <w:fldChar w:fldCharType="begin"/>
      </w:r>
      <w:r w:rsidRPr="00986F85">
        <w:rPr>
          <w:rFonts w:ascii="Myriad Pro" w:hAnsi="Myriad Pro"/>
          <w:noProof/>
        </w:rPr>
        <w:instrText xml:space="preserve"> PAGEREF _Toc230854338 \h </w:instrText>
      </w:r>
      <w:r w:rsidR="007E1F98" w:rsidRPr="00986F85">
        <w:rPr>
          <w:rFonts w:ascii="Myriad Pro" w:hAnsi="Myriad Pro"/>
          <w:noProof/>
        </w:rPr>
      </w:r>
      <w:r w:rsidR="007E1F98" w:rsidRPr="00986F85">
        <w:rPr>
          <w:rFonts w:ascii="Myriad Pro" w:hAnsi="Myriad Pro"/>
          <w:noProof/>
        </w:rPr>
        <w:fldChar w:fldCharType="separate"/>
      </w:r>
      <w:r w:rsidRPr="00986F85">
        <w:rPr>
          <w:rFonts w:ascii="Myriad Pro" w:hAnsi="Myriad Pro"/>
          <w:noProof/>
        </w:rPr>
        <w:t>32</w:t>
      </w:r>
      <w:r w:rsidR="007E1F98" w:rsidRPr="00986F85">
        <w:rPr>
          <w:rFonts w:ascii="Myriad Pro" w:hAnsi="Myriad Pro"/>
          <w:noProof/>
        </w:rPr>
        <w:fldChar w:fldCharType="end"/>
      </w:r>
    </w:p>
    <w:p w14:paraId="3B5EA17D" w14:textId="77777777" w:rsidR="003E184E" w:rsidRPr="00986F85" w:rsidRDefault="003E184E">
      <w:pPr>
        <w:pStyle w:val="brajegyzk"/>
        <w:tabs>
          <w:tab w:val="right" w:leader="dot" w:pos="9060"/>
        </w:tabs>
        <w:rPr>
          <w:rFonts w:ascii="Myriad Pro" w:eastAsiaTheme="minorEastAsia" w:hAnsi="Myriad Pro" w:cstheme="minorBidi"/>
          <w:i w:val="0"/>
          <w:iCs w:val="0"/>
          <w:noProof/>
          <w:sz w:val="24"/>
          <w:szCs w:val="24"/>
          <w:lang w:val="en-US" w:eastAsia="ja-JP"/>
        </w:rPr>
      </w:pPr>
      <w:r w:rsidRPr="00986F85">
        <w:rPr>
          <w:rFonts w:ascii="Myriad Pro" w:hAnsi="Myriad Pro"/>
          <w:noProof/>
        </w:rPr>
        <w:t xml:space="preserve">7. ábra: </w:t>
      </w:r>
      <w:r w:rsidRPr="00986F85">
        <w:rPr>
          <w:rFonts w:ascii="Myriad Pro" w:hAnsi="Myriad Pro" w:cs="Times New Roman"/>
          <w:noProof/>
          <w:color w:val="000000"/>
        </w:rPr>
        <w:t xml:space="preserve">2008-at követően </w:t>
      </w:r>
      <w:r w:rsidRPr="00986F85">
        <w:rPr>
          <w:rFonts w:ascii="Myriad Pro" w:hAnsi="Myriad Pro" w:cs="Lucida Grande"/>
          <w:noProof/>
          <w:color w:val="000000"/>
        </w:rPr>
        <w:t>gyengébben teljesítő vállalatok kistérségi megoszlása</w:t>
      </w:r>
      <w:r w:rsidRPr="00986F85">
        <w:rPr>
          <w:rFonts w:ascii="Myriad Pro" w:hAnsi="Myriad Pro" w:cs="Times New Roman"/>
          <w:noProof/>
          <w:color w:val="000000"/>
        </w:rPr>
        <w:t>, 2009</w:t>
      </w:r>
      <w:r w:rsidRPr="00986F85">
        <w:rPr>
          <w:rFonts w:ascii="Myriad Pro" w:hAnsi="Myriad Pro"/>
          <w:noProof/>
        </w:rPr>
        <w:tab/>
      </w:r>
      <w:r w:rsidR="007E1F98" w:rsidRPr="00986F85">
        <w:rPr>
          <w:rFonts w:ascii="Myriad Pro" w:hAnsi="Myriad Pro"/>
          <w:noProof/>
        </w:rPr>
        <w:fldChar w:fldCharType="begin"/>
      </w:r>
      <w:r w:rsidRPr="00986F85">
        <w:rPr>
          <w:rFonts w:ascii="Myriad Pro" w:hAnsi="Myriad Pro"/>
          <w:noProof/>
        </w:rPr>
        <w:instrText xml:space="preserve"> PAGEREF _Toc230854339 \h </w:instrText>
      </w:r>
      <w:r w:rsidR="007E1F98" w:rsidRPr="00986F85">
        <w:rPr>
          <w:rFonts w:ascii="Myriad Pro" w:hAnsi="Myriad Pro"/>
          <w:noProof/>
        </w:rPr>
      </w:r>
      <w:r w:rsidR="007E1F98" w:rsidRPr="00986F85">
        <w:rPr>
          <w:rFonts w:ascii="Myriad Pro" w:hAnsi="Myriad Pro"/>
          <w:noProof/>
        </w:rPr>
        <w:fldChar w:fldCharType="separate"/>
      </w:r>
      <w:r w:rsidRPr="00986F85">
        <w:rPr>
          <w:rFonts w:ascii="Myriad Pro" w:hAnsi="Myriad Pro"/>
          <w:noProof/>
        </w:rPr>
        <w:t>36</w:t>
      </w:r>
      <w:r w:rsidR="007E1F98" w:rsidRPr="00986F85">
        <w:rPr>
          <w:rFonts w:ascii="Myriad Pro" w:hAnsi="Myriad Pro"/>
          <w:noProof/>
        </w:rPr>
        <w:fldChar w:fldCharType="end"/>
      </w:r>
    </w:p>
    <w:p w14:paraId="386607AF" w14:textId="77777777" w:rsidR="003E184E" w:rsidRPr="00986F85" w:rsidRDefault="003E184E">
      <w:pPr>
        <w:pStyle w:val="brajegyzk"/>
        <w:tabs>
          <w:tab w:val="right" w:leader="dot" w:pos="9060"/>
        </w:tabs>
        <w:rPr>
          <w:rFonts w:ascii="Myriad Pro" w:eastAsiaTheme="minorEastAsia" w:hAnsi="Myriad Pro" w:cstheme="minorBidi"/>
          <w:i w:val="0"/>
          <w:iCs w:val="0"/>
          <w:noProof/>
          <w:sz w:val="24"/>
          <w:szCs w:val="24"/>
          <w:lang w:val="en-US" w:eastAsia="ja-JP"/>
        </w:rPr>
      </w:pPr>
      <w:r w:rsidRPr="00986F85">
        <w:rPr>
          <w:rFonts w:ascii="Myriad Pro" w:hAnsi="Myriad Pro"/>
          <w:noProof/>
        </w:rPr>
        <w:t xml:space="preserve">8. ábra: </w:t>
      </w:r>
      <w:r w:rsidRPr="00986F85">
        <w:rPr>
          <w:rFonts w:ascii="Myriad Pro" w:hAnsi="Myriad Pro" w:cs="Times New Roman"/>
          <w:noProof/>
          <w:color w:val="000000"/>
        </w:rPr>
        <w:t xml:space="preserve">Kiinduló évet követően </w:t>
      </w:r>
      <w:r w:rsidRPr="00986F85">
        <w:rPr>
          <w:rFonts w:ascii="Myriad Pro" w:hAnsi="Myriad Pro" w:cs="Lucida Grande"/>
          <w:noProof/>
          <w:color w:val="000000"/>
        </w:rPr>
        <w:t>gyengébben teljesítő vállalatok kistérségi megoszlása</w:t>
      </w:r>
      <w:r w:rsidRPr="00986F85">
        <w:rPr>
          <w:rFonts w:ascii="Myriad Pro" w:hAnsi="Myriad Pro" w:cs="Times New Roman"/>
          <w:noProof/>
          <w:color w:val="000000"/>
        </w:rPr>
        <w:t>, 2011</w:t>
      </w:r>
      <w:r w:rsidRPr="00986F85">
        <w:rPr>
          <w:rFonts w:ascii="Myriad Pro" w:hAnsi="Myriad Pro"/>
          <w:noProof/>
        </w:rPr>
        <w:tab/>
      </w:r>
      <w:r w:rsidR="007E1F98" w:rsidRPr="00986F85">
        <w:rPr>
          <w:rFonts w:ascii="Myriad Pro" w:hAnsi="Myriad Pro"/>
          <w:noProof/>
        </w:rPr>
        <w:fldChar w:fldCharType="begin"/>
      </w:r>
      <w:r w:rsidRPr="00986F85">
        <w:rPr>
          <w:rFonts w:ascii="Myriad Pro" w:hAnsi="Myriad Pro"/>
          <w:noProof/>
        </w:rPr>
        <w:instrText xml:space="preserve"> PAGEREF _Toc230854340 \h </w:instrText>
      </w:r>
      <w:r w:rsidR="007E1F98" w:rsidRPr="00986F85">
        <w:rPr>
          <w:rFonts w:ascii="Myriad Pro" w:hAnsi="Myriad Pro"/>
          <w:noProof/>
        </w:rPr>
      </w:r>
      <w:r w:rsidR="007E1F98" w:rsidRPr="00986F85">
        <w:rPr>
          <w:rFonts w:ascii="Myriad Pro" w:hAnsi="Myriad Pro"/>
          <w:noProof/>
        </w:rPr>
        <w:fldChar w:fldCharType="separate"/>
      </w:r>
      <w:r w:rsidRPr="00986F85">
        <w:rPr>
          <w:rFonts w:ascii="Myriad Pro" w:hAnsi="Myriad Pro"/>
          <w:noProof/>
        </w:rPr>
        <w:t>37</w:t>
      </w:r>
      <w:r w:rsidR="007E1F98" w:rsidRPr="00986F85">
        <w:rPr>
          <w:rFonts w:ascii="Myriad Pro" w:hAnsi="Myriad Pro"/>
          <w:noProof/>
        </w:rPr>
        <w:fldChar w:fldCharType="end"/>
      </w:r>
    </w:p>
    <w:p w14:paraId="3D41A528" w14:textId="77777777" w:rsidR="003E184E" w:rsidRPr="00986F85" w:rsidRDefault="003E184E">
      <w:pPr>
        <w:pStyle w:val="brajegyzk"/>
        <w:tabs>
          <w:tab w:val="right" w:leader="dot" w:pos="9060"/>
        </w:tabs>
        <w:rPr>
          <w:rFonts w:ascii="Myriad Pro" w:eastAsiaTheme="minorEastAsia" w:hAnsi="Myriad Pro" w:cstheme="minorBidi"/>
          <w:i w:val="0"/>
          <w:iCs w:val="0"/>
          <w:noProof/>
          <w:sz w:val="24"/>
          <w:szCs w:val="24"/>
          <w:lang w:val="en-US" w:eastAsia="ja-JP"/>
        </w:rPr>
      </w:pPr>
      <w:r w:rsidRPr="00986F85">
        <w:rPr>
          <w:rFonts w:ascii="Myriad Pro" w:hAnsi="Myriad Pro"/>
          <w:noProof/>
        </w:rPr>
        <w:t xml:space="preserve">9. ábra: </w:t>
      </w:r>
      <w:r w:rsidRPr="00986F85">
        <w:rPr>
          <w:rFonts w:ascii="Myriad Pro" w:hAnsi="Myriad Pro" w:cs="Times New Roman"/>
          <w:noProof/>
        </w:rPr>
        <w:t>Kezelt vállaltok regionális eloszlása – GOP2.1.1.A, 2011</w:t>
      </w:r>
      <w:r w:rsidRPr="00986F85">
        <w:rPr>
          <w:rFonts w:ascii="Myriad Pro" w:hAnsi="Myriad Pro"/>
          <w:noProof/>
        </w:rPr>
        <w:tab/>
      </w:r>
      <w:r w:rsidR="007E1F98" w:rsidRPr="00986F85">
        <w:rPr>
          <w:rFonts w:ascii="Myriad Pro" w:hAnsi="Myriad Pro"/>
          <w:noProof/>
        </w:rPr>
        <w:fldChar w:fldCharType="begin"/>
      </w:r>
      <w:r w:rsidRPr="00986F85">
        <w:rPr>
          <w:rFonts w:ascii="Myriad Pro" w:hAnsi="Myriad Pro"/>
          <w:noProof/>
        </w:rPr>
        <w:instrText xml:space="preserve"> PAGEREF _Toc230854341 \h </w:instrText>
      </w:r>
      <w:r w:rsidR="007E1F98" w:rsidRPr="00986F85">
        <w:rPr>
          <w:rFonts w:ascii="Myriad Pro" w:hAnsi="Myriad Pro"/>
          <w:noProof/>
        </w:rPr>
      </w:r>
      <w:r w:rsidR="007E1F98" w:rsidRPr="00986F85">
        <w:rPr>
          <w:rFonts w:ascii="Myriad Pro" w:hAnsi="Myriad Pro"/>
          <w:noProof/>
        </w:rPr>
        <w:fldChar w:fldCharType="separate"/>
      </w:r>
      <w:r w:rsidRPr="00986F85">
        <w:rPr>
          <w:rFonts w:ascii="Myriad Pro" w:hAnsi="Myriad Pro"/>
          <w:noProof/>
        </w:rPr>
        <w:t>53</w:t>
      </w:r>
      <w:r w:rsidR="007E1F98" w:rsidRPr="00986F85">
        <w:rPr>
          <w:rFonts w:ascii="Myriad Pro" w:hAnsi="Myriad Pro"/>
          <w:noProof/>
        </w:rPr>
        <w:fldChar w:fldCharType="end"/>
      </w:r>
    </w:p>
    <w:p w14:paraId="1A69CE8B" w14:textId="77777777" w:rsidR="003E184E" w:rsidRPr="00986F85" w:rsidRDefault="003E184E">
      <w:pPr>
        <w:pStyle w:val="brajegyzk"/>
        <w:tabs>
          <w:tab w:val="right" w:leader="dot" w:pos="9060"/>
        </w:tabs>
        <w:rPr>
          <w:rFonts w:ascii="Myriad Pro" w:eastAsiaTheme="minorEastAsia" w:hAnsi="Myriad Pro" w:cstheme="minorBidi"/>
          <w:i w:val="0"/>
          <w:iCs w:val="0"/>
          <w:noProof/>
          <w:sz w:val="24"/>
          <w:szCs w:val="24"/>
          <w:lang w:val="en-US" w:eastAsia="ja-JP"/>
        </w:rPr>
      </w:pPr>
      <w:r w:rsidRPr="00986F85">
        <w:rPr>
          <w:rFonts w:ascii="Myriad Pro" w:hAnsi="Myriad Pro"/>
          <w:noProof/>
        </w:rPr>
        <w:t xml:space="preserve">10. ábra: </w:t>
      </w:r>
      <w:r w:rsidRPr="00986F85">
        <w:rPr>
          <w:rFonts w:ascii="Myriad Pro" w:hAnsi="Myriad Pro" w:cs="Times New Roman"/>
          <w:noProof/>
        </w:rPr>
        <w:t>LHH kistérségekben található kezelt vállalkozások aránya - GOP2.1.1.A, 2011</w:t>
      </w:r>
      <w:r w:rsidRPr="00986F85">
        <w:rPr>
          <w:rFonts w:ascii="Myriad Pro" w:hAnsi="Myriad Pro"/>
          <w:noProof/>
        </w:rPr>
        <w:tab/>
      </w:r>
      <w:r w:rsidR="007E1F98" w:rsidRPr="00986F85">
        <w:rPr>
          <w:rFonts w:ascii="Myriad Pro" w:hAnsi="Myriad Pro"/>
          <w:noProof/>
        </w:rPr>
        <w:fldChar w:fldCharType="begin"/>
      </w:r>
      <w:r w:rsidRPr="00986F85">
        <w:rPr>
          <w:rFonts w:ascii="Myriad Pro" w:hAnsi="Myriad Pro"/>
          <w:noProof/>
        </w:rPr>
        <w:instrText xml:space="preserve"> PAGEREF _Toc230854342 \h </w:instrText>
      </w:r>
      <w:r w:rsidR="007E1F98" w:rsidRPr="00986F85">
        <w:rPr>
          <w:rFonts w:ascii="Myriad Pro" w:hAnsi="Myriad Pro"/>
          <w:noProof/>
        </w:rPr>
      </w:r>
      <w:r w:rsidR="007E1F98" w:rsidRPr="00986F85">
        <w:rPr>
          <w:rFonts w:ascii="Myriad Pro" w:hAnsi="Myriad Pro"/>
          <w:noProof/>
        </w:rPr>
        <w:fldChar w:fldCharType="separate"/>
      </w:r>
      <w:r w:rsidRPr="00986F85">
        <w:rPr>
          <w:rFonts w:ascii="Myriad Pro" w:hAnsi="Myriad Pro"/>
          <w:noProof/>
        </w:rPr>
        <w:t>53</w:t>
      </w:r>
      <w:r w:rsidR="007E1F98" w:rsidRPr="00986F85">
        <w:rPr>
          <w:rFonts w:ascii="Myriad Pro" w:hAnsi="Myriad Pro"/>
          <w:noProof/>
        </w:rPr>
        <w:fldChar w:fldCharType="end"/>
      </w:r>
    </w:p>
    <w:p w14:paraId="68256A42" w14:textId="77777777" w:rsidR="003E184E" w:rsidRPr="00986F85" w:rsidRDefault="003E184E">
      <w:pPr>
        <w:pStyle w:val="brajegyzk"/>
        <w:tabs>
          <w:tab w:val="right" w:leader="dot" w:pos="9060"/>
        </w:tabs>
        <w:rPr>
          <w:rFonts w:ascii="Myriad Pro" w:eastAsiaTheme="minorEastAsia" w:hAnsi="Myriad Pro" w:cstheme="minorBidi"/>
          <w:i w:val="0"/>
          <w:iCs w:val="0"/>
          <w:noProof/>
          <w:sz w:val="24"/>
          <w:szCs w:val="24"/>
          <w:lang w:val="en-US" w:eastAsia="ja-JP"/>
        </w:rPr>
      </w:pPr>
      <w:r w:rsidRPr="00986F85">
        <w:rPr>
          <w:rFonts w:ascii="Myriad Pro" w:hAnsi="Myriad Pro"/>
          <w:noProof/>
        </w:rPr>
        <w:t>11. ábra: Kezelt vállalkozások ágazati megoszlása - GOP</w:t>
      </w:r>
      <w:r w:rsidRPr="00986F85">
        <w:rPr>
          <w:rFonts w:ascii="Myriad Pro" w:hAnsi="Myriad Pro" w:cs="Times New Roman"/>
          <w:noProof/>
        </w:rPr>
        <w:t>2.1.1.A</w:t>
      </w:r>
      <w:r w:rsidRPr="00986F85">
        <w:rPr>
          <w:rFonts w:ascii="Myriad Pro" w:hAnsi="Myriad Pro"/>
          <w:noProof/>
        </w:rPr>
        <w:t>, 2011</w:t>
      </w:r>
      <w:r w:rsidRPr="00986F85">
        <w:rPr>
          <w:rFonts w:ascii="Myriad Pro" w:hAnsi="Myriad Pro"/>
          <w:noProof/>
        </w:rPr>
        <w:tab/>
      </w:r>
      <w:r w:rsidR="007E1F98" w:rsidRPr="00986F85">
        <w:rPr>
          <w:rFonts w:ascii="Myriad Pro" w:hAnsi="Myriad Pro"/>
          <w:noProof/>
        </w:rPr>
        <w:fldChar w:fldCharType="begin"/>
      </w:r>
      <w:r w:rsidRPr="00986F85">
        <w:rPr>
          <w:rFonts w:ascii="Myriad Pro" w:hAnsi="Myriad Pro"/>
          <w:noProof/>
        </w:rPr>
        <w:instrText xml:space="preserve"> PAGEREF _Toc230854343 \h </w:instrText>
      </w:r>
      <w:r w:rsidR="007E1F98" w:rsidRPr="00986F85">
        <w:rPr>
          <w:rFonts w:ascii="Myriad Pro" w:hAnsi="Myriad Pro"/>
          <w:noProof/>
        </w:rPr>
      </w:r>
      <w:r w:rsidR="007E1F98" w:rsidRPr="00986F85">
        <w:rPr>
          <w:rFonts w:ascii="Myriad Pro" w:hAnsi="Myriad Pro"/>
          <w:noProof/>
        </w:rPr>
        <w:fldChar w:fldCharType="separate"/>
      </w:r>
      <w:r w:rsidRPr="00986F85">
        <w:rPr>
          <w:rFonts w:ascii="Myriad Pro" w:hAnsi="Myriad Pro"/>
          <w:noProof/>
        </w:rPr>
        <w:t>54</w:t>
      </w:r>
      <w:r w:rsidR="007E1F98" w:rsidRPr="00986F85">
        <w:rPr>
          <w:rFonts w:ascii="Myriad Pro" w:hAnsi="Myriad Pro"/>
          <w:noProof/>
        </w:rPr>
        <w:fldChar w:fldCharType="end"/>
      </w:r>
    </w:p>
    <w:p w14:paraId="7E6A55EA" w14:textId="77777777" w:rsidR="003E184E" w:rsidRPr="00986F85" w:rsidRDefault="003E184E">
      <w:pPr>
        <w:pStyle w:val="brajegyzk"/>
        <w:tabs>
          <w:tab w:val="right" w:leader="dot" w:pos="9060"/>
        </w:tabs>
        <w:rPr>
          <w:rFonts w:ascii="Myriad Pro" w:eastAsiaTheme="minorEastAsia" w:hAnsi="Myriad Pro" w:cstheme="minorBidi"/>
          <w:i w:val="0"/>
          <w:iCs w:val="0"/>
          <w:noProof/>
          <w:sz w:val="24"/>
          <w:szCs w:val="24"/>
          <w:lang w:val="en-US" w:eastAsia="ja-JP"/>
        </w:rPr>
      </w:pPr>
      <w:r w:rsidRPr="00986F85">
        <w:rPr>
          <w:rFonts w:ascii="Myriad Pro" w:hAnsi="Myriad Pro"/>
          <w:noProof/>
        </w:rPr>
        <w:t>12. ábra: Kezelt vállalkozások ágazati megoszlása – KMOP</w:t>
      </w:r>
      <w:r w:rsidRPr="00986F85">
        <w:rPr>
          <w:rFonts w:ascii="Myriad Pro" w:hAnsi="Myriad Pro" w:cs="Times New Roman"/>
          <w:noProof/>
        </w:rPr>
        <w:t>1.2.1.A</w:t>
      </w:r>
      <w:r w:rsidRPr="00986F85">
        <w:rPr>
          <w:rFonts w:ascii="Myriad Pro" w:hAnsi="Myriad Pro"/>
          <w:noProof/>
        </w:rPr>
        <w:t>, 2011</w:t>
      </w:r>
      <w:r w:rsidRPr="00986F85">
        <w:rPr>
          <w:rFonts w:ascii="Myriad Pro" w:hAnsi="Myriad Pro"/>
          <w:noProof/>
        </w:rPr>
        <w:tab/>
      </w:r>
      <w:r w:rsidR="007E1F98" w:rsidRPr="00986F85">
        <w:rPr>
          <w:rFonts w:ascii="Myriad Pro" w:hAnsi="Myriad Pro"/>
          <w:noProof/>
        </w:rPr>
        <w:fldChar w:fldCharType="begin"/>
      </w:r>
      <w:r w:rsidRPr="00986F85">
        <w:rPr>
          <w:rFonts w:ascii="Myriad Pro" w:hAnsi="Myriad Pro"/>
          <w:noProof/>
        </w:rPr>
        <w:instrText xml:space="preserve"> PAGEREF _Toc230854344 \h </w:instrText>
      </w:r>
      <w:r w:rsidR="007E1F98" w:rsidRPr="00986F85">
        <w:rPr>
          <w:rFonts w:ascii="Myriad Pro" w:hAnsi="Myriad Pro"/>
          <w:noProof/>
        </w:rPr>
      </w:r>
      <w:r w:rsidR="007E1F98" w:rsidRPr="00986F85">
        <w:rPr>
          <w:rFonts w:ascii="Myriad Pro" w:hAnsi="Myriad Pro"/>
          <w:noProof/>
        </w:rPr>
        <w:fldChar w:fldCharType="separate"/>
      </w:r>
      <w:r w:rsidRPr="00986F85">
        <w:rPr>
          <w:rFonts w:ascii="Myriad Pro" w:hAnsi="Myriad Pro"/>
          <w:noProof/>
        </w:rPr>
        <w:t>55</w:t>
      </w:r>
      <w:r w:rsidR="007E1F98" w:rsidRPr="00986F85">
        <w:rPr>
          <w:rFonts w:ascii="Myriad Pro" w:hAnsi="Myriad Pro"/>
          <w:noProof/>
        </w:rPr>
        <w:fldChar w:fldCharType="end"/>
      </w:r>
    </w:p>
    <w:p w14:paraId="506F0072" w14:textId="77777777" w:rsidR="003E184E" w:rsidRPr="00986F85" w:rsidRDefault="003E184E">
      <w:pPr>
        <w:pStyle w:val="brajegyzk"/>
        <w:tabs>
          <w:tab w:val="right" w:leader="dot" w:pos="9060"/>
        </w:tabs>
        <w:rPr>
          <w:rFonts w:ascii="Myriad Pro" w:eastAsiaTheme="minorEastAsia" w:hAnsi="Myriad Pro" w:cstheme="minorBidi"/>
          <w:i w:val="0"/>
          <w:iCs w:val="0"/>
          <w:noProof/>
          <w:sz w:val="24"/>
          <w:szCs w:val="24"/>
          <w:lang w:val="en-US" w:eastAsia="ja-JP"/>
        </w:rPr>
      </w:pPr>
      <w:r w:rsidRPr="00986F85">
        <w:rPr>
          <w:rFonts w:ascii="Myriad Pro" w:hAnsi="Myriad Pro"/>
          <w:noProof/>
        </w:rPr>
        <w:t>13. ábra: GOP2.1.1.A és KMOP1.2.1.A nyertes cégek vállalati korcsoportok szerinti megoszlás ágazatonként, 2006</w:t>
      </w:r>
      <w:r w:rsidRPr="00986F85">
        <w:rPr>
          <w:rFonts w:ascii="Myriad Pro" w:hAnsi="Myriad Pro"/>
          <w:noProof/>
        </w:rPr>
        <w:tab/>
      </w:r>
      <w:r w:rsidR="007E1F98" w:rsidRPr="00986F85">
        <w:rPr>
          <w:rFonts w:ascii="Myriad Pro" w:hAnsi="Myriad Pro"/>
          <w:noProof/>
        </w:rPr>
        <w:fldChar w:fldCharType="begin"/>
      </w:r>
      <w:r w:rsidRPr="00986F85">
        <w:rPr>
          <w:rFonts w:ascii="Myriad Pro" w:hAnsi="Myriad Pro"/>
          <w:noProof/>
        </w:rPr>
        <w:instrText xml:space="preserve"> PAGEREF _Toc230854345 \h </w:instrText>
      </w:r>
      <w:r w:rsidR="007E1F98" w:rsidRPr="00986F85">
        <w:rPr>
          <w:rFonts w:ascii="Myriad Pro" w:hAnsi="Myriad Pro"/>
          <w:noProof/>
        </w:rPr>
      </w:r>
      <w:r w:rsidR="007E1F98" w:rsidRPr="00986F85">
        <w:rPr>
          <w:rFonts w:ascii="Myriad Pro" w:hAnsi="Myriad Pro"/>
          <w:noProof/>
        </w:rPr>
        <w:fldChar w:fldCharType="separate"/>
      </w:r>
      <w:r w:rsidRPr="00986F85">
        <w:rPr>
          <w:rFonts w:ascii="Myriad Pro" w:hAnsi="Myriad Pro"/>
          <w:noProof/>
        </w:rPr>
        <w:t>56</w:t>
      </w:r>
      <w:r w:rsidR="007E1F98" w:rsidRPr="00986F85">
        <w:rPr>
          <w:rFonts w:ascii="Myriad Pro" w:hAnsi="Myriad Pro"/>
          <w:noProof/>
        </w:rPr>
        <w:fldChar w:fldCharType="end"/>
      </w:r>
    </w:p>
    <w:p w14:paraId="4D70FACB" w14:textId="77777777" w:rsidR="000B0EB0" w:rsidRPr="00986F85" w:rsidRDefault="007E1F98" w:rsidP="009E2CB5">
      <w:pPr>
        <w:spacing w:line="360" w:lineRule="auto"/>
        <w:rPr>
          <w:sz w:val="20"/>
          <w:szCs w:val="20"/>
          <w:highlight w:val="yellow"/>
        </w:rPr>
      </w:pPr>
      <w:r w:rsidRPr="00986F85">
        <w:rPr>
          <w:sz w:val="20"/>
          <w:szCs w:val="20"/>
          <w:highlight w:val="yellow"/>
        </w:rPr>
        <w:fldChar w:fldCharType="end"/>
      </w:r>
    </w:p>
    <w:p w14:paraId="02520E5F" w14:textId="77777777" w:rsidR="009A68E7" w:rsidRPr="00986F85" w:rsidRDefault="009A68E7" w:rsidP="009A68E7">
      <w:pPr>
        <w:pStyle w:val="Cmsor1"/>
        <w:rPr>
          <w:caps/>
        </w:rPr>
      </w:pPr>
      <w:bookmarkStart w:id="2" w:name="_Toc230854301"/>
      <w:r w:rsidRPr="00986F85">
        <w:rPr>
          <w:caps/>
        </w:rPr>
        <w:t>Táblázatjegyzék</w:t>
      </w:r>
      <w:bookmarkEnd w:id="2"/>
    </w:p>
    <w:p w14:paraId="20FE1713" w14:textId="77777777" w:rsidR="003E184E" w:rsidRPr="00986F85" w:rsidRDefault="007E1F98">
      <w:pPr>
        <w:pStyle w:val="brajegyzk"/>
        <w:tabs>
          <w:tab w:val="right" w:leader="dot" w:pos="9060"/>
        </w:tabs>
        <w:rPr>
          <w:rFonts w:ascii="Myriad Pro" w:eastAsiaTheme="minorEastAsia" w:hAnsi="Myriad Pro" w:cstheme="minorBidi"/>
          <w:i w:val="0"/>
          <w:iCs w:val="0"/>
          <w:noProof/>
          <w:sz w:val="24"/>
          <w:szCs w:val="24"/>
          <w:lang w:val="en-US" w:eastAsia="ja-JP"/>
        </w:rPr>
      </w:pPr>
      <w:r w:rsidRPr="00986F85">
        <w:rPr>
          <w:rFonts w:ascii="Myriad Pro" w:hAnsi="Myriad Pro"/>
          <w:highlight w:val="yellow"/>
        </w:rPr>
        <w:fldChar w:fldCharType="begin"/>
      </w:r>
      <w:r w:rsidR="009A68E7" w:rsidRPr="00986F85">
        <w:rPr>
          <w:rFonts w:ascii="Myriad Pro" w:hAnsi="Myriad Pro"/>
          <w:highlight w:val="yellow"/>
        </w:rPr>
        <w:instrText xml:space="preserve"> TOC \h \z \c "táblázat" </w:instrText>
      </w:r>
      <w:r w:rsidRPr="00986F85">
        <w:rPr>
          <w:rFonts w:ascii="Myriad Pro" w:hAnsi="Myriad Pro"/>
          <w:highlight w:val="yellow"/>
        </w:rPr>
        <w:fldChar w:fldCharType="separate"/>
      </w:r>
      <w:r w:rsidR="003E184E" w:rsidRPr="00986F85">
        <w:rPr>
          <w:rFonts w:ascii="Myriad Pro" w:hAnsi="Myriad Pro"/>
          <w:noProof/>
        </w:rPr>
        <w:t>1. táblázat: A GOP 2.1.1.</w:t>
      </w:r>
      <w:r w:rsidR="003E184E" w:rsidRPr="00986F85">
        <w:rPr>
          <w:rFonts w:ascii="Myriad Pro" w:hAnsi="Myriad Pro" w:cs="Times New Roman"/>
          <w:noProof/>
        </w:rPr>
        <w:t xml:space="preserve"> és a KMOP 1.2.1.</w:t>
      </w:r>
      <w:r w:rsidR="003E184E" w:rsidRPr="00986F85">
        <w:rPr>
          <w:rFonts w:ascii="Myriad Pro" w:hAnsi="Myriad Pro"/>
          <w:noProof/>
        </w:rPr>
        <w:t xml:space="preserve"> intézkedés konstrukciói</w:t>
      </w:r>
      <w:r w:rsidR="003E184E" w:rsidRPr="00986F85">
        <w:rPr>
          <w:rFonts w:ascii="Myriad Pro" w:hAnsi="Myriad Pro"/>
          <w:noProof/>
        </w:rPr>
        <w:tab/>
      </w:r>
      <w:r w:rsidRPr="00986F85">
        <w:rPr>
          <w:rFonts w:ascii="Myriad Pro" w:hAnsi="Myriad Pro"/>
          <w:noProof/>
        </w:rPr>
        <w:fldChar w:fldCharType="begin"/>
      </w:r>
      <w:r w:rsidR="003E184E" w:rsidRPr="00986F85">
        <w:rPr>
          <w:rFonts w:ascii="Myriad Pro" w:hAnsi="Myriad Pro"/>
          <w:noProof/>
        </w:rPr>
        <w:instrText xml:space="preserve"> PAGEREF _Toc230854346 \h </w:instrText>
      </w:r>
      <w:r w:rsidRPr="00986F85">
        <w:rPr>
          <w:rFonts w:ascii="Myriad Pro" w:hAnsi="Myriad Pro"/>
          <w:noProof/>
        </w:rPr>
      </w:r>
      <w:r w:rsidRPr="00986F85">
        <w:rPr>
          <w:rFonts w:ascii="Myriad Pro" w:hAnsi="Myriad Pro"/>
          <w:noProof/>
        </w:rPr>
        <w:fldChar w:fldCharType="separate"/>
      </w:r>
      <w:r w:rsidR="003E184E" w:rsidRPr="00986F85">
        <w:rPr>
          <w:rFonts w:ascii="Myriad Pro" w:hAnsi="Myriad Pro"/>
          <w:noProof/>
        </w:rPr>
        <w:t>16</w:t>
      </w:r>
      <w:r w:rsidRPr="00986F85">
        <w:rPr>
          <w:rFonts w:ascii="Myriad Pro" w:hAnsi="Myriad Pro"/>
          <w:noProof/>
        </w:rPr>
        <w:fldChar w:fldCharType="end"/>
      </w:r>
    </w:p>
    <w:p w14:paraId="4EC7EF19" w14:textId="77777777" w:rsidR="003E184E" w:rsidRPr="00986F85" w:rsidRDefault="003E184E">
      <w:pPr>
        <w:pStyle w:val="brajegyzk"/>
        <w:tabs>
          <w:tab w:val="right" w:leader="dot" w:pos="9060"/>
        </w:tabs>
        <w:rPr>
          <w:rFonts w:ascii="Myriad Pro" w:eastAsiaTheme="minorEastAsia" w:hAnsi="Myriad Pro" w:cstheme="minorBidi"/>
          <w:i w:val="0"/>
          <w:iCs w:val="0"/>
          <w:noProof/>
          <w:sz w:val="24"/>
          <w:szCs w:val="24"/>
          <w:lang w:val="en-US" w:eastAsia="ja-JP"/>
        </w:rPr>
      </w:pPr>
      <w:r w:rsidRPr="00986F85">
        <w:rPr>
          <w:rFonts w:ascii="Myriad Pro" w:hAnsi="Myriad Pro"/>
          <w:noProof/>
        </w:rPr>
        <w:t>2. táblázat:</w:t>
      </w:r>
      <w:r w:rsidRPr="00986F85">
        <w:rPr>
          <w:rFonts w:ascii="Myriad Pro" w:hAnsi="Myriad Pro" w:cs="Times New Roman"/>
          <w:noProof/>
        </w:rPr>
        <w:t xml:space="preserve"> Leíró elemzés fő szempontjai</w:t>
      </w:r>
      <w:r w:rsidRPr="00986F85">
        <w:rPr>
          <w:rFonts w:ascii="Myriad Pro" w:hAnsi="Myriad Pro"/>
          <w:noProof/>
        </w:rPr>
        <w:tab/>
      </w:r>
      <w:r w:rsidR="007E1F98" w:rsidRPr="00986F85">
        <w:rPr>
          <w:rFonts w:ascii="Myriad Pro" w:hAnsi="Myriad Pro"/>
          <w:noProof/>
        </w:rPr>
        <w:fldChar w:fldCharType="begin"/>
      </w:r>
      <w:r w:rsidRPr="00986F85">
        <w:rPr>
          <w:rFonts w:ascii="Myriad Pro" w:hAnsi="Myriad Pro"/>
          <w:noProof/>
        </w:rPr>
        <w:instrText xml:space="preserve"> PAGEREF _Toc230854347 \h </w:instrText>
      </w:r>
      <w:r w:rsidR="007E1F98" w:rsidRPr="00986F85">
        <w:rPr>
          <w:rFonts w:ascii="Myriad Pro" w:hAnsi="Myriad Pro"/>
          <w:noProof/>
        </w:rPr>
      </w:r>
      <w:r w:rsidR="007E1F98" w:rsidRPr="00986F85">
        <w:rPr>
          <w:rFonts w:ascii="Myriad Pro" w:hAnsi="Myriad Pro"/>
          <w:noProof/>
        </w:rPr>
        <w:fldChar w:fldCharType="separate"/>
      </w:r>
      <w:r w:rsidRPr="00986F85">
        <w:rPr>
          <w:rFonts w:ascii="Myriad Pro" w:hAnsi="Myriad Pro"/>
          <w:noProof/>
        </w:rPr>
        <w:t>19</w:t>
      </w:r>
      <w:r w:rsidR="007E1F98" w:rsidRPr="00986F85">
        <w:rPr>
          <w:rFonts w:ascii="Myriad Pro" w:hAnsi="Myriad Pro"/>
          <w:noProof/>
        </w:rPr>
        <w:fldChar w:fldCharType="end"/>
      </w:r>
    </w:p>
    <w:p w14:paraId="672C6F97" w14:textId="77777777" w:rsidR="003E184E" w:rsidRPr="00986F85" w:rsidRDefault="003E184E">
      <w:pPr>
        <w:pStyle w:val="brajegyzk"/>
        <w:tabs>
          <w:tab w:val="right" w:leader="dot" w:pos="9060"/>
        </w:tabs>
        <w:rPr>
          <w:rFonts w:ascii="Myriad Pro" w:eastAsiaTheme="minorEastAsia" w:hAnsi="Myriad Pro" w:cstheme="minorBidi"/>
          <w:i w:val="0"/>
          <w:iCs w:val="0"/>
          <w:noProof/>
          <w:sz w:val="24"/>
          <w:szCs w:val="24"/>
          <w:lang w:val="en-US" w:eastAsia="ja-JP"/>
        </w:rPr>
      </w:pPr>
      <w:r w:rsidRPr="00986F85">
        <w:rPr>
          <w:rFonts w:ascii="Myriad Pro" w:hAnsi="Myriad Pro"/>
          <w:noProof/>
        </w:rPr>
        <w:t>3. táblázat:</w:t>
      </w:r>
      <w:r w:rsidRPr="00986F85">
        <w:rPr>
          <w:rFonts w:ascii="Myriad Pro" w:hAnsi="Myriad Pro" w:cs="Times New Roman"/>
          <w:noProof/>
        </w:rPr>
        <w:t xml:space="preserve"> Alkalmazott módszerek</w:t>
      </w:r>
      <w:r w:rsidRPr="00986F85">
        <w:rPr>
          <w:rFonts w:ascii="Myriad Pro" w:hAnsi="Myriad Pro"/>
          <w:noProof/>
        </w:rPr>
        <w:tab/>
      </w:r>
      <w:r w:rsidR="007E1F98" w:rsidRPr="00986F85">
        <w:rPr>
          <w:rFonts w:ascii="Myriad Pro" w:hAnsi="Myriad Pro"/>
          <w:noProof/>
        </w:rPr>
        <w:fldChar w:fldCharType="begin"/>
      </w:r>
      <w:r w:rsidRPr="00986F85">
        <w:rPr>
          <w:rFonts w:ascii="Myriad Pro" w:hAnsi="Myriad Pro"/>
          <w:noProof/>
        </w:rPr>
        <w:instrText xml:space="preserve"> PAGEREF _Toc230854348 \h </w:instrText>
      </w:r>
      <w:r w:rsidR="007E1F98" w:rsidRPr="00986F85">
        <w:rPr>
          <w:rFonts w:ascii="Myriad Pro" w:hAnsi="Myriad Pro"/>
          <w:noProof/>
        </w:rPr>
      </w:r>
      <w:r w:rsidR="007E1F98" w:rsidRPr="00986F85">
        <w:rPr>
          <w:rFonts w:ascii="Myriad Pro" w:hAnsi="Myriad Pro"/>
          <w:noProof/>
        </w:rPr>
        <w:fldChar w:fldCharType="separate"/>
      </w:r>
      <w:r w:rsidRPr="00986F85">
        <w:rPr>
          <w:rFonts w:ascii="Myriad Pro" w:hAnsi="Myriad Pro"/>
          <w:noProof/>
        </w:rPr>
        <w:t>20</w:t>
      </w:r>
      <w:r w:rsidR="007E1F98" w:rsidRPr="00986F85">
        <w:rPr>
          <w:rFonts w:ascii="Myriad Pro" w:hAnsi="Myriad Pro"/>
          <w:noProof/>
        </w:rPr>
        <w:fldChar w:fldCharType="end"/>
      </w:r>
    </w:p>
    <w:p w14:paraId="2EC1E812" w14:textId="77777777" w:rsidR="003E184E" w:rsidRPr="00986F85" w:rsidRDefault="003E184E">
      <w:pPr>
        <w:pStyle w:val="brajegyzk"/>
        <w:tabs>
          <w:tab w:val="right" w:leader="dot" w:pos="9060"/>
        </w:tabs>
        <w:rPr>
          <w:rFonts w:ascii="Myriad Pro" w:eastAsiaTheme="minorEastAsia" w:hAnsi="Myriad Pro" w:cstheme="minorBidi"/>
          <w:i w:val="0"/>
          <w:iCs w:val="0"/>
          <w:noProof/>
          <w:sz w:val="24"/>
          <w:szCs w:val="24"/>
          <w:lang w:val="en-US" w:eastAsia="ja-JP"/>
        </w:rPr>
      </w:pPr>
      <w:r w:rsidRPr="00986F85">
        <w:rPr>
          <w:rFonts w:ascii="Myriad Pro" w:hAnsi="Myriad Pro"/>
          <w:noProof/>
        </w:rPr>
        <w:t xml:space="preserve">4. táblázat: </w:t>
      </w:r>
      <w:r w:rsidRPr="00986F85">
        <w:rPr>
          <w:rFonts w:ascii="Myriad Pro" w:hAnsi="Myriad Pro" w:cs="Times New Roman"/>
          <w:noProof/>
        </w:rPr>
        <w:t>GOP és KMOP nyertes vállalkozások száma, megoszlása (2011)</w:t>
      </w:r>
      <w:r w:rsidRPr="00986F85">
        <w:rPr>
          <w:rFonts w:ascii="Myriad Pro" w:hAnsi="Myriad Pro"/>
          <w:noProof/>
        </w:rPr>
        <w:tab/>
      </w:r>
      <w:r w:rsidR="007E1F98" w:rsidRPr="00986F85">
        <w:rPr>
          <w:rFonts w:ascii="Myriad Pro" w:hAnsi="Myriad Pro"/>
          <w:noProof/>
        </w:rPr>
        <w:fldChar w:fldCharType="begin"/>
      </w:r>
      <w:r w:rsidRPr="00986F85">
        <w:rPr>
          <w:rFonts w:ascii="Myriad Pro" w:hAnsi="Myriad Pro"/>
          <w:noProof/>
        </w:rPr>
        <w:instrText xml:space="preserve"> PAGEREF _Toc230854349 \h </w:instrText>
      </w:r>
      <w:r w:rsidR="007E1F98" w:rsidRPr="00986F85">
        <w:rPr>
          <w:rFonts w:ascii="Myriad Pro" w:hAnsi="Myriad Pro"/>
          <w:noProof/>
        </w:rPr>
      </w:r>
      <w:r w:rsidR="007E1F98" w:rsidRPr="00986F85">
        <w:rPr>
          <w:rFonts w:ascii="Myriad Pro" w:hAnsi="Myriad Pro"/>
          <w:noProof/>
        </w:rPr>
        <w:fldChar w:fldCharType="separate"/>
      </w:r>
      <w:r w:rsidRPr="00986F85">
        <w:rPr>
          <w:rFonts w:ascii="Myriad Pro" w:hAnsi="Myriad Pro"/>
          <w:noProof/>
        </w:rPr>
        <w:t>27</w:t>
      </w:r>
      <w:r w:rsidR="007E1F98" w:rsidRPr="00986F85">
        <w:rPr>
          <w:rFonts w:ascii="Myriad Pro" w:hAnsi="Myriad Pro"/>
          <w:noProof/>
        </w:rPr>
        <w:fldChar w:fldCharType="end"/>
      </w:r>
    </w:p>
    <w:p w14:paraId="5FF0C9D0" w14:textId="77777777" w:rsidR="003E184E" w:rsidRPr="00986F85" w:rsidRDefault="003E184E">
      <w:pPr>
        <w:pStyle w:val="brajegyzk"/>
        <w:tabs>
          <w:tab w:val="right" w:leader="dot" w:pos="9060"/>
        </w:tabs>
        <w:rPr>
          <w:rFonts w:ascii="Myriad Pro" w:eastAsiaTheme="minorEastAsia" w:hAnsi="Myriad Pro" w:cstheme="minorBidi"/>
          <w:i w:val="0"/>
          <w:iCs w:val="0"/>
          <w:noProof/>
          <w:sz w:val="24"/>
          <w:szCs w:val="24"/>
          <w:lang w:val="en-US" w:eastAsia="ja-JP"/>
        </w:rPr>
      </w:pPr>
      <w:r w:rsidRPr="00986F85">
        <w:rPr>
          <w:rFonts w:ascii="Myriad Pro" w:hAnsi="Myriad Pro"/>
          <w:noProof/>
        </w:rPr>
        <w:t xml:space="preserve">5. táblázat:  Főbb </w:t>
      </w:r>
      <w:r w:rsidRPr="00986F85">
        <w:rPr>
          <w:rFonts w:ascii="Myriad Pro" w:hAnsi="Myriad Pro" w:cs="Times New Roman"/>
          <w:noProof/>
        </w:rPr>
        <w:t>vállalati teljesítménymutatók változása (2011/2006)</w:t>
      </w:r>
      <w:r w:rsidRPr="00986F85">
        <w:rPr>
          <w:rFonts w:ascii="Myriad Pro" w:hAnsi="Myriad Pro"/>
          <w:noProof/>
        </w:rPr>
        <w:tab/>
      </w:r>
      <w:r w:rsidR="007E1F98" w:rsidRPr="00986F85">
        <w:rPr>
          <w:rFonts w:ascii="Myriad Pro" w:hAnsi="Myriad Pro"/>
          <w:noProof/>
        </w:rPr>
        <w:fldChar w:fldCharType="begin"/>
      </w:r>
      <w:r w:rsidRPr="00986F85">
        <w:rPr>
          <w:rFonts w:ascii="Myriad Pro" w:hAnsi="Myriad Pro"/>
          <w:noProof/>
        </w:rPr>
        <w:instrText xml:space="preserve"> PAGEREF _Toc230854350 \h </w:instrText>
      </w:r>
      <w:r w:rsidR="007E1F98" w:rsidRPr="00986F85">
        <w:rPr>
          <w:rFonts w:ascii="Myriad Pro" w:hAnsi="Myriad Pro"/>
          <w:noProof/>
        </w:rPr>
      </w:r>
      <w:r w:rsidR="007E1F98" w:rsidRPr="00986F85">
        <w:rPr>
          <w:rFonts w:ascii="Myriad Pro" w:hAnsi="Myriad Pro"/>
          <w:noProof/>
        </w:rPr>
        <w:fldChar w:fldCharType="separate"/>
      </w:r>
      <w:r w:rsidRPr="00986F85">
        <w:rPr>
          <w:rFonts w:ascii="Myriad Pro" w:hAnsi="Myriad Pro"/>
          <w:noProof/>
        </w:rPr>
        <w:t>33</w:t>
      </w:r>
      <w:r w:rsidR="007E1F98" w:rsidRPr="00986F85">
        <w:rPr>
          <w:rFonts w:ascii="Myriad Pro" w:hAnsi="Myriad Pro"/>
          <w:noProof/>
        </w:rPr>
        <w:fldChar w:fldCharType="end"/>
      </w:r>
    </w:p>
    <w:p w14:paraId="337B1125" w14:textId="77777777" w:rsidR="003E184E" w:rsidRPr="00986F85" w:rsidRDefault="003E184E">
      <w:pPr>
        <w:pStyle w:val="brajegyzk"/>
        <w:tabs>
          <w:tab w:val="right" w:leader="dot" w:pos="9060"/>
        </w:tabs>
        <w:rPr>
          <w:rFonts w:ascii="Myriad Pro" w:eastAsiaTheme="minorEastAsia" w:hAnsi="Myriad Pro" w:cstheme="minorBidi"/>
          <w:i w:val="0"/>
          <w:iCs w:val="0"/>
          <w:noProof/>
          <w:sz w:val="24"/>
          <w:szCs w:val="24"/>
          <w:lang w:val="en-US" w:eastAsia="ja-JP"/>
        </w:rPr>
      </w:pPr>
      <w:r w:rsidRPr="00986F85">
        <w:rPr>
          <w:rFonts w:ascii="Myriad Pro" w:hAnsi="Myriad Pro"/>
          <w:noProof/>
        </w:rPr>
        <w:t xml:space="preserve">6. táblázat: </w:t>
      </w:r>
      <w:r w:rsidRPr="00986F85">
        <w:rPr>
          <w:rFonts w:ascii="Myriad Pro" w:hAnsi="Myriad Pro" w:cs="Times New Roman"/>
          <w:noProof/>
        </w:rPr>
        <w:t>Főbb vállalati teljesítménymutatók változása (2009/2008)</w:t>
      </w:r>
      <w:r w:rsidRPr="00986F85">
        <w:rPr>
          <w:rFonts w:ascii="Myriad Pro" w:hAnsi="Myriad Pro"/>
          <w:noProof/>
        </w:rPr>
        <w:tab/>
      </w:r>
      <w:r w:rsidR="007E1F98" w:rsidRPr="00986F85">
        <w:rPr>
          <w:rFonts w:ascii="Myriad Pro" w:hAnsi="Myriad Pro"/>
          <w:noProof/>
        </w:rPr>
        <w:fldChar w:fldCharType="begin"/>
      </w:r>
      <w:r w:rsidRPr="00986F85">
        <w:rPr>
          <w:rFonts w:ascii="Myriad Pro" w:hAnsi="Myriad Pro"/>
          <w:noProof/>
        </w:rPr>
        <w:instrText xml:space="preserve"> PAGEREF _Toc230854351 \h </w:instrText>
      </w:r>
      <w:r w:rsidR="007E1F98" w:rsidRPr="00986F85">
        <w:rPr>
          <w:rFonts w:ascii="Myriad Pro" w:hAnsi="Myriad Pro"/>
          <w:noProof/>
        </w:rPr>
      </w:r>
      <w:r w:rsidR="007E1F98" w:rsidRPr="00986F85">
        <w:rPr>
          <w:rFonts w:ascii="Myriad Pro" w:hAnsi="Myriad Pro"/>
          <w:noProof/>
        </w:rPr>
        <w:fldChar w:fldCharType="separate"/>
      </w:r>
      <w:r w:rsidRPr="00986F85">
        <w:rPr>
          <w:rFonts w:ascii="Myriad Pro" w:hAnsi="Myriad Pro"/>
          <w:noProof/>
        </w:rPr>
        <w:t>34</w:t>
      </w:r>
      <w:r w:rsidR="007E1F98" w:rsidRPr="00986F85">
        <w:rPr>
          <w:rFonts w:ascii="Myriad Pro" w:hAnsi="Myriad Pro"/>
          <w:noProof/>
        </w:rPr>
        <w:fldChar w:fldCharType="end"/>
      </w:r>
    </w:p>
    <w:p w14:paraId="134D9774" w14:textId="77777777" w:rsidR="003E184E" w:rsidRPr="00986F85" w:rsidRDefault="003E184E">
      <w:pPr>
        <w:pStyle w:val="brajegyzk"/>
        <w:tabs>
          <w:tab w:val="right" w:leader="dot" w:pos="9060"/>
        </w:tabs>
        <w:rPr>
          <w:rFonts w:ascii="Myriad Pro" w:eastAsiaTheme="minorEastAsia" w:hAnsi="Myriad Pro" w:cstheme="minorBidi"/>
          <w:i w:val="0"/>
          <w:iCs w:val="0"/>
          <w:noProof/>
          <w:sz w:val="24"/>
          <w:szCs w:val="24"/>
          <w:lang w:val="en-US" w:eastAsia="ja-JP"/>
        </w:rPr>
      </w:pPr>
      <w:r w:rsidRPr="00986F85">
        <w:rPr>
          <w:rFonts w:ascii="Myriad Pro" w:hAnsi="Myriad Pro"/>
          <w:noProof/>
        </w:rPr>
        <w:t xml:space="preserve">7. táblázat: </w:t>
      </w:r>
      <w:r w:rsidRPr="00986F85">
        <w:rPr>
          <w:rFonts w:ascii="Myriad Pro" w:hAnsi="Myriad Pro" w:cs="Times New Roman"/>
          <w:noProof/>
        </w:rPr>
        <w:t>Főbb vállalati teljesítménymutatók változásának mediánja korcsoportok szerinti bontásban, 2009/2008</w:t>
      </w:r>
      <w:r w:rsidRPr="00986F85">
        <w:rPr>
          <w:rFonts w:ascii="Myriad Pro" w:hAnsi="Myriad Pro"/>
          <w:noProof/>
        </w:rPr>
        <w:tab/>
      </w:r>
      <w:r w:rsidR="007E1F98" w:rsidRPr="00986F85">
        <w:rPr>
          <w:rFonts w:ascii="Myriad Pro" w:hAnsi="Myriad Pro"/>
          <w:noProof/>
        </w:rPr>
        <w:fldChar w:fldCharType="begin"/>
      </w:r>
      <w:r w:rsidRPr="00986F85">
        <w:rPr>
          <w:rFonts w:ascii="Myriad Pro" w:hAnsi="Myriad Pro"/>
          <w:noProof/>
        </w:rPr>
        <w:instrText xml:space="preserve"> PAGEREF _Toc230854352 \h </w:instrText>
      </w:r>
      <w:r w:rsidR="007E1F98" w:rsidRPr="00986F85">
        <w:rPr>
          <w:rFonts w:ascii="Myriad Pro" w:hAnsi="Myriad Pro"/>
          <w:noProof/>
        </w:rPr>
      </w:r>
      <w:r w:rsidR="007E1F98" w:rsidRPr="00986F85">
        <w:rPr>
          <w:rFonts w:ascii="Myriad Pro" w:hAnsi="Myriad Pro"/>
          <w:noProof/>
        </w:rPr>
        <w:fldChar w:fldCharType="separate"/>
      </w:r>
      <w:r w:rsidRPr="00986F85">
        <w:rPr>
          <w:rFonts w:ascii="Myriad Pro" w:hAnsi="Myriad Pro"/>
          <w:noProof/>
        </w:rPr>
        <w:t>35</w:t>
      </w:r>
      <w:r w:rsidR="007E1F98" w:rsidRPr="00986F85">
        <w:rPr>
          <w:rFonts w:ascii="Myriad Pro" w:hAnsi="Myriad Pro"/>
          <w:noProof/>
        </w:rPr>
        <w:fldChar w:fldCharType="end"/>
      </w:r>
    </w:p>
    <w:p w14:paraId="22B7FCE8" w14:textId="77777777" w:rsidR="003E184E" w:rsidRPr="00986F85" w:rsidRDefault="003E184E">
      <w:pPr>
        <w:pStyle w:val="brajegyzk"/>
        <w:tabs>
          <w:tab w:val="right" w:leader="dot" w:pos="9060"/>
        </w:tabs>
        <w:rPr>
          <w:rFonts w:ascii="Myriad Pro" w:eastAsiaTheme="minorEastAsia" w:hAnsi="Myriad Pro" w:cstheme="minorBidi"/>
          <w:i w:val="0"/>
          <w:iCs w:val="0"/>
          <w:noProof/>
          <w:sz w:val="24"/>
          <w:szCs w:val="24"/>
          <w:lang w:val="en-US" w:eastAsia="ja-JP"/>
        </w:rPr>
      </w:pPr>
      <w:r w:rsidRPr="00986F85">
        <w:rPr>
          <w:rFonts w:ascii="Myriad Pro" w:hAnsi="Myriad Pro"/>
          <w:noProof/>
        </w:rPr>
        <w:t>8. táblázat:</w:t>
      </w:r>
      <w:r w:rsidRPr="00986F85">
        <w:rPr>
          <w:rFonts w:ascii="Myriad Pro" w:hAnsi="Myriad Pro" w:cs="Times New Roman"/>
          <w:noProof/>
        </w:rPr>
        <w:t xml:space="preserve"> Vizsgálat korlátai és kapcsolódó kockázatok</w:t>
      </w:r>
      <w:r w:rsidRPr="00986F85">
        <w:rPr>
          <w:rFonts w:ascii="Myriad Pro" w:hAnsi="Myriad Pro"/>
          <w:noProof/>
        </w:rPr>
        <w:tab/>
      </w:r>
      <w:r w:rsidR="007E1F98" w:rsidRPr="00986F85">
        <w:rPr>
          <w:rFonts w:ascii="Myriad Pro" w:hAnsi="Myriad Pro"/>
          <w:noProof/>
        </w:rPr>
        <w:fldChar w:fldCharType="begin"/>
      </w:r>
      <w:r w:rsidRPr="00986F85">
        <w:rPr>
          <w:rFonts w:ascii="Myriad Pro" w:hAnsi="Myriad Pro"/>
          <w:noProof/>
        </w:rPr>
        <w:instrText xml:space="preserve"> PAGEREF _Toc230854353 \h </w:instrText>
      </w:r>
      <w:r w:rsidR="007E1F98" w:rsidRPr="00986F85">
        <w:rPr>
          <w:rFonts w:ascii="Myriad Pro" w:hAnsi="Myriad Pro"/>
          <w:noProof/>
        </w:rPr>
      </w:r>
      <w:r w:rsidR="007E1F98" w:rsidRPr="00986F85">
        <w:rPr>
          <w:rFonts w:ascii="Myriad Pro" w:hAnsi="Myriad Pro"/>
          <w:noProof/>
        </w:rPr>
        <w:fldChar w:fldCharType="separate"/>
      </w:r>
      <w:r w:rsidRPr="00986F85">
        <w:rPr>
          <w:rFonts w:ascii="Myriad Pro" w:hAnsi="Myriad Pro"/>
          <w:noProof/>
        </w:rPr>
        <w:t>44</w:t>
      </w:r>
      <w:r w:rsidR="007E1F98" w:rsidRPr="00986F85">
        <w:rPr>
          <w:rFonts w:ascii="Myriad Pro" w:hAnsi="Myriad Pro"/>
          <w:noProof/>
        </w:rPr>
        <w:fldChar w:fldCharType="end"/>
      </w:r>
    </w:p>
    <w:p w14:paraId="076E19DD" w14:textId="77777777" w:rsidR="003E184E" w:rsidRPr="00986F85" w:rsidRDefault="003E184E">
      <w:pPr>
        <w:pStyle w:val="brajegyzk"/>
        <w:tabs>
          <w:tab w:val="right" w:leader="dot" w:pos="9060"/>
        </w:tabs>
        <w:rPr>
          <w:rFonts w:ascii="Myriad Pro" w:eastAsiaTheme="minorEastAsia" w:hAnsi="Myriad Pro" w:cstheme="minorBidi"/>
          <w:i w:val="0"/>
          <w:iCs w:val="0"/>
          <w:noProof/>
          <w:sz w:val="24"/>
          <w:szCs w:val="24"/>
          <w:lang w:val="en-US" w:eastAsia="ja-JP"/>
        </w:rPr>
      </w:pPr>
      <w:r w:rsidRPr="00986F85">
        <w:rPr>
          <w:rFonts w:ascii="Myriad Pro" w:hAnsi="Myriad Pro"/>
          <w:noProof/>
        </w:rPr>
        <w:t>9. táblázat:</w:t>
      </w:r>
      <w:r w:rsidRPr="00986F85">
        <w:rPr>
          <w:rFonts w:ascii="Myriad Pro" w:hAnsi="Myriad Pro" w:cs="Times New Roman"/>
          <w:noProof/>
        </w:rPr>
        <w:t xml:space="preserve"> A GOP2.1.1.A nyertesek pályázati halmozása, 2007-2011</w:t>
      </w:r>
      <w:r w:rsidRPr="00986F85">
        <w:rPr>
          <w:rFonts w:ascii="Myriad Pro" w:hAnsi="Myriad Pro"/>
          <w:noProof/>
        </w:rPr>
        <w:tab/>
      </w:r>
      <w:r w:rsidR="007E1F98" w:rsidRPr="00986F85">
        <w:rPr>
          <w:rFonts w:ascii="Myriad Pro" w:hAnsi="Myriad Pro"/>
          <w:noProof/>
        </w:rPr>
        <w:fldChar w:fldCharType="begin"/>
      </w:r>
      <w:r w:rsidRPr="00986F85">
        <w:rPr>
          <w:rFonts w:ascii="Myriad Pro" w:hAnsi="Myriad Pro"/>
          <w:noProof/>
        </w:rPr>
        <w:instrText xml:space="preserve"> PAGEREF _Toc230854354 \h </w:instrText>
      </w:r>
      <w:r w:rsidR="007E1F98" w:rsidRPr="00986F85">
        <w:rPr>
          <w:rFonts w:ascii="Myriad Pro" w:hAnsi="Myriad Pro"/>
          <w:noProof/>
        </w:rPr>
      </w:r>
      <w:r w:rsidR="007E1F98" w:rsidRPr="00986F85">
        <w:rPr>
          <w:rFonts w:ascii="Myriad Pro" w:hAnsi="Myriad Pro"/>
          <w:noProof/>
        </w:rPr>
        <w:fldChar w:fldCharType="separate"/>
      </w:r>
      <w:r w:rsidRPr="00986F85">
        <w:rPr>
          <w:rFonts w:ascii="Myriad Pro" w:hAnsi="Myriad Pro"/>
          <w:noProof/>
        </w:rPr>
        <w:t>49</w:t>
      </w:r>
      <w:r w:rsidR="007E1F98" w:rsidRPr="00986F85">
        <w:rPr>
          <w:rFonts w:ascii="Myriad Pro" w:hAnsi="Myriad Pro"/>
          <w:noProof/>
        </w:rPr>
        <w:fldChar w:fldCharType="end"/>
      </w:r>
    </w:p>
    <w:p w14:paraId="25E2F500" w14:textId="77777777" w:rsidR="003E184E" w:rsidRPr="00986F85" w:rsidRDefault="003E184E">
      <w:pPr>
        <w:pStyle w:val="brajegyzk"/>
        <w:tabs>
          <w:tab w:val="right" w:leader="dot" w:pos="9060"/>
        </w:tabs>
        <w:rPr>
          <w:rFonts w:ascii="Myriad Pro" w:eastAsiaTheme="minorEastAsia" w:hAnsi="Myriad Pro" w:cstheme="minorBidi"/>
          <w:i w:val="0"/>
          <w:iCs w:val="0"/>
          <w:noProof/>
          <w:sz w:val="24"/>
          <w:szCs w:val="24"/>
          <w:lang w:val="en-US" w:eastAsia="ja-JP"/>
        </w:rPr>
      </w:pPr>
      <w:r w:rsidRPr="00986F85">
        <w:rPr>
          <w:rFonts w:ascii="Myriad Pro" w:hAnsi="Myriad Pro"/>
          <w:noProof/>
        </w:rPr>
        <w:t>10. táblázat: : A GOP2.1.1.B és C nyertesek pályázati halmozása, 2007-2011</w:t>
      </w:r>
      <w:r w:rsidRPr="00986F85">
        <w:rPr>
          <w:rFonts w:ascii="Myriad Pro" w:hAnsi="Myriad Pro"/>
          <w:noProof/>
        </w:rPr>
        <w:tab/>
      </w:r>
      <w:r w:rsidR="007E1F98" w:rsidRPr="00986F85">
        <w:rPr>
          <w:rFonts w:ascii="Myriad Pro" w:hAnsi="Myriad Pro"/>
          <w:noProof/>
        </w:rPr>
        <w:fldChar w:fldCharType="begin"/>
      </w:r>
      <w:r w:rsidRPr="00986F85">
        <w:rPr>
          <w:rFonts w:ascii="Myriad Pro" w:hAnsi="Myriad Pro"/>
          <w:noProof/>
        </w:rPr>
        <w:instrText xml:space="preserve"> PAGEREF _Toc230854355 \h </w:instrText>
      </w:r>
      <w:r w:rsidR="007E1F98" w:rsidRPr="00986F85">
        <w:rPr>
          <w:rFonts w:ascii="Myriad Pro" w:hAnsi="Myriad Pro"/>
          <w:noProof/>
        </w:rPr>
      </w:r>
      <w:r w:rsidR="007E1F98" w:rsidRPr="00986F85">
        <w:rPr>
          <w:rFonts w:ascii="Myriad Pro" w:hAnsi="Myriad Pro"/>
          <w:noProof/>
        </w:rPr>
        <w:fldChar w:fldCharType="separate"/>
      </w:r>
      <w:r w:rsidRPr="00986F85">
        <w:rPr>
          <w:rFonts w:ascii="Myriad Pro" w:hAnsi="Myriad Pro"/>
          <w:noProof/>
        </w:rPr>
        <w:t>49</w:t>
      </w:r>
      <w:r w:rsidR="007E1F98" w:rsidRPr="00986F85">
        <w:rPr>
          <w:rFonts w:ascii="Myriad Pro" w:hAnsi="Myriad Pro"/>
          <w:noProof/>
        </w:rPr>
        <w:fldChar w:fldCharType="end"/>
      </w:r>
    </w:p>
    <w:p w14:paraId="0EDDBFF1" w14:textId="77777777" w:rsidR="003E184E" w:rsidRPr="00986F85" w:rsidRDefault="003E184E">
      <w:pPr>
        <w:pStyle w:val="brajegyzk"/>
        <w:tabs>
          <w:tab w:val="right" w:leader="dot" w:pos="9060"/>
        </w:tabs>
        <w:rPr>
          <w:rFonts w:ascii="Myriad Pro" w:eastAsiaTheme="minorEastAsia" w:hAnsi="Myriad Pro" w:cstheme="minorBidi"/>
          <w:i w:val="0"/>
          <w:iCs w:val="0"/>
          <w:noProof/>
          <w:sz w:val="24"/>
          <w:szCs w:val="24"/>
          <w:lang w:val="en-US" w:eastAsia="ja-JP"/>
        </w:rPr>
      </w:pPr>
      <w:r w:rsidRPr="00986F85">
        <w:rPr>
          <w:rFonts w:ascii="Myriad Pro" w:hAnsi="Myriad Pro"/>
          <w:noProof/>
        </w:rPr>
        <w:t>11. táblázat: : A GOP2.1.1.A és a KMOP1.2.1. A nyertesek pályázati halmozása, 2007-2011</w:t>
      </w:r>
      <w:r w:rsidRPr="00986F85">
        <w:rPr>
          <w:rFonts w:ascii="Myriad Pro" w:hAnsi="Myriad Pro"/>
          <w:noProof/>
        </w:rPr>
        <w:tab/>
      </w:r>
      <w:r w:rsidR="007E1F98" w:rsidRPr="00986F85">
        <w:rPr>
          <w:rFonts w:ascii="Myriad Pro" w:hAnsi="Myriad Pro"/>
          <w:noProof/>
        </w:rPr>
        <w:fldChar w:fldCharType="begin"/>
      </w:r>
      <w:r w:rsidRPr="00986F85">
        <w:rPr>
          <w:rFonts w:ascii="Myriad Pro" w:hAnsi="Myriad Pro"/>
          <w:noProof/>
        </w:rPr>
        <w:instrText xml:space="preserve"> PAGEREF _Toc230854356 \h </w:instrText>
      </w:r>
      <w:r w:rsidR="007E1F98" w:rsidRPr="00986F85">
        <w:rPr>
          <w:rFonts w:ascii="Myriad Pro" w:hAnsi="Myriad Pro"/>
          <w:noProof/>
        </w:rPr>
      </w:r>
      <w:r w:rsidR="007E1F98" w:rsidRPr="00986F85">
        <w:rPr>
          <w:rFonts w:ascii="Myriad Pro" w:hAnsi="Myriad Pro"/>
          <w:noProof/>
        </w:rPr>
        <w:fldChar w:fldCharType="separate"/>
      </w:r>
      <w:r w:rsidRPr="00986F85">
        <w:rPr>
          <w:rFonts w:ascii="Myriad Pro" w:hAnsi="Myriad Pro"/>
          <w:noProof/>
        </w:rPr>
        <w:t>50</w:t>
      </w:r>
      <w:r w:rsidR="007E1F98" w:rsidRPr="00986F85">
        <w:rPr>
          <w:rFonts w:ascii="Myriad Pro" w:hAnsi="Myriad Pro"/>
          <w:noProof/>
        </w:rPr>
        <w:fldChar w:fldCharType="end"/>
      </w:r>
    </w:p>
    <w:p w14:paraId="6C194A34" w14:textId="77777777" w:rsidR="003E184E" w:rsidRPr="00986F85" w:rsidRDefault="003E184E">
      <w:pPr>
        <w:pStyle w:val="brajegyzk"/>
        <w:tabs>
          <w:tab w:val="right" w:leader="dot" w:pos="9060"/>
        </w:tabs>
        <w:rPr>
          <w:rFonts w:ascii="Myriad Pro" w:eastAsiaTheme="minorEastAsia" w:hAnsi="Myriad Pro" w:cstheme="minorBidi"/>
          <w:i w:val="0"/>
          <w:iCs w:val="0"/>
          <w:noProof/>
          <w:sz w:val="24"/>
          <w:szCs w:val="24"/>
          <w:lang w:val="en-US" w:eastAsia="ja-JP"/>
        </w:rPr>
      </w:pPr>
      <w:r w:rsidRPr="00986F85">
        <w:rPr>
          <w:rFonts w:ascii="Myriad Pro" w:hAnsi="Myriad Pro"/>
          <w:noProof/>
        </w:rPr>
        <w:t>12. táblázat: GOP2.1.1.A konstrukción kívül más OP keretében nyertes pályázatokkal rendelkező cégek</w:t>
      </w:r>
      <w:r w:rsidRPr="00986F85">
        <w:rPr>
          <w:rFonts w:ascii="Myriad Pro" w:hAnsi="Myriad Pro"/>
          <w:noProof/>
        </w:rPr>
        <w:tab/>
      </w:r>
      <w:r w:rsidR="007E1F98" w:rsidRPr="00986F85">
        <w:rPr>
          <w:rFonts w:ascii="Myriad Pro" w:hAnsi="Myriad Pro"/>
          <w:noProof/>
        </w:rPr>
        <w:fldChar w:fldCharType="begin"/>
      </w:r>
      <w:r w:rsidRPr="00986F85">
        <w:rPr>
          <w:rFonts w:ascii="Myriad Pro" w:hAnsi="Myriad Pro"/>
          <w:noProof/>
        </w:rPr>
        <w:instrText xml:space="preserve"> PAGEREF _Toc230854357 \h </w:instrText>
      </w:r>
      <w:r w:rsidR="007E1F98" w:rsidRPr="00986F85">
        <w:rPr>
          <w:rFonts w:ascii="Myriad Pro" w:hAnsi="Myriad Pro"/>
          <w:noProof/>
        </w:rPr>
      </w:r>
      <w:r w:rsidR="007E1F98" w:rsidRPr="00986F85">
        <w:rPr>
          <w:rFonts w:ascii="Myriad Pro" w:hAnsi="Myriad Pro"/>
          <w:noProof/>
        </w:rPr>
        <w:fldChar w:fldCharType="separate"/>
      </w:r>
      <w:r w:rsidRPr="00986F85">
        <w:rPr>
          <w:rFonts w:ascii="Myriad Pro" w:hAnsi="Myriad Pro"/>
          <w:noProof/>
        </w:rPr>
        <w:t>51</w:t>
      </w:r>
      <w:r w:rsidR="007E1F98" w:rsidRPr="00986F85">
        <w:rPr>
          <w:rFonts w:ascii="Myriad Pro" w:hAnsi="Myriad Pro"/>
          <w:noProof/>
        </w:rPr>
        <w:fldChar w:fldCharType="end"/>
      </w:r>
    </w:p>
    <w:p w14:paraId="21409BF0" w14:textId="77777777" w:rsidR="003E184E" w:rsidRPr="00986F85" w:rsidRDefault="003E184E">
      <w:pPr>
        <w:pStyle w:val="brajegyzk"/>
        <w:tabs>
          <w:tab w:val="right" w:leader="dot" w:pos="9060"/>
        </w:tabs>
        <w:rPr>
          <w:rFonts w:ascii="Myriad Pro" w:eastAsiaTheme="minorEastAsia" w:hAnsi="Myriad Pro" w:cstheme="minorBidi"/>
          <w:i w:val="0"/>
          <w:iCs w:val="0"/>
          <w:noProof/>
          <w:sz w:val="24"/>
          <w:szCs w:val="24"/>
          <w:lang w:val="en-US" w:eastAsia="ja-JP"/>
        </w:rPr>
      </w:pPr>
      <w:r w:rsidRPr="00986F85">
        <w:rPr>
          <w:rFonts w:ascii="Myriad Pro" w:hAnsi="Myriad Pro"/>
          <w:noProof/>
        </w:rPr>
        <w:t>13. táblázat: A GOP2.1.1. A és a KMOP1.2.1. A konstrukciókon kívül más OP keretében nyertes pályázatokkal rendelkező cégek</w:t>
      </w:r>
      <w:r w:rsidRPr="00986F85">
        <w:rPr>
          <w:rFonts w:ascii="Myriad Pro" w:hAnsi="Myriad Pro"/>
          <w:noProof/>
        </w:rPr>
        <w:tab/>
      </w:r>
      <w:r w:rsidR="007E1F98" w:rsidRPr="00986F85">
        <w:rPr>
          <w:rFonts w:ascii="Myriad Pro" w:hAnsi="Myriad Pro"/>
          <w:noProof/>
        </w:rPr>
        <w:fldChar w:fldCharType="begin"/>
      </w:r>
      <w:r w:rsidRPr="00986F85">
        <w:rPr>
          <w:rFonts w:ascii="Myriad Pro" w:hAnsi="Myriad Pro"/>
          <w:noProof/>
        </w:rPr>
        <w:instrText xml:space="preserve"> PAGEREF _Toc230854358 \h </w:instrText>
      </w:r>
      <w:r w:rsidR="007E1F98" w:rsidRPr="00986F85">
        <w:rPr>
          <w:rFonts w:ascii="Myriad Pro" w:hAnsi="Myriad Pro"/>
          <w:noProof/>
        </w:rPr>
      </w:r>
      <w:r w:rsidR="007E1F98" w:rsidRPr="00986F85">
        <w:rPr>
          <w:rFonts w:ascii="Myriad Pro" w:hAnsi="Myriad Pro"/>
          <w:noProof/>
        </w:rPr>
        <w:fldChar w:fldCharType="separate"/>
      </w:r>
      <w:r w:rsidRPr="00986F85">
        <w:rPr>
          <w:rFonts w:ascii="Myriad Pro" w:hAnsi="Myriad Pro"/>
          <w:noProof/>
        </w:rPr>
        <w:t>52</w:t>
      </w:r>
      <w:r w:rsidR="007E1F98" w:rsidRPr="00986F85">
        <w:rPr>
          <w:rFonts w:ascii="Myriad Pro" w:hAnsi="Myriad Pro"/>
          <w:noProof/>
        </w:rPr>
        <w:fldChar w:fldCharType="end"/>
      </w:r>
    </w:p>
    <w:p w14:paraId="46AB0128" w14:textId="77777777" w:rsidR="003E184E" w:rsidRPr="00986F85" w:rsidRDefault="003E184E">
      <w:pPr>
        <w:pStyle w:val="brajegyzk"/>
        <w:tabs>
          <w:tab w:val="right" w:leader="dot" w:pos="9060"/>
        </w:tabs>
        <w:rPr>
          <w:rFonts w:ascii="Myriad Pro" w:eastAsiaTheme="minorEastAsia" w:hAnsi="Myriad Pro" w:cstheme="minorBidi"/>
          <w:i w:val="0"/>
          <w:iCs w:val="0"/>
          <w:noProof/>
          <w:sz w:val="24"/>
          <w:szCs w:val="24"/>
          <w:lang w:val="en-US" w:eastAsia="ja-JP"/>
        </w:rPr>
      </w:pPr>
      <w:r w:rsidRPr="00986F85">
        <w:rPr>
          <w:rFonts w:ascii="Myriad Pro" w:hAnsi="Myriad Pro"/>
          <w:noProof/>
        </w:rPr>
        <w:t>14. táblázat: Kezelt vállalkozások főbb indikátorainak változása (2011/2006)</w:t>
      </w:r>
      <w:r w:rsidRPr="00986F85">
        <w:rPr>
          <w:rFonts w:ascii="Myriad Pro" w:hAnsi="Myriad Pro"/>
          <w:noProof/>
        </w:rPr>
        <w:tab/>
      </w:r>
      <w:r w:rsidR="007E1F98" w:rsidRPr="00986F85">
        <w:rPr>
          <w:rFonts w:ascii="Myriad Pro" w:hAnsi="Myriad Pro"/>
          <w:noProof/>
        </w:rPr>
        <w:fldChar w:fldCharType="begin"/>
      </w:r>
      <w:r w:rsidRPr="00986F85">
        <w:rPr>
          <w:rFonts w:ascii="Myriad Pro" w:hAnsi="Myriad Pro"/>
          <w:noProof/>
        </w:rPr>
        <w:instrText xml:space="preserve"> PAGEREF _Toc230854359 \h </w:instrText>
      </w:r>
      <w:r w:rsidR="007E1F98" w:rsidRPr="00986F85">
        <w:rPr>
          <w:rFonts w:ascii="Myriad Pro" w:hAnsi="Myriad Pro"/>
          <w:noProof/>
        </w:rPr>
      </w:r>
      <w:r w:rsidR="007E1F98" w:rsidRPr="00986F85">
        <w:rPr>
          <w:rFonts w:ascii="Myriad Pro" w:hAnsi="Myriad Pro"/>
          <w:noProof/>
        </w:rPr>
        <w:fldChar w:fldCharType="separate"/>
      </w:r>
      <w:r w:rsidRPr="00986F85">
        <w:rPr>
          <w:rFonts w:ascii="Myriad Pro" w:hAnsi="Myriad Pro"/>
          <w:noProof/>
        </w:rPr>
        <w:t>57</w:t>
      </w:r>
      <w:r w:rsidR="007E1F98" w:rsidRPr="00986F85">
        <w:rPr>
          <w:rFonts w:ascii="Myriad Pro" w:hAnsi="Myriad Pro"/>
          <w:noProof/>
        </w:rPr>
        <w:fldChar w:fldCharType="end"/>
      </w:r>
    </w:p>
    <w:p w14:paraId="29583380" w14:textId="77777777" w:rsidR="003E184E" w:rsidRPr="00986F85" w:rsidRDefault="003E184E">
      <w:pPr>
        <w:pStyle w:val="brajegyzk"/>
        <w:tabs>
          <w:tab w:val="right" w:leader="dot" w:pos="9060"/>
        </w:tabs>
        <w:rPr>
          <w:rFonts w:ascii="Myriad Pro" w:eastAsiaTheme="minorEastAsia" w:hAnsi="Myriad Pro" w:cstheme="minorBidi"/>
          <w:i w:val="0"/>
          <w:iCs w:val="0"/>
          <w:noProof/>
          <w:sz w:val="24"/>
          <w:szCs w:val="24"/>
          <w:lang w:val="en-US" w:eastAsia="ja-JP"/>
        </w:rPr>
      </w:pPr>
      <w:r w:rsidRPr="00986F85">
        <w:rPr>
          <w:rFonts w:ascii="Myriad Pro" w:hAnsi="Myriad Pro"/>
          <w:noProof/>
        </w:rPr>
        <w:t>15. táblázat: Kezelt vállalkozások főbb indikátorainak változása (2011/2006)</w:t>
      </w:r>
      <w:r w:rsidRPr="00986F85">
        <w:rPr>
          <w:rFonts w:ascii="Myriad Pro" w:hAnsi="Myriad Pro"/>
          <w:noProof/>
        </w:rPr>
        <w:tab/>
      </w:r>
      <w:r w:rsidR="007E1F98" w:rsidRPr="00986F85">
        <w:rPr>
          <w:rFonts w:ascii="Myriad Pro" w:hAnsi="Myriad Pro"/>
          <w:noProof/>
        </w:rPr>
        <w:fldChar w:fldCharType="begin"/>
      </w:r>
      <w:r w:rsidRPr="00986F85">
        <w:rPr>
          <w:rFonts w:ascii="Myriad Pro" w:hAnsi="Myriad Pro"/>
          <w:noProof/>
        </w:rPr>
        <w:instrText xml:space="preserve"> PAGEREF _Toc230854360 \h </w:instrText>
      </w:r>
      <w:r w:rsidR="007E1F98" w:rsidRPr="00986F85">
        <w:rPr>
          <w:rFonts w:ascii="Myriad Pro" w:hAnsi="Myriad Pro"/>
          <w:noProof/>
        </w:rPr>
      </w:r>
      <w:r w:rsidR="007E1F98" w:rsidRPr="00986F85">
        <w:rPr>
          <w:rFonts w:ascii="Myriad Pro" w:hAnsi="Myriad Pro"/>
          <w:noProof/>
        </w:rPr>
        <w:fldChar w:fldCharType="separate"/>
      </w:r>
      <w:r w:rsidRPr="00986F85">
        <w:rPr>
          <w:rFonts w:ascii="Myriad Pro" w:hAnsi="Myriad Pro"/>
          <w:noProof/>
        </w:rPr>
        <w:t>58</w:t>
      </w:r>
      <w:r w:rsidR="007E1F98" w:rsidRPr="00986F85">
        <w:rPr>
          <w:rFonts w:ascii="Myriad Pro" w:hAnsi="Myriad Pro"/>
          <w:noProof/>
        </w:rPr>
        <w:fldChar w:fldCharType="end"/>
      </w:r>
    </w:p>
    <w:p w14:paraId="37BC726B" w14:textId="77777777" w:rsidR="003E184E" w:rsidRPr="00986F85" w:rsidRDefault="003E184E">
      <w:pPr>
        <w:pStyle w:val="brajegyzk"/>
        <w:tabs>
          <w:tab w:val="right" w:leader="dot" w:pos="9060"/>
        </w:tabs>
        <w:rPr>
          <w:rFonts w:ascii="Myriad Pro" w:eastAsiaTheme="minorEastAsia" w:hAnsi="Myriad Pro" w:cstheme="minorBidi"/>
          <w:i w:val="0"/>
          <w:iCs w:val="0"/>
          <w:noProof/>
          <w:sz w:val="24"/>
          <w:szCs w:val="24"/>
          <w:lang w:val="en-US" w:eastAsia="ja-JP"/>
        </w:rPr>
      </w:pPr>
      <w:r w:rsidRPr="00986F85">
        <w:rPr>
          <w:rFonts w:ascii="Myriad Pro" w:hAnsi="Myriad Pro"/>
          <w:noProof/>
        </w:rPr>
        <w:t>15. táblázat: Kezelt vállalkozások számossága, 2011</w:t>
      </w:r>
      <w:r w:rsidRPr="00986F85">
        <w:rPr>
          <w:rFonts w:ascii="Myriad Pro" w:hAnsi="Myriad Pro"/>
          <w:noProof/>
        </w:rPr>
        <w:tab/>
      </w:r>
      <w:r w:rsidR="007E1F98" w:rsidRPr="00986F85">
        <w:rPr>
          <w:rFonts w:ascii="Myriad Pro" w:hAnsi="Myriad Pro"/>
          <w:noProof/>
        </w:rPr>
        <w:fldChar w:fldCharType="begin"/>
      </w:r>
      <w:r w:rsidRPr="00986F85">
        <w:rPr>
          <w:rFonts w:ascii="Myriad Pro" w:hAnsi="Myriad Pro"/>
          <w:noProof/>
        </w:rPr>
        <w:instrText xml:space="preserve"> PAGEREF _Toc230854361 \h </w:instrText>
      </w:r>
      <w:r w:rsidR="007E1F98" w:rsidRPr="00986F85">
        <w:rPr>
          <w:rFonts w:ascii="Myriad Pro" w:hAnsi="Myriad Pro"/>
          <w:noProof/>
        </w:rPr>
      </w:r>
      <w:r w:rsidR="007E1F98" w:rsidRPr="00986F85">
        <w:rPr>
          <w:rFonts w:ascii="Myriad Pro" w:hAnsi="Myriad Pro"/>
          <w:noProof/>
        </w:rPr>
        <w:fldChar w:fldCharType="separate"/>
      </w:r>
      <w:r w:rsidRPr="00986F85">
        <w:rPr>
          <w:rFonts w:ascii="Myriad Pro" w:hAnsi="Myriad Pro"/>
          <w:noProof/>
        </w:rPr>
        <w:t>59</w:t>
      </w:r>
      <w:r w:rsidR="007E1F98" w:rsidRPr="00986F85">
        <w:rPr>
          <w:rFonts w:ascii="Myriad Pro" w:hAnsi="Myriad Pro"/>
          <w:noProof/>
        </w:rPr>
        <w:fldChar w:fldCharType="end"/>
      </w:r>
    </w:p>
    <w:p w14:paraId="537E4032" w14:textId="77777777" w:rsidR="003E184E" w:rsidRPr="00986F85" w:rsidRDefault="003E184E">
      <w:pPr>
        <w:pStyle w:val="brajegyzk"/>
        <w:tabs>
          <w:tab w:val="right" w:leader="dot" w:pos="9060"/>
        </w:tabs>
        <w:rPr>
          <w:rFonts w:ascii="Myriad Pro" w:eastAsiaTheme="minorEastAsia" w:hAnsi="Myriad Pro" w:cstheme="minorBidi"/>
          <w:i w:val="0"/>
          <w:iCs w:val="0"/>
          <w:noProof/>
          <w:sz w:val="24"/>
          <w:szCs w:val="24"/>
          <w:lang w:val="en-US" w:eastAsia="ja-JP"/>
        </w:rPr>
      </w:pPr>
      <w:r w:rsidRPr="00986F85">
        <w:rPr>
          <w:rFonts w:ascii="Myriad Pro" w:hAnsi="Myriad Pro"/>
          <w:noProof/>
        </w:rPr>
        <w:t>16. táblázat: Szelekciós modell eredményei – GOP2.1.1.A és KMOP1.2.1.A, 2006</w:t>
      </w:r>
      <w:r w:rsidRPr="00986F85">
        <w:rPr>
          <w:rFonts w:ascii="Myriad Pro" w:hAnsi="Myriad Pro"/>
          <w:noProof/>
        </w:rPr>
        <w:tab/>
      </w:r>
      <w:r w:rsidR="007E1F98" w:rsidRPr="00986F85">
        <w:rPr>
          <w:rFonts w:ascii="Myriad Pro" w:hAnsi="Myriad Pro"/>
          <w:noProof/>
        </w:rPr>
        <w:fldChar w:fldCharType="begin"/>
      </w:r>
      <w:r w:rsidRPr="00986F85">
        <w:rPr>
          <w:rFonts w:ascii="Myriad Pro" w:hAnsi="Myriad Pro"/>
          <w:noProof/>
        </w:rPr>
        <w:instrText xml:space="preserve"> PAGEREF _Toc230854362 \h </w:instrText>
      </w:r>
      <w:r w:rsidR="007E1F98" w:rsidRPr="00986F85">
        <w:rPr>
          <w:rFonts w:ascii="Myriad Pro" w:hAnsi="Myriad Pro"/>
          <w:noProof/>
        </w:rPr>
      </w:r>
      <w:r w:rsidR="007E1F98" w:rsidRPr="00986F85">
        <w:rPr>
          <w:rFonts w:ascii="Myriad Pro" w:hAnsi="Myriad Pro"/>
          <w:noProof/>
        </w:rPr>
        <w:fldChar w:fldCharType="separate"/>
      </w:r>
      <w:r w:rsidRPr="00986F85">
        <w:rPr>
          <w:rFonts w:ascii="Myriad Pro" w:hAnsi="Myriad Pro"/>
          <w:noProof/>
        </w:rPr>
        <w:t>63</w:t>
      </w:r>
      <w:r w:rsidR="007E1F98" w:rsidRPr="00986F85">
        <w:rPr>
          <w:rFonts w:ascii="Myriad Pro" w:hAnsi="Myriad Pro"/>
          <w:noProof/>
        </w:rPr>
        <w:fldChar w:fldCharType="end"/>
      </w:r>
    </w:p>
    <w:p w14:paraId="2D71A963" w14:textId="77777777" w:rsidR="003E184E" w:rsidRPr="00986F85" w:rsidRDefault="003E184E">
      <w:pPr>
        <w:pStyle w:val="brajegyzk"/>
        <w:tabs>
          <w:tab w:val="right" w:leader="dot" w:pos="9060"/>
        </w:tabs>
        <w:rPr>
          <w:rFonts w:ascii="Myriad Pro" w:eastAsiaTheme="minorEastAsia" w:hAnsi="Myriad Pro" w:cstheme="minorBidi"/>
          <w:i w:val="0"/>
          <w:iCs w:val="0"/>
          <w:noProof/>
          <w:sz w:val="24"/>
          <w:szCs w:val="24"/>
          <w:lang w:val="en-US" w:eastAsia="ja-JP"/>
        </w:rPr>
      </w:pPr>
      <w:r w:rsidRPr="00986F85">
        <w:rPr>
          <w:rFonts w:ascii="Myriad Pro" w:hAnsi="Myriad Pro"/>
          <w:noProof/>
        </w:rPr>
        <w:t>17. táblázat: Támogatás hatása a csak GOP2.1.1. A pályázatot nyert cégek tevékenységére</w:t>
      </w:r>
      <w:r w:rsidRPr="00986F85">
        <w:rPr>
          <w:rFonts w:ascii="Myriad Pro" w:hAnsi="Myriad Pro"/>
          <w:noProof/>
        </w:rPr>
        <w:tab/>
      </w:r>
      <w:r w:rsidR="007E1F98" w:rsidRPr="00986F85">
        <w:rPr>
          <w:rFonts w:ascii="Myriad Pro" w:hAnsi="Myriad Pro"/>
          <w:noProof/>
        </w:rPr>
        <w:fldChar w:fldCharType="begin"/>
      </w:r>
      <w:r w:rsidRPr="00986F85">
        <w:rPr>
          <w:rFonts w:ascii="Myriad Pro" w:hAnsi="Myriad Pro"/>
          <w:noProof/>
        </w:rPr>
        <w:instrText xml:space="preserve"> PAGEREF _Toc230854363 \h </w:instrText>
      </w:r>
      <w:r w:rsidR="007E1F98" w:rsidRPr="00986F85">
        <w:rPr>
          <w:rFonts w:ascii="Myriad Pro" w:hAnsi="Myriad Pro"/>
          <w:noProof/>
        </w:rPr>
      </w:r>
      <w:r w:rsidR="007E1F98" w:rsidRPr="00986F85">
        <w:rPr>
          <w:rFonts w:ascii="Myriad Pro" w:hAnsi="Myriad Pro"/>
          <w:noProof/>
        </w:rPr>
        <w:fldChar w:fldCharType="separate"/>
      </w:r>
      <w:r w:rsidRPr="00986F85">
        <w:rPr>
          <w:rFonts w:ascii="Myriad Pro" w:hAnsi="Myriad Pro"/>
          <w:noProof/>
        </w:rPr>
        <w:t>68</w:t>
      </w:r>
      <w:r w:rsidR="007E1F98" w:rsidRPr="00986F85">
        <w:rPr>
          <w:rFonts w:ascii="Myriad Pro" w:hAnsi="Myriad Pro"/>
          <w:noProof/>
        </w:rPr>
        <w:fldChar w:fldCharType="end"/>
      </w:r>
    </w:p>
    <w:p w14:paraId="7C7C1207" w14:textId="77777777" w:rsidR="003E184E" w:rsidRPr="00986F85" w:rsidRDefault="003E184E">
      <w:pPr>
        <w:pStyle w:val="brajegyzk"/>
        <w:tabs>
          <w:tab w:val="right" w:leader="dot" w:pos="9060"/>
        </w:tabs>
        <w:rPr>
          <w:rFonts w:ascii="Myriad Pro" w:eastAsiaTheme="minorEastAsia" w:hAnsi="Myriad Pro" w:cstheme="minorBidi"/>
          <w:i w:val="0"/>
          <w:iCs w:val="0"/>
          <w:noProof/>
          <w:sz w:val="24"/>
          <w:szCs w:val="24"/>
          <w:lang w:val="en-US" w:eastAsia="ja-JP"/>
        </w:rPr>
      </w:pPr>
      <w:r w:rsidRPr="00986F85">
        <w:rPr>
          <w:rFonts w:ascii="Myriad Pro" w:hAnsi="Myriad Pro"/>
          <w:noProof/>
        </w:rPr>
        <w:t>18. táblázat: Támogatás hatása a GOP A és hasonló KMOP pályázatot nyert cégek tevékenységére</w:t>
      </w:r>
      <w:r w:rsidRPr="00986F85">
        <w:rPr>
          <w:rFonts w:ascii="Myriad Pro" w:hAnsi="Myriad Pro"/>
          <w:noProof/>
        </w:rPr>
        <w:tab/>
      </w:r>
      <w:r w:rsidR="007E1F98" w:rsidRPr="00986F85">
        <w:rPr>
          <w:rFonts w:ascii="Myriad Pro" w:hAnsi="Myriad Pro"/>
          <w:noProof/>
        </w:rPr>
        <w:fldChar w:fldCharType="begin"/>
      </w:r>
      <w:r w:rsidRPr="00986F85">
        <w:rPr>
          <w:rFonts w:ascii="Myriad Pro" w:hAnsi="Myriad Pro"/>
          <w:noProof/>
        </w:rPr>
        <w:instrText xml:space="preserve"> PAGEREF _Toc230854364 \h </w:instrText>
      </w:r>
      <w:r w:rsidR="007E1F98" w:rsidRPr="00986F85">
        <w:rPr>
          <w:rFonts w:ascii="Myriad Pro" w:hAnsi="Myriad Pro"/>
          <w:noProof/>
        </w:rPr>
      </w:r>
      <w:r w:rsidR="007E1F98" w:rsidRPr="00986F85">
        <w:rPr>
          <w:rFonts w:ascii="Myriad Pro" w:hAnsi="Myriad Pro"/>
          <w:noProof/>
        </w:rPr>
        <w:fldChar w:fldCharType="separate"/>
      </w:r>
      <w:r w:rsidRPr="00986F85">
        <w:rPr>
          <w:rFonts w:ascii="Myriad Pro" w:hAnsi="Myriad Pro"/>
          <w:noProof/>
        </w:rPr>
        <w:t>70</w:t>
      </w:r>
      <w:r w:rsidR="007E1F98" w:rsidRPr="00986F85">
        <w:rPr>
          <w:rFonts w:ascii="Myriad Pro" w:hAnsi="Myriad Pro"/>
          <w:noProof/>
        </w:rPr>
        <w:fldChar w:fldCharType="end"/>
      </w:r>
    </w:p>
    <w:p w14:paraId="3ECC994B" w14:textId="77777777" w:rsidR="00A62E4C" w:rsidRPr="00986F85" w:rsidRDefault="007E1F98" w:rsidP="009E2CB5">
      <w:pPr>
        <w:spacing w:line="360" w:lineRule="auto"/>
        <w:rPr>
          <w:highlight w:val="yellow"/>
        </w:rPr>
      </w:pPr>
      <w:r w:rsidRPr="00986F85">
        <w:rPr>
          <w:sz w:val="20"/>
          <w:szCs w:val="20"/>
          <w:highlight w:val="yellow"/>
        </w:rPr>
        <w:fldChar w:fldCharType="end"/>
      </w:r>
    </w:p>
    <w:p w14:paraId="4A21AABC" w14:textId="77777777" w:rsidR="003E184E" w:rsidRPr="00986F85" w:rsidRDefault="00A62E4C" w:rsidP="00B04415">
      <w:pPr>
        <w:pStyle w:val="Cmsor1"/>
        <w:spacing w:before="0" w:after="0" w:line="360" w:lineRule="auto"/>
        <w:jc w:val="both"/>
        <w:rPr>
          <w:szCs w:val="24"/>
        </w:rPr>
        <w:sectPr w:rsidR="003E184E" w:rsidRPr="00986F85" w:rsidSect="0015414F">
          <w:pgSz w:w="11906" w:h="16838" w:code="9"/>
          <w:pgMar w:top="1418" w:right="1418" w:bottom="1418" w:left="1418" w:header="720" w:footer="720" w:gutter="0"/>
          <w:cols w:space="720"/>
          <w:docGrid w:linePitch="360"/>
        </w:sectPr>
      </w:pPr>
      <w:r w:rsidRPr="00986F85">
        <w:rPr>
          <w:szCs w:val="24"/>
        </w:rPr>
        <w:br w:type="page"/>
      </w:r>
    </w:p>
    <w:p w14:paraId="089FDBFF" w14:textId="77777777" w:rsidR="003E184E" w:rsidRPr="00986F85" w:rsidRDefault="003E184E" w:rsidP="003E184E">
      <w:pPr>
        <w:pStyle w:val="Cmsor1"/>
        <w:rPr>
          <w:sz w:val="22"/>
          <w:szCs w:val="22"/>
        </w:rPr>
      </w:pPr>
      <w:bookmarkStart w:id="3" w:name="_Toc230854302"/>
      <w:r w:rsidRPr="00986F85">
        <w:rPr>
          <w:sz w:val="22"/>
          <w:szCs w:val="22"/>
        </w:rPr>
        <w:lastRenderedPageBreak/>
        <w:t>VEZETŐI ŐSSZEFOGLALÓ</w:t>
      </w:r>
      <w:bookmarkEnd w:id="3"/>
    </w:p>
    <w:p w14:paraId="77C7761D" w14:textId="77777777" w:rsidR="003E184E" w:rsidRPr="00986F85" w:rsidRDefault="003E184E" w:rsidP="003E184E">
      <w:pPr>
        <w:pStyle w:val="Szvegtrzs"/>
        <w:spacing w:after="0" w:line="360" w:lineRule="auto"/>
        <w:jc w:val="both"/>
        <w:rPr>
          <w:rFonts w:eastAsia="Times New Roman"/>
          <w:sz w:val="22"/>
        </w:rPr>
      </w:pPr>
      <w:r w:rsidRPr="00986F85">
        <w:rPr>
          <w:rFonts w:cs="Times New Roman"/>
          <w:sz w:val="22"/>
          <w:lang w:eastAsia="hu-HU"/>
        </w:rPr>
        <w:t xml:space="preserve">Elemzésünk elsődleges célja a GOP 2.1.1. és a KMOP 1.2.1. konstrukciók alatti beavatkozások közvetlen hatásainak megítélése volt. A rendelkezésünkre bocsátott adatok alapján ezt kiegészítően kitérünk, a GOP nyertes vállalkozások, valamint az Új Széchényi Terv (ÚSZT) más operatív programjai (OP) keretében is támogatást kapott hazai vállalkozások pályázási szokásainak leíró elemzésére. A hatásvizsgálat ökonometriai, a leíró elemzés statisztikai módszerekre épült. </w:t>
      </w:r>
      <w:r w:rsidRPr="00986F85">
        <w:rPr>
          <w:rFonts w:eastAsia="Times New Roman"/>
          <w:sz w:val="22"/>
        </w:rPr>
        <w:t xml:space="preserve">A hatásvizsgálati projekt 2012 májusában indult és 2013 márciusában zárult. </w:t>
      </w:r>
    </w:p>
    <w:p w14:paraId="3A0B2461" w14:textId="77777777" w:rsidR="003E184E" w:rsidRPr="00986F85" w:rsidRDefault="003E184E" w:rsidP="003E184E">
      <w:pPr>
        <w:pStyle w:val="Szvegtrzs"/>
        <w:spacing w:after="0" w:line="360" w:lineRule="auto"/>
        <w:jc w:val="both"/>
        <w:rPr>
          <w:rFonts w:eastAsia="Times New Roman"/>
          <w:sz w:val="22"/>
        </w:rPr>
      </w:pPr>
    </w:p>
    <w:p w14:paraId="587F822A" w14:textId="77777777" w:rsidR="003E184E" w:rsidRPr="00986F85" w:rsidRDefault="003E184E" w:rsidP="003E184E">
      <w:pPr>
        <w:spacing w:line="360" w:lineRule="auto"/>
        <w:jc w:val="both"/>
        <w:rPr>
          <w:rFonts w:eastAsia="Times New Roman;serif"/>
          <w:sz w:val="22"/>
        </w:rPr>
      </w:pPr>
      <w:r w:rsidRPr="00986F85">
        <w:rPr>
          <w:rFonts w:eastAsia="Times New Roman"/>
          <w:sz w:val="22"/>
        </w:rPr>
        <w:t xml:space="preserve">A </w:t>
      </w:r>
      <w:r w:rsidRPr="00986F85">
        <w:rPr>
          <w:rFonts w:eastAsia="Times New Roman" w:cs="Times New Roman"/>
          <w:sz w:val="22"/>
        </w:rPr>
        <w:t xml:space="preserve">szóban forgó </w:t>
      </w:r>
      <w:r w:rsidRPr="00986F85">
        <w:rPr>
          <w:rFonts w:eastAsia="Times New Roman"/>
          <w:sz w:val="22"/>
        </w:rPr>
        <w:t xml:space="preserve">intézkedések </w:t>
      </w:r>
      <w:r w:rsidRPr="00986F85">
        <w:rPr>
          <w:rFonts w:eastAsia="Times New Roman;serif"/>
          <w:sz w:val="22"/>
        </w:rPr>
        <w:t>vissza nem térítendő támogatással kívánják növelni a</w:t>
      </w:r>
      <w:r w:rsidRPr="00986F85">
        <w:rPr>
          <w:rFonts w:eastAsia="Liberation Serif;Times New Roma"/>
          <w:sz w:val="22"/>
        </w:rPr>
        <w:t xml:space="preserve"> </w:t>
      </w:r>
      <w:r w:rsidRPr="00986F85">
        <w:rPr>
          <w:rFonts w:eastAsia="Times New Roman;serif"/>
          <w:sz w:val="22"/>
        </w:rPr>
        <w:t>mikro-,</w:t>
      </w:r>
      <w:r w:rsidRPr="00986F85">
        <w:rPr>
          <w:rFonts w:eastAsia="Liberation Serif;Times New Roma"/>
          <w:sz w:val="22"/>
        </w:rPr>
        <w:t xml:space="preserve"> </w:t>
      </w:r>
      <w:r w:rsidRPr="00986F85">
        <w:rPr>
          <w:rFonts w:eastAsia="Times New Roman;serif"/>
          <w:sz w:val="22"/>
        </w:rPr>
        <w:t>kis-</w:t>
      </w:r>
      <w:r w:rsidRPr="00986F85">
        <w:rPr>
          <w:rFonts w:eastAsia="Liberation Serif;Times New Roma"/>
          <w:sz w:val="22"/>
        </w:rPr>
        <w:t xml:space="preserve"> </w:t>
      </w:r>
      <w:r w:rsidRPr="00986F85">
        <w:rPr>
          <w:rFonts w:eastAsia="Times New Roman;serif"/>
          <w:sz w:val="22"/>
        </w:rPr>
        <w:t>és</w:t>
      </w:r>
      <w:r w:rsidRPr="00986F85">
        <w:rPr>
          <w:rFonts w:eastAsia="Liberation Serif;Times New Roma"/>
          <w:sz w:val="22"/>
        </w:rPr>
        <w:t xml:space="preserve"> </w:t>
      </w:r>
      <w:r w:rsidRPr="00986F85">
        <w:rPr>
          <w:rFonts w:eastAsia="Times New Roman;serif"/>
          <w:sz w:val="22"/>
        </w:rPr>
        <w:t>középvállalkozások</w:t>
      </w:r>
      <w:r w:rsidRPr="00986F85">
        <w:rPr>
          <w:rFonts w:eastAsia="Liberation Serif;Times New Roma"/>
          <w:sz w:val="22"/>
        </w:rPr>
        <w:t xml:space="preserve"> </w:t>
      </w:r>
      <w:r w:rsidRPr="00986F85">
        <w:rPr>
          <w:rFonts w:eastAsia="Times New Roman;serif"/>
          <w:sz w:val="22"/>
        </w:rPr>
        <w:t>jövedelemteremtő</w:t>
      </w:r>
      <w:r w:rsidRPr="00986F85">
        <w:rPr>
          <w:rFonts w:eastAsia="Liberation Serif;Times New Roma"/>
          <w:sz w:val="22"/>
        </w:rPr>
        <w:t xml:space="preserve"> </w:t>
      </w:r>
      <w:r w:rsidRPr="00986F85">
        <w:rPr>
          <w:rFonts w:eastAsia="Times New Roman;serif"/>
          <w:sz w:val="22"/>
        </w:rPr>
        <w:t>képességét,</w:t>
      </w:r>
      <w:r w:rsidRPr="00986F85">
        <w:rPr>
          <w:rFonts w:eastAsia="Liberation Serif;Times New Roma"/>
          <w:sz w:val="22"/>
        </w:rPr>
        <w:t xml:space="preserve"> </w:t>
      </w:r>
      <w:r w:rsidRPr="00986F85">
        <w:rPr>
          <w:rFonts w:eastAsia="Times New Roman;serif"/>
          <w:sz w:val="22"/>
        </w:rPr>
        <w:t>technológiai</w:t>
      </w:r>
      <w:r w:rsidRPr="00986F85">
        <w:rPr>
          <w:rFonts w:eastAsia="Liberation Serif;Times New Roma"/>
          <w:sz w:val="22"/>
        </w:rPr>
        <w:t xml:space="preserve"> </w:t>
      </w:r>
      <w:r w:rsidRPr="00986F85">
        <w:rPr>
          <w:rFonts w:eastAsia="Times New Roman;serif"/>
          <w:sz w:val="22"/>
        </w:rPr>
        <w:t>fejlesztésen,</w:t>
      </w:r>
      <w:r w:rsidRPr="00986F85">
        <w:rPr>
          <w:rFonts w:eastAsia="Liberation Serif;Times New Roma"/>
          <w:sz w:val="22"/>
        </w:rPr>
        <w:t xml:space="preserve"> </w:t>
      </w:r>
      <w:r w:rsidRPr="00986F85">
        <w:rPr>
          <w:rFonts w:eastAsia="Times New Roman;serif"/>
          <w:sz w:val="22"/>
        </w:rPr>
        <w:t>valamint</w:t>
      </w:r>
      <w:r w:rsidRPr="00986F85">
        <w:rPr>
          <w:rFonts w:eastAsia="Liberation Serif;Times New Roma"/>
          <w:sz w:val="22"/>
        </w:rPr>
        <w:t xml:space="preserve"> </w:t>
      </w:r>
      <w:r w:rsidRPr="00986F85">
        <w:rPr>
          <w:rFonts w:eastAsia="Times New Roman;serif"/>
          <w:sz w:val="22"/>
        </w:rPr>
        <w:t>korszerűsítésen</w:t>
      </w:r>
      <w:r w:rsidRPr="00986F85">
        <w:rPr>
          <w:rFonts w:eastAsia="Liberation Serif;Times New Roma"/>
          <w:sz w:val="22"/>
        </w:rPr>
        <w:t xml:space="preserve"> </w:t>
      </w:r>
      <w:r w:rsidRPr="00986F85">
        <w:rPr>
          <w:rFonts w:eastAsia="Times New Roman;serif"/>
          <w:sz w:val="22"/>
        </w:rPr>
        <w:t>keresztül.</w:t>
      </w:r>
      <w:r w:rsidRPr="00986F85">
        <w:rPr>
          <w:rFonts w:eastAsia="Liberation Serif;Times New Roma"/>
          <w:sz w:val="22"/>
        </w:rPr>
        <w:t xml:space="preserve">  A GOP 2.1.1. intézkedés alatt négy, a KMOP 1.2.1. intézkedés alatt három fő konstrukció mentén történtek forráskihelyezések 2007-</w:t>
      </w:r>
      <w:r w:rsidRPr="00986F85">
        <w:rPr>
          <w:rFonts w:eastAsia="Liberation Serif;Times New Roma" w:cs="Times New Roman"/>
          <w:sz w:val="22"/>
        </w:rPr>
        <w:t xml:space="preserve">től folyamatosan. </w:t>
      </w:r>
      <w:r w:rsidRPr="00986F85">
        <w:rPr>
          <w:rFonts w:eastAsia="Times New Roman;serif"/>
          <w:sz w:val="22"/>
        </w:rPr>
        <w:t>Az elérhető</w:t>
      </w:r>
      <w:r w:rsidRPr="00986F85">
        <w:rPr>
          <w:rFonts w:eastAsia="Liberation Serif;Times New Roma"/>
          <w:sz w:val="22"/>
        </w:rPr>
        <w:t xml:space="preserve"> </w:t>
      </w:r>
      <w:r w:rsidRPr="00986F85">
        <w:rPr>
          <w:rFonts w:eastAsia="Times New Roman;serif"/>
          <w:sz w:val="22"/>
        </w:rPr>
        <w:t>támogatások</w:t>
      </w:r>
      <w:r w:rsidRPr="00986F85">
        <w:rPr>
          <w:rFonts w:eastAsia="Liberation Serif;Times New Roma"/>
          <w:sz w:val="22"/>
        </w:rPr>
        <w:t xml:space="preserve"> </w:t>
      </w:r>
      <w:r w:rsidRPr="00986F85">
        <w:rPr>
          <w:rFonts w:eastAsia="Times New Roman;serif"/>
          <w:sz w:val="22"/>
        </w:rPr>
        <w:t>összege</w:t>
      </w:r>
      <w:r w:rsidRPr="00986F85">
        <w:rPr>
          <w:rFonts w:eastAsia="Liberation Serif;Times New Roma"/>
          <w:sz w:val="22"/>
        </w:rPr>
        <w:t xml:space="preserve"> változó, az általunk mélyebben vizsgált </w:t>
      </w:r>
      <w:r w:rsidRPr="00986F85">
        <w:rPr>
          <w:rFonts w:eastAsia="Liberation Serif;Times New Roma"/>
          <w:i/>
          <w:sz w:val="22"/>
        </w:rPr>
        <w:t>A</w:t>
      </w:r>
      <w:r w:rsidRPr="00986F85">
        <w:rPr>
          <w:rFonts w:eastAsia="Liberation Serif;Times New Roma"/>
          <w:sz w:val="22"/>
        </w:rPr>
        <w:t xml:space="preserve"> konstrukció</w:t>
      </w:r>
      <w:r w:rsidRPr="00986F85">
        <w:rPr>
          <w:rFonts w:eastAsia="Liberation Serif;Times New Roma" w:cs="Times New Roman"/>
          <w:sz w:val="22"/>
        </w:rPr>
        <w:t>k</w:t>
      </w:r>
      <w:r w:rsidRPr="00986F85">
        <w:rPr>
          <w:rFonts w:eastAsia="Liberation Serif;Times New Roma"/>
          <w:sz w:val="22"/>
        </w:rPr>
        <w:t xml:space="preserve"> esetében alacsony összegekkel nyitott a program (többnyire </w:t>
      </w:r>
      <w:r w:rsidRPr="00986F85">
        <w:rPr>
          <w:rFonts w:eastAsia="Times New Roman;serif"/>
          <w:sz w:val="22"/>
        </w:rPr>
        <w:t>1</w:t>
      </w:r>
      <w:r w:rsidRPr="00986F85">
        <w:rPr>
          <w:rFonts w:eastAsia="Liberation Serif;Times New Roma"/>
          <w:sz w:val="22"/>
        </w:rPr>
        <w:t xml:space="preserve"> </w:t>
      </w:r>
      <w:r w:rsidRPr="00986F85">
        <w:rPr>
          <w:rFonts w:eastAsia="Times New Roman;serif"/>
          <w:sz w:val="22"/>
        </w:rPr>
        <w:t>és</w:t>
      </w:r>
      <w:r w:rsidRPr="00986F85">
        <w:rPr>
          <w:rFonts w:eastAsia="Liberation Serif;Times New Roma"/>
          <w:sz w:val="22"/>
        </w:rPr>
        <w:t xml:space="preserve"> </w:t>
      </w:r>
      <w:r w:rsidRPr="00986F85">
        <w:rPr>
          <w:rFonts w:eastAsia="Times New Roman;serif"/>
          <w:sz w:val="22"/>
        </w:rPr>
        <w:t>25</w:t>
      </w:r>
      <w:r w:rsidRPr="00986F85">
        <w:rPr>
          <w:rFonts w:eastAsia="Liberation Serif;Times New Roma"/>
          <w:sz w:val="22"/>
        </w:rPr>
        <w:t xml:space="preserve"> </w:t>
      </w:r>
      <w:r w:rsidRPr="00986F85">
        <w:rPr>
          <w:rFonts w:eastAsia="Times New Roman;serif"/>
          <w:sz w:val="22"/>
        </w:rPr>
        <w:t>millió</w:t>
      </w:r>
      <w:r w:rsidRPr="00986F85">
        <w:rPr>
          <w:rFonts w:eastAsia="Liberation Serif;Times New Roma"/>
          <w:sz w:val="22"/>
        </w:rPr>
        <w:t xml:space="preserve"> </w:t>
      </w:r>
      <w:r w:rsidRPr="00986F85">
        <w:rPr>
          <w:rFonts w:eastAsia="Times New Roman;serif"/>
          <w:sz w:val="22"/>
        </w:rPr>
        <w:t>forint</w:t>
      </w:r>
      <w:r w:rsidRPr="00986F85">
        <w:rPr>
          <w:rFonts w:eastAsia="Liberation Serif;Times New Roma"/>
          <w:sz w:val="22"/>
        </w:rPr>
        <w:t xml:space="preserve"> közötti támogatások 2007-ben), majd később megnövelték a maximálisan elérhető támogatások összegét. A támogatási összeg az előírások szerint, </w:t>
      </w:r>
      <w:r w:rsidRPr="00986F85">
        <w:rPr>
          <w:rFonts w:eastAsia="Times New Roman;serif"/>
          <w:sz w:val="22"/>
        </w:rPr>
        <w:t>régióktól</w:t>
      </w:r>
      <w:r w:rsidRPr="00986F85">
        <w:rPr>
          <w:rFonts w:eastAsia="Liberation Serif;Times New Roma"/>
          <w:sz w:val="22"/>
        </w:rPr>
        <w:t xml:space="preserve"> </w:t>
      </w:r>
      <w:r w:rsidRPr="00986F85">
        <w:rPr>
          <w:rFonts w:eastAsia="Times New Roman;serif"/>
          <w:sz w:val="22"/>
        </w:rPr>
        <w:t>függően</w:t>
      </w:r>
      <w:r w:rsidRPr="00986F85">
        <w:rPr>
          <w:rFonts w:eastAsia="Liberation Serif;Times New Roma"/>
          <w:sz w:val="22"/>
        </w:rPr>
        <w:t xml:space="preserve"> </w:t>
      </w:r>
      <w:r w:rsidRPr="00986F85">
        <w:rPr>
          <w:rFonts w:eastAsia="Times New Roman;serif"/>
          <w:sz w:val="22"/>
        </w:rPr>
        <w:t>a</w:t>
      </w:r>
      <w:r w:rsidRPr="00986F85">
        <w:rPr>
          <w:rFonts w:eastAsia="Liberation Serif;Times New Roma"/>
          <w:sz w:val="22"/>
        </w:rPr>
        <w:t xml:space="preserve"> </w:t>
      </w:r>
      <w:r w:rsidRPr="00986F85">
        <w:rPr>
          <w:rFonts w:eastAsia="Times New Roman;serif"/>
          <w:sz w:val="22"/>
        </w:rPr>
        <w:t>teljes</w:t>
      </w:r>
      <w:r w:rsidRPr="00986F85">
        <w:rPr>
          <w:rFonts w:eastAsia="Liberation Serif;Times New Roma"/>
          <w:sz w:val="22"/>
        </w:rPr>
        <w:t xml:space="preserve"> </w:t>
      </w:r>
      <w:r w:rsidRPr="00986F85">
        <w:rPr>
          <w:rFonts w:eastAsia="Times New Roman;serif"/>
          <w:sz w:val="22"/>
        </w:rPr>
        <w:t>beruházás</w:t>
      </w:r>
      <w:r w:rsidRPr="00986F85">
        <w:rPr>
          <w:rFonts w:eastAsia="Liberation Serif;Times New Roma"/>
          <w:sz w:val="22"/>
        </w:rPr>
        <w:t xml:space="preserve"> </w:t>
      </w:r>
      <w:r w:rsidRPr="00986F85">
        <w:rPr>
          <w:rFonts w:eastAsia="Times New Roman;serif"/>
          <w:sz w:val="22"/>
        </w:rPr>
        <w:t>50,</w:t>
      </w:r>
      <w:r w:rsidRPr="00986F85">
        <w:rPr>
          <w:rFonts w:eastAsia="Liberation Serif;Times New Roma"/>
          <w:sz w:val="22"/>
        </w:rPr>
        <w:t xml:space="preserve"> </w:t>
      </w:r>
      <w:r w:rsidRPr="00986F85">
        <w:rPr>
          <w:rFonts w:eastAsia="Times New Roman;serif"/>
          <w:sz w:val="22"/>
        </w:rPr>
        <w:t>40,</w:t>
      </w:r>
      <w:r w:rsidRPr="00986F85">
        <w:rPr>
          <w:rFonts w:eastAsia="Liberation Serif;Times New Roma"/>
          <w:sz w:val="22"/>
        </w:rPr>
        <w:t xml:space="preserve"> </w:t>
      </w:r>
      <w:r w:rsidRPr="00986F85">
        <w:rPr>
          <w:rFonts w:eastAsia="Times New Roman;serif"/>
          <w:sz w:val="22"/>
        </w:rPr>
        <w:t>vagy</w:t>
      </w:r>
      <w:r w:rsidRPr="00986F85">
        <w:rPr>
          <w:rFonts w:eastAsia="Liberation Serif;Times New Roma"/>
          <w:sz w:val="22"/>
        </w:rPr>
        <w:t xml:space="preserve"> </w:t>
      </w:r>
      <w:r w:rsidRPr="00986F85">
        <w:rPr>
          <w:rFonts w:eastAsia="Times New Roman;serif"/>
          <w:sz w:val="22"/>
        </w:rPr>
        <w:t>35% alatt</w:t>
      </w:r>
      <w:r w:rsidRPr="00986F85">
        <w:rPr>
          <w:rFonts w:eastAsia="Liberation Serif;Times New Roma"/>
          <w:sz w:val="22"/>
        </w:rPr>
        <w:t>i arányában járt</w:t>
      </w:r>
      <w:r w:rsidRPr="00986F85">
        <w:rPr>
          <w:rFonts w:eastAsia="Times New Roman;serif"/>
          <w:sz w:val="22"/>
        </w:rPr>
        <w:t>.</w:t>
      </w:r>
      <w:r w:rsidRPr="00986F85">
        <w:rPr>
          <w:rFonts w:eastAsia="Liberation Serif;Times New Roma"/>
          <w:sz w:val="22"/>
        </w:rPr>
        <w:t xml:space="preserve"> </w:t>
      </w:r>
      <w:r w:rsidRPr="00986F85">
        <w:rPr>
          <w:rFonts w:eastAsia="Times New Roman;serif"/>
          <w:sz w:val="22"/>
        </w:rPr>
        <w:t>A</w:t>
      </w:r>
      <w:r w:rsidRPr="00986F85">
        <w:rPr>
          <w:rFonts w:eastAsia="Liberation Serif;Times New Roma"/>
          <w:sz w:val="22"/>
        </w:rPr>
        <w:t xml:space="preserve"> </w:t>
      </w:r>
      <w:r w:rsidRPr="00986F85">
        <w:rPr>
          <w:rFonts w:eastAsia="Times New Roman;serif"/>
          <w:sz w:val="22"/>
        </w:rPr>
        <w:t>támogatható</w:t>
      </w:r>
      <w:r w:rsidRPr="00986F85">
        <w:rPr>
          <w:rFonts w:eastAsia="Liberation Serif;Times New Roma"/>
          <w:sz w:val="22"/>
        </w:rPr>
        <w:t xml:space="preserve"> </w:t>
      </w:r>
      <w:r w:rsidRPr="00986F85">
        <w:rPr>
          <w:rFonts w:eastAsia="Times New Roman;serif"/>
          <w:sz w:val="22"/>
        </w:rPr>
        <w:t>tevékenységek</w:t>
      </w:r>
      <w:r w:rsidRPr="00986F85">
        <w:rPr>
          <w:rFonts w:eastAsia="Liberation Serif;Times New Roma"/>
          <w:sz w:val="22"/>
        </w:rPr>
        <w:t xml:space="preserve"> </w:t>
      </w:r>
      <w:r w:rsidRPr="00986F85">
        <w:rPr>
          <w:rFonts w:eastAsia="Times New Roman;serif"/>
          <w:sz w:val="22"/>
        </w:rPr>
        <w:t>köre</w:t>
      </w:r>
      <w:r w:rsidRPr="00986F85">
        <w:rPr>
          <w:rFonts w:eastAsia="Liberation Serif;Times New Roma"/>
          <w:sz w:val="22"/>
        </w:rPr>
        <w:t xml:space="preserve"> </w:t>
      </w:r>
      <w:r w:rsidRPr="00986F85">
        <w:rPr>
          <w:rFonts w:eastAsia="Times New Roman;serif"/>
          <w:sz w:val="22"/>
        </w:rPr>
        <w:t>felöleli</w:t>
      </w:r>
      <w:r w:rsidRPr="00986F85">
        <w:rPr>
          <w:rFonts w:eastAsia="Liberation Serif;Times New Roma"/>
          <w:sz w:val="22"/>
        </w:rPr>
        <w:t xml:space="preserve"> </w:t>
      </w:r>
      <w:r w:rsidRPr="00986F85">
        <w:rPr>
          <w:rFonts w:eastAsia="Times New Roman;serif"/>
          <w:sz w:val="22"/>
        </w:rPr>
        <w:t>az</w:t>
      </w:r>
      <w:r w:rsidRPr="00986F85">
        <w:rPr>
          <w:rFonts w:eastAsia="Liberation Serif;Times New Roma"/>
          <w:sz w:val="22"/>
        </w:rPr>
        <w:t xml:space="preserve"> </w:t>
      </w:r>
      <w:r w:rsidRPr="00986F85">
        <w:rPr>
          <w:rFonts w:eastAsia="Times New Roman;serif"/>
          <w:sz w:val="22"/>
        </w:rPr>
        <w:t>eszközbeszerzést,</w:t>
      </w:r>
      <w:r w:rsidRPr="00986F85">
        <w:rPr>
          <w:rFonts w:eastAsia="Liberation Serif;Times New Roma"/>
          <w:sz w:val="22"/>
        </w:rPr>
        <w:t xml:space="preserve"> </w:t>
      </w:r>
      <w:r w:rsidRPr="00986F85">
        <w:rPr>
          <w:rFonts w:eastAsia="Times New Roman;serif"/>
          <w:sz w:val="22"/>
        </w:rPr>
        <w:t>információs</w:t>
      </w:r>
      <w:r w:rsidRPr="00986F85">
        <w:rPr>
          <w:rFonts w:eastAsia="Liberation Serif;Times New Roma"/>
          <w:sz w:val="22"/>
        </w:rPr>
        <w:t xml:space="preserve"> </w:t>
      </w:r>
      <w:r w:rsidRPr="00986F85">
        <w:rPr>
          <w:rFonts w:eastAsia="Times New Roman;serif"/>
          <w:sz w:val="22"/>
        </w:rPr>
        <w:t>technológia-fejlesztést</w:t>
      </w:r>
      <w:r w:rsidRPr="00986F85">
        <w:rPr>
          <w:rFonts w:eastAsia="Liberation Serif;Times New Roma"/>
          <w:sz w:val="22"/>
        </w:rPr>
        <w:t xml:space="preserve"> </w:t>
      </w:r>
      <w:r w:rsidRPr="00986F85">
        <w:rPr>
          <w:rFonts w:eastAsia="Times New Roman;serif"/>
          <w:sz w:val="22"/>
        </w:rPr>
        <w:t>(hardver,</w:t>
      </w:r>
      <w:r w:rsidRPr="00986F85">
        <w:rPr>
          <w:rFonts w:eastAsia="Liberation Serif;Times New Roma"/>
          <w:sz w:val="22"/>
        </w:rPr>
        <w:t xml:space="preserve"> </w:t>
      </w:r>
      <w:r w:rsidRPr="00986F85">
        <w:rPr>
          <w:rFonts w:eastAsia="Times New Roman;serif"/>
          <w:sz w:val="22"/>
        </w:rPr>
        <w:t>szoftver,</w:t>
      </w:r>
      <w:r w:rsidRPr="00986F85">
        <w:rPr>
          <w:rFonts w:eastAsia="Liberation Serif;Times New Roma"/>
          <w:sz w:val="22"/>
        </w:rPr>
        <w:t xml:space="preserve"> </w:t>
      </w:r>
      <w:r w:rsidRPr="00986F85">
        <w:rPr>
          <w:rFonts w:eastAsia="Times New Roman;serif"/>
          <w:sz w:val="22"/>
        </w:rPr>
        <w:t>domain</w:t>
      </w:r>
      <w:r w:rsidRPr="00986F85">
        <w:rPr>
          <w:rFonts w:eastAsia="Liberation Serif;Times New Roma"/>
          <w:sz w:val="22"/>
        </w:rPr>
        <w:t xml:space="preserve"> </w:t>
      </w:r>
      <w:r w:rsidRPr="00986F85">
        <w:rPr>
          <w:rFonts w:eastAsia="Times New Roman;serif"/>
          <w:sz w:val="22"/>
        </w:rPr>
        <w:t>név</w:t>
      </w:r>
      <w:r w:rsidRPr="00986F85">
        <w:rPr>
          <w:rFonts w:eastAsia="Liberation Serif;Times New Roma"/>
          <w:sz w:val="22"/>
        </w:rPr>
        <w:t xml:space="preserve"> </w:t>
      </w:r>
      <w:r w:rsidRPr="00986F85">
        <w:rPr>
          <w:rFonts w:eastAsia="Times New Roman;serif"/>
          <w:sz w:val="22"/>
        </w:rPr>
        <w:t>regisztráció</w:t>
      </w:r>
      <w:r w:rsidRPr="00986F85">
        <w:rPr>
          <w:rFonts w:eastAsia="Liberation Serif;Times New Roma"/>
          <w:sz w:val="22"/>
        </w:rPr>
        <w:t xml:space="preserve"> </w:t>
      </w:r>
      <w:r w:rsidRPr="00986F85">
        <w:rPr>
          <w:rFonts w:eastAsia="Times New Roman;serif"/>
          <w:sz w:val="22"/>
        </w:rPr>
        <w:t>és</w:t>
      </w:r>
      <w:r w:rsidRPr="00986F85">
        <w:rPr>
          <w:rFonts w:eastAsia="Liberation Serif;Times New Roma"/>
          <w:sz w:val="22"/>
        </w:rPr>
        <w:t xml:space="preserve"> </w:t>
      </w:r>
      <w:r w:rsidRPr="00986F85">
        <w:rPr>
          <w:rFonts w:eastAsia="Times New Roman;serif"/>
          <w:sz w:val="22"/>
        </w:rPr>
        <w:t>a</w:t>
      </w:r>
      <w:r w:rsidRPr="00986F85">
        <w:rPr>
          <w:rFonts w:eastAsia="Liberation Serif;Times New Roma"/>
          <w:sz w:val="22"/>
        </w:rPr>
        <w:t xml:space="preserve"> </w:t>
      </w:r>
      <w:r w:rsidRPr="00986F85">
        <w:rPr>
          <w:rFonts w:eastAsia="Times New Roman;serif"/>
          <w:sz w:val="22"/>
        </w:rPr>
        <w:t>hozzá</w:t>
      </w:r>
      <w:r w:rsidRPr="00986F85">
        <w:rPr>
          <w:rFonts w:eastAsia="Liberation Serif;Times New Roma"/>
          <w:sz w:val="22"/>
        </w:rPr>
        <w:t xml:space="preserve"> </w:t>
      </w:r>
      <w:r w:rsidRPr="00986F85">
        <w:rPr>
          <w:rFonts w:eastAsia="Times New Roman;serif"/>
          <w:sz w:val="22"/>
        </w:rPr>
        <w:t>tartozó</w:t>
      </w:r>
      <w:r w:rsidRPr="00986F85">
        <w:rPr>
          <w:rFonts w:eastAsia="Liberation Serif;Times New Roma"/>
          <w:sz w:val="22"/>
        </w:rPr>
        <w:t xml:space="preserve"> </w:t>
      </w:r>
      <w:r w:rsidRPr="00986F85">
        <w:rPr>
          <w:rFonts w:eastAsia="Times New Roman;serif"/>
          <w:sz w:val="22"/>
        </w:rPr>
        <w:t>webtárhely</w:t>
      </w:r>
      <w:r w:rsidRPr="00986F85">
        <w:rPr>
          <w:rFonts w:eastAsia="Liberation Serif;Times New Roma"/>
          <w:sz w:val="22"/>
        </w:rPr>
        <w:t xml:space="preserve"> </w:t>
      </w:r>
      <w:r w:rsidRPr="00986F85">
        <w:rPr>
          <w:rFonts w:eastAsia="Times New Roman;serif"/>
          <w:sz w:val="22"/>
        </w:rPr>
        <w:t>vagy</w:t>
      </w:r>
      <w:r w:rsidRPr="00986F85">
        <w:rPr>
          <w:rFonts w:eastAsia="Liberation Serif;Times New Roma"/>
          <w:sz w:val="22"/>
        </w:rPr>
        <w:t xml:space="preserve"> </w:t>
      </w:r>
      <w:r w:rsidRPr="00986F85">
        <w:rPr>
          <w:rFonts w:eastAsia="Times New Roman;serif"/>
          <w:sz w:val="22"/>
        </w:rPr>
        <w:t>honlapkészítés),</w:t>
      </w:r>
      <w:r w:rsidRPr="00986F85">
        <w:rPr>
          <w:rFonts w:eastAsia="Liberation Serif;Times New Roma"/>
          <w:sz w:val="22"/>
        </w:rPr>
        <w:t xml:space="preserve"> </w:t>
      </w:r>
      <w:r w:rsidRPr="00986F85">
        <w:rPr>
          <w:rFonts w:eastAsia="Times New Roman;serif"/>
          <w:sz w:val="22"/>
        </w:rPr>
        <w:t>valamint</w:t>
      </w:r>
      <w:r w:rsidRPr="00986F85">
        <w:rPr>
          <w:rFonts w:eastAsia="Liberation Serif;Times New Roma"/>
          <w:sz w:val="22"/>
        </w:rPr>
        <w:t xml:space="preserve"> </w:t>
      </w:r>
      <w:r w:rsidRPr="00986F85">
        <w:rPr>
          <w:rFonts w:eastAsia="Times New Roman;serif"/>
          <w:sz w:val="22"/>
        </w:rPr>
        <w:t>minőség-,</w:t>
      </w:r>
      <w:r w:rsidRPr="00986F85">
        <w:rPr>
          <w:rFonts w:eastAsia="Liberation Serif;Times New Roma"/>
          <w:sz w:val="22"/>
        </w:rPr>
        <w:t xml:space="preserve"> </w:t>
      </w:r>
      <w:r w:rsidRPr="00986F85">
        <w:rPr>
          <w:rFonts w:eastAsia="Times New Roman;serif"/>
          <w:sz w:val="22"/>
        </w:rPr>
        <w:t>környezet-</w:t>
      </w:r>
      <w:r w:rsidRPr="00986F85">
        <w:rPr>
          <w:rFonts w:eastAsia="Liberation Serif;Times New Roma"/>
          <w:sz w:val="22"/>
        </w:rPr>
        <w:t xml:space="preserve"> </w:t>
      </w:r>
      <w:r w:rsidRPr="00986F85">
        <w:rPr>
          <w:rFonts w:eastAsia="Times New Roman;serif"/>
          <w:sz w:val="22"/>
        </w:rPr>
        <w:t>és</w:t>
      </w:r>
      <w:r w:rsidRPr="00986F85">
        <w:rPr>
          <w:rFonts w:eastAsia="Liberation Serif;Times New Roma"/>
          <w:sz w:val="22"/>
        </w:rPr>
        <w:t xml:space="preserve"> </w:t>
      </w:r>
      <w:r w:rsidRPr="00986F85">
        <w:rPr>
          <w:rFonts w:eastAsia="Times New Roman;serif"/>
          <w:sz w:val="22"/>
        </w:rPr>
        <w:t>egyéb</w:t>
      </w:r>
      <w:r w:rsidRPr="00986F85">
        <w:rPr>
          <w:rFonts w:eastAsia="Liberation Serif;Times New Roma"/>
          <w:sz w:val="22"/>
        </w:rPr>
        <w:t xml:space="preserve"> </w:t>
      </w:r>
      <w:r w:rsidRPr="00986F85">
        <w:rPr>
          <w:rFonts w:eastAsia="Times New Roman;serif"/>
          <w:sz w:val="22"/>
        </w:rPr>
        <w:t>irányítási, szabványok</w:t>
      </w:r>
      <w:r w:rsidRPr="00986F85">
        <w:rPr>
          <w:rFonts w:eastAsia="Liberation Serif;Times New Roma"/>
          <w:sz w:val="22"/>
        </w:rPr>
        <w:t xml:space="preserve"> </w:t>
      </w:r>
      <w:r w:rsidRPr="00986F85">
        <w:rPr>
          <w:rFonts w:eastAsia="Times New Roman;serif"/>
          <w:sz w:val="22"/>
        </w:rPr>
        <w:t>bevezetését</w:t>
      </w:r>
      <w:r w:rsidRPr="00986F85">
        <w:rPr>
          <w:rFonts w:eastAsia="Liberation Serif;Times New Roma"/>
          <w:sz w:val="22"/>
        </w:rPr>
        <w:t xml:space="preserve"> </w:t>
      </w:r>
      <w:r w:rsidRPr="00986F85">
        <w:rPr>
          <w:rFonts w:eastAsia="Times New Roman;serif"/>
          <w:sz w:val="22"/>
        </w:rPr>
        <w:t>és</w:t>
      </w:r>
      <w:r w:rsidRPr="00986F85">
        <w:rPr>
          <w:rFonts w:eastAsia="Liberation Serif;Times New Roma"/>
          <w:sz w:val="22"/>
        </w:rPr>
        <w:t xml:space="preserve"> </w:t>
      </w:r>
      <w:r w:rsidRPr="00986F85">
        <w:rPr>
          <w:rFonts w:eastAsia="Times New Roman;serif"/>
          <w:sz w:val="22"/>
        </w:rPr>
        <w:t>tanúsíttatását.</w:t>
      </w:r>
    </w:p>
    <w:p w14:paraId="2EB178CC" w14:textId="77777777" w:rsidR="003E184E" w:rsidRPr="00986F85" w:rsidRDefault="003E184E" w:rsidP="003E184E">
      <w:pPr>
        <w:spacing w:line="360" w:lineRule="auto"/>
        <w:jc w:val="both"/>
        <w:rPr>
          <w:sz w:val="22"/>
        </w:rPr>
      </w:pPr>
      <w:r w:rsidRPr="00986F85">
        <w:rPr>
          <w:sz w:val="22"/>
        </w:rPr>
        <w:t xml:space="preserve">A projekt során az alábbi információ- és adatforrásokra támaszkodtunk: </w:t>
      </w:r>
    </w:p>
    <w:p w14:paraId="69740765" w14:textId="77777777" w:rsidR="003E184E" w:rsidRPr="00986F85" w:rsidRDefault="003E184E" w:rsidP="003E184E">
      <w:pPr>
        <w:numPr>
          <w:ilvl w:val="0"/>
          <w:numId w:val="14"/>
        </w:numPr>
        <w:spacing w:after="0" w:line="360" w:lineRule="auto"/>
        <w:jc w:val="both"/>
        <w:rPr>
          <w:sz w:val="22"/>
        </w:rPr>
      </w:pPr>
      <w:r w:rsidRPr="00986F85">
        <w:rPr>
          <w:sz w:val="22"/>
        </w:rPr>
        <w:t>Új Széchényi Terv stratégiai és program-dokumentumai</w:t>
      </w:r>
    </w:p>
    <w:p w14:paraId="234C8D01" w14:textId="77777777" w:rsidR="003E184E" w:rsidRPr="00986F85" w:rsidRDefault="003E184E" w:rsidP="003E184E">
      <w:pPr>
        <w:numPr>
          <w:ilvl w:val="0"/>
          <w:numId w:val="14"/>
        </w:numPr>
        <w:spacing w:after="0" w:line="360" w:lineRule="auto"/>
        <w:jc w:val="both"/>
        <w:rPr>
          <w:sz w:val="22"/>
        </w:rPr>
      </w:pPr>
      <w:r w:rsidRPr="00986F85">
        <w:rPr>
          <w:sz w:val="22"/>
        </w:rPr>
        <w:t xml:space="preserve">Nemzetközi és hazai szakirodalom </w:t>
      </w:r>
    </w:p>
    <w:p w14:paraId="4ACA14A3" w14:textId="77777777" w:rsidR="003E184E" w:rsidRPr="00986F85" w:rsidRDefault="003E184E" w:rsidP="003E184E">
      <w:pPr>
        <w:numPr>
          <w:ilvl w:val="0"/>
          <w:numId w:val="14"/>
        </w:numPr>
        <w:snapToGrid w:val="0"/>
        <w:spacing w:after="0" w:line="360" w:lineRule="auto"/>
        <w:jc w:val="both"/>
        <w:rPr>
          <w:rFonts w:eastAsia="Times New Roman"/>
          <w:sz w:val="22"/>
        </w:rPr>
      </w:pPr>
      <w:r w:rsidRPr="00986F85">
        <w:rPr>
          <w:sz w:val="22"/>
        </w:rPr>
        <w:t>NAV-EMIR anonim vállalati szinten kapcsolt adatok, 2005-2011 (Kezelt adatbázis)</w:t>
      </w:r>
    </w:p>
    <w:p w14:paraId="458690AC" w14:textId="77777777" w:rsidR="003E184E" w:rsidRPr="00986F85" w:rsidRDefault="003E184E" w:rsidP="003E184E">
      <w:pPr>
        <w:numPr>
          <w:ilvl w:val="0"/>
          <w:numId w:val="14"/>
        </w:numPr>
        <w:snapToGrid w:val="0"/>
        <w:spacing w:after="0" w:line="360" w:lineRule="auto"/>
        <w:jc w:val="both"/>
        <w:rPr>
          <w:rFonts w:eastAsia="Times New Roman"/>
          <w:sz w:val="22"/>
        </w:rPr>
      </w:pPr>
      <w:r w:rsidRPr="00986F85">
        <w:rPr>
          <w:sz w:val="22"/>
        </w:rPr>
        <w:t xml:space="preserve">NAV vállalati mérlegadatok, </w:t>
      </w:r>
      <w:r w:rsidRPr="00986F85">
        <w:rPr>
          <w:rFonts w:eastAsia="Times New Roman"/>
          <w:sz w:val="22"/>
        </w:rPr>
        <w:t>2006-2011 (Kontroll adatbázis)</w:t>
      </w:r>
    </w:p>
    <w:p w14:paraId="5669000F" w14:textId="77777777" w:rsidR="003E184E" w:rsidRPr="00986F85" w:rsidRDefault="003E184E" w:rsidP="003E184E">
      <w:pPr>
        <w:numPr>
          <w:ilvl w:val="0"/>
          <w:numId w:val="14"/>
        </w:numPr>
        <w:spacing w:after="0" w:line="360" w:lineRule="auto"/>
        <w:jc w:val="both"/>
        <w:rPr>
          <w:sz w:val="22"/>
        </w:rPr>
      </w:pPr>
      <w:r w:rsidRPr="00986F85">
        <w:rPr>
          <w:sz w:val="22"/>
        </w:rPr>
        <w:t>Saját projekt dokumentáció, belső emlékeztetők</w:t>
      </w:r>
    </w:p>
    <w:p w14:paraId="153416AB" w14:textId="77777777" w:rsidR="003E184E" w:rsidRPr="00986F85" w:rsidRDefault="003E184E" w:rsidP="003E184E">
      <w:pPr>
        <w:spacing w:line="360" w:lineRule="auto"/>
        <w:jc w:val="both"/>
        <w:rPr>
          <w:sz w:val="22"/>
        </w:rPr>
      </w:pPr>
    </w:p>
    <w:p w14:paraId="0A566216" w14:textId="77777777" w:rsidR="003E184E" w:rsidRPr="00986F85" w:rsidRDefault="003E184E" w:rsidP="003E184E">
      <w:pPr>
        <w:spacing w:line="360" w:lineRule="auto"/>
        <w:jc w:val="both"/>
        <w:rPr>
          <w:sz w:val="22"/>
        </w:rPr>
      </w:pPr>
      <w:r w:rsidRPr="00986F85">
        <w:rPr>
          <w:sz w:val="22"/>
        </w:rPr>
        <w:t xml:space="preserve">A hatávizsgálat előkészítő fázisában, az előzetes egyeztetéseken jeleztük, hogy az érintett intézkedések teljes körére kiterjedő hatásvizsgálat szempontjából lényeges, hogy a vállalati adatbázisok tartalmazzák: </w:t>
      </w:r>
    </w:p>
    <w:p w14:paraId="2EFD8FCE" w14:textId="77777777" w:rsidR="003E184E" w:rsidRPr="00986F85" w:rsidRDefault="003E184E" w:rsidP="003E184E">
      <w:pPr>
        <w:numPr>
          <w:ilvl w:val="0"/>
          <w:numId w:val="14"/>
        </w:numPr>
        <w:spacing w:after="0" w:line="360" w:lineRule="auto"/>
        <w:jc w:val="both"/>
        <w:rPr>
          <w:sz w:val="22"/>
        </w:rPr>
      </w:pPr>
      <w:r w:rsidRPr="00986F85">
        <w:rPr>
          <w:sz w:val="22"/>
        </w:rPr>
        <w:t xml:space="preserve">a hazai vállalkozások teljes körű állományát </w:t>
      </w:r>
    </w:p>
    <w:p w14:paraId="508292F3" w14:textId="77777777" w:rsidR="003E184E" w:rsidRPr="00986F85" w:rsidRDefault="003E184E" w:rsidP="003E184E">
      <w:pPr>
        <w:numPr>
          <w:ilvl w:val="0"/>
          <w:numId w:val="14"/>
        </w:numPr>
        <w:spacing w:after="0" w:line="360" w:lineRule="auto"/>
        <w:jc w:val="both"/>
        <w:rPr>
          <w:sz w:val="22"/>
        </w:rPr>
      </w:pPr>
      <w:r w:rsidRPr="00986F85">
        <w:rPr>
          <w:sz w:val="22"/>
        </w:rPr>
        <w:lastRenderedPageBreak/>
        <w:t>mind a nyertes, mind a nem nyertes pályázókat</w:t>
      </w:r>
    </w:p>
    <w:p w14:paraId="3C4C4833" w14:textId="77777777" w:rsidR="003E184E" w:rsidRPr="00986F85" w:rsidRDefault="003E184E" w:rsidP="003E184E">
      <w:pPr>
        <w:numPr>
          <w:ilvl w:val="0"/>
          <w:numId w:val="14"/>
        </w:numPr>
        <w:spacing w:after="0" w:line="360" w:lineRule="auto"/>
        <w:jc w:val="both"/>
        <w:rPr>
          <w:sz w:val="22"/>
        </w:rPr>
      </w:pPr>
      <w:r w:rsidRPr="00986F85">
        <w:rPr>
          <w:sz w:val="22"/>
        </w:rPr>
        <w:t>az érintett vállalatok (min.kétszámjegyű mélységű) iparági besorolását</w:t>
      </w:r>
    </w:p>
    <w:p w14:paraId="557A90C9" w14:textId="77777777" w:rsidR="003E184E" w:rsidRPr="00986F85" w:rsidRDefault="003E184E" w:rsidP="003E184E">
      <w:pPr>
        <w:numPr>
          <w:ilvl w:val="0"/>
          <w:numId w:val="14"/>
        </w:numPr>
        <w:spacing w:after="0" w:line="360" w:lineRule="auto"/>
        <w:jc w:val="both"/>
        <w:rPr>
          <w:sz w:val="22"/>
        </w:rPr>
      </w:pPr>
      <w:r w:rsidRPr="00986F85">
        <w:rPr>
          <w:sz w:val="22"/>
        </w:rPr>
        <w:t>foglalkoztatotti létszámát</w:t>
      </w:r>
    </w:p>
    <w:p w14:paraId="5A115B11" w14:textId="77777777" w:rsidR="003E184E" w:rsidRPr="00986F85" w:rsidRDefault="003E184E" w:rsidP="003E184E">
      <w:pPr>
        <w:numPr>
          <w:ilvl w:val="0"/>
          <w:numId w:val="14"/>
        </w:numPr>
        <w:spacing w:after="0" w:line="360" w:lineRule="auto"/>
        <w:jc w:val="both"/>
        <w:rPr>
          <w:sz w:val="22"/>
        </w:rPr>
      </w:pPr>
      <w:r w:rsidRPr="00986F85">
        <w:rPr>
          <w:sz w:val="22"/>
        </w:rPr>
        <w:t>kistérségi besorolását (székhely szerint)</w:t>
      </w:r>
    </w:p>
    <w:p w14:paraId="66DF722A" w14:textId="77777777" w:rsidR="003E184E" w:rsidRPr="00986F85" w:rsidRDefault="003E184E" w:rsidP="003E184E">
      <w:pPr>
        <w:numPr>
          <w:ilvl w:val="0"/>
          <w:numId w:val="14"/>
        </w:numPr>
        <w:spacing w:after="0" w:line="360" w:lineRule="auto"/>
        <w:jc w:val="both"/>
        <w:rPr>
          <w:sz w:val="22"/>
        </w:rPr>
      </w:pPr>
      <w:r w:rsidRPr="00986F85">
        <w:rPr>
          <w:sz w:val="22"/>
        </w:rPr>
        <w:t xml:space="preserve">a vállalatok legfontosabb mérleg- és eredménykimutatás adatait (értékesítés, állóeszközök, adózás előtti és adózott eredmény, bér- és anyagköltség), továbbá </w:t>
      </w:r>
    </w:p>
    <w:p w14:paraId="252BB10B" w14:textId="77777777" w:rsidR="003E184E" w:rsidRPr="00986F85" w:rsidRDefault="003E184E" w:rsidP="0065153D">
      <w:pPr>
        <w:numPr>
          <w:ilvl w:val="0"/>
          <w:numId w:val="14"/>
        </w:numPr>
        <w:spacing w:after="0" w:line="360" w:lineRule="auto"/>
        <w:jc w:val="both"/>
        <w:rPr>
          <w:sz w:val="22"/>
        </w:rPr>
      </w:pPr>
      <w:r w:rsidRPr="00986F85">
        <w:rPr>
          <w:sz w:val="22"/>
        </w:rPr>
        <w:t>több évet a támogatás előtti időszakból is, lehetőleg 2005-ig, de ideális esetben 2002-ig visszamenően.</w:t>
      </w:r>
    </w:p>
    <w:p w14:paraId="1833A92C" w14:textId="77777777" w:rsidR="003E184E" w:rsidRPr="00986F85" w:rsidRDefault="003E184E" w:rsidP="0065153D">
      <w:pPr>
        <w:snapToGrid w:val="0"/>
        <w:spacing w:line="360" w:lineRule="auto"/>
        <w:jc w:val="both"/>
        <w:rPr>
          <w:sz w:val="22"/>
        </w:rPr>
      </w:pPr>
      <w:r w:rsidRPr="00986F85">
        <w:rPr>
          <w:sz w:val="22"/>
        </w:rPr>
        <w:t xml:space="preserve">A rendelkezésünkre bocsátott anonim, NAV vállalati adatbázis (kontroll adatbázis) a 2006-2011 között, folyamatos adóalanyként megjelenő, max. 99 főt foglalkoztató cégeket tartalmazta. Az adatok feltérképezése és az adattisztítás során kiszűrtünk néhány további, kritikus adathiányt, illetve adatproblémát. Ennek következtében a hatásbecslés szempontjából használható vállalati rekordok száma jelentősen csökkent (108148 cég), és amennyiben a vállalati mérlegadatok minősége és alacsony megbízhatósága okán az 5 főnél kevesebb főt foglalkoztató mikrovállalkozásokat is kiszűrtük (lásd vállalati mérlegadataik hiányossága és rossz minősége), tovább csökkent a hatásvizsgálatra alkalmas sokaság (15 453 vállalkozás). A rendelkezésünkre bocsátott kezelt adatbázis a 2005 és 2011 közötti időszakra tartalmazza a GOP, a KMOP és számos további OP nyertes pályázatainak, vállalati mérlegadatokkal összekapcsolt adatait (összesen: 24 436 cég).  </w:t>
      </w:r>
    </w:p>
    <w:p w14:paraId="10EDBCFA" w14:textId="77777777" w:rsidR="003E184E" w:rsidRPr="00986F85" w:rsidRDefault="003E184E" w:rsidP="003E184E">
      <w:pPr>
        <w:spacing w:line="360" w:lineRule="auto"/>
        <w:jc w:val="both"/>
        <w:rPr>
          <w:sz w:val="22"/>
        </w:rPr>
      </w:pPr>
      <w:r w:rsidRPr="00986F85">
        <w:rPr>
          <w:sz w:val="22"/>
        </w:rPr>
        <w:t xml:space="preserve">A Nemzeti Fejlesztési Ügynökséggel tartott konzultációkat követően,  a fenti adathiányosságok miatt az alábbi szűkítésekkel végeztük el elemzéseinket: </w:t>
      </w:r>
    </w:p>
    <w:p w14:paraId="0B777AF2" w14:textId="77777777" w:rsidR="003E184E" w:rsidRPr="00986F85" w:rsidRDefault="003E184E" w:rsidP="005678F2">
      <w:pPr>
        <w:numPr>
          <w:ilvl w:val="0"/>
          <w:numId w:val="14"/>
        </w:numPr>
        <w:spacing w:after="0" w:line="360" w:lineRule="auto"/>
        <w:jc w:val="both"/>
        <w:rPr>
          <w:rFonts w:cs="Times New Roman"/>
          <w:sz w:val="22"/>
        </w:rPr>
      </w:pPr>
      <w:r w:rsidRPr="00986F85">
        <w:rPr>
          <w:rFonts w:cs="Times New Roman"/>
          <w:sz w:val="22"/>
        </w:rPr>
        <w:t xml:space="preserve">Míg a szelekció vizsgálatát első körben a teljes, 2007-2011 közötti GOP 2.1.1. A nyertes körre, majd ugyanezen kezelteket kiegészítve a </w:t>
      </w:r>
      <w:r w:rsidR="002D79D5" w:rsidRPr="00986F85">
        <w:rPr>
          <w:rFonts w:cs="Times New Roman"/>
          <w:sz w:val="22"/>
        </w:rPr>
        <w:t xml:space="preserve">hozzájuk hasonló feltételekkel támogatást szerzett </w:t>
      </w:r>
      <w:r w:rsidRPr="00986F85">
        <w:rPr>
          <w:rFonts w:cs="Times New Roman"/>
          <w:sz w:val="22"/>
        </w:rPr>
        <w:t>KMOP 1.2.1. A nyertesei</w:t>
      </w:r>
      <w:r w:rsidR="002F6652" w:rsidRPr="00986F85">
        <w:rPr>
          <w:rFonts w:cs="Times New Roman"/>
          <w:sz w:val="22"/>
        </w:rPr>
        <w:t>vel</w:t>
      </w:r>
      <w:r w:rsidRPr="00986F85">
        <w:rPr>
          <w:rFonts w:cs="Times New Roman"/>
          <w:sz w:val="22"/>
        </w:rPr>
        <w:t>re futtatuk le. (A növekedési mutatók beszámítása végett, végeztünk még egy szűkebb körű vizsgálatot – lásd a 2007. évi nyertesek kiszűrésével a 2008-2011 időszak nyerteseire is, azonban ekkor már nem kaptunk szignifikáns eredményeket).</w:t>
      </w:r>
    </w:p>
    <w:p w14:paraId="01B44B44" w14:textId="0F7CDA28" w:rsidR="003E184E" w:rsidRPr="00986F85" w:rsidRDefault="003E184E" w:rsidP="005678F2">
      <w:pPr>
        <w:numPr>
          <w:ilvl w:val="0"/>
          <w:numId w:val="14"/>
        </w:numPr>
        <w:spacing w:after="0" w:line="360" w:lineRule="auto"/>
        <w:jc w:val="both"/>
        <w:rPr>
          <w:rFonts w:cs="Times New Roman"/>
          <w:sz w:val="22"/>
        </w:rPr>
      </w:pPr>
      <w:r w:rsidRPr="00986F85">
        <w:rPr>
          <w:rFonts w:cs="Times New Roman"/>
          <w:sz w:val="22"/>
        </w:rPr>
        <w:t>A kontroll-csoportos hatásvizsgálat csak az olyan, GOP 2.1.1. alatt támogatást kapott vállalkozások körére volt elvégezhető, melyek megfelelnek az alábbi három feltételnek: (1) támogatást nyert és utolsó kifizetését is megkapta 2009. végéig,</w:t>
      </w:r>
      <w:r w:rsidR="002D79D5" w:rsidRPr="00986F85">
        <w:rPr>
          <w:rFonts w:cs="Times New Roman"/>
          <w:sz w:val="22"/>
        </w:rPr>
        <w:t xml:space="preserve"> </w:t>
      </w:r>
      <w:r w:rsidR="00931FC8" w:rsidRPr="00986F85">
        <w:rPr>
          <w:rFonts w:cs="Times New Roman"/>
          <w:sz w:val="22"/>
        </w:rPr>
        <w:t>(2) pályázati adataik a hatásvizsgálat szempontjából hibátlanok,</w:t>
      </w:r>
      <w:r w:rsidRPr="00986F85">
        <w:rPr>
          <w:rFonts w:cs="Times New Roman"/>
          <w:sz w:val="22"/>
        </w:rPr>
        <w:t xml:space="preserve"> (</w:t>
      </w:r>
      <w:r w:rsidR="00931FC8" w:rsidRPr="00986F85">
        <w:rPr>
          <w:rFonts w:cs="Times New Roman"/>
          <w:sz w:val="22"/>
        </w:rPr>
        <w:t>3</w:t>
      </w:r>
      <w:r w:rsidRPr="00986F85">
        <w:rPr>
          <w:rFonts w:cs="Times New Roman"/>
          <w:sz w:val="22"/>
        </w:rPr>
        <w:t>) 100 fő alatti foglalkoztatotti létszámmal rendelkezik, (</w:t>
      </w:r>
      <w:r w:rsidR="00931FC8" w:rsidRPr="00986F85">
        <w:rPr>
          <w:rFonts w:cs="Times New Roman"/>
          <w:sz w:val="22"/>
        </w:rPr>
        <w:t>4</w:t>
      </w:r>
      <w:r w:rsidRPr="00986F85">
        <w:rPr>
          <w:rFonts w:cs="Times New Roman"/>
          <w:sz w:val="22"/>
        </w:rPr>
        <w:t xml:space="preserve">) fő mérlegadatai hiánytalanul elérhetőek. A program előrehaladása </w:t>
      </w:r>
      <w:r w:rsidRPr="00986F85">
        <w:rPr>
          <w:rFonts w:cs="Times New Roman"/>
          <w:sz w:val="22"/>
        </w:rPr>
        <w:lastRenderedPageBreak/>
        <w:t>(kifizetések és projektzárások gyorsasága)</w:t>
      </w:r>
      <w:r w:rsidR="00165A98" w:rsidRPr="00986F85">
        <w:rPr>
          <w:rFonts w:cs="Times New Roman"/>
          <w:sz w:val="22"/>
        </w:rPr>
        <w:t xml:space="preserve"> és</w:t>
      </w:r>
      <w:r w:rsidRPr="00986F85">
        <w:rPr>
          <w:rFonts w:cs="Times New Roman"/>
          <w:sz w:val="22"/>
        </w:rPr>
        <w:t xml:space="preserve"> a vállalati mérlegadatok elérhetősége egyértelműen korlátozta a kezelt sokaság számosságát. Ezek alapján a GOP 2.1.1. A és a KMOP 1.2.1. A konstrukciók nyertesei köz</w:t>
      </w:r>
      <w:r w:rsidR="00165A98" w:rsidRPr="00986F85">
        <w:rPr>
          <w:rFonts w:cs="Times New Roman"/>
          <w:sz w:val="22"/>
        </w:rPr>
        <w:t>ül</w:t>
      </w:r>
      <w:r w:rsidRPr="00986F85">
        <w:rPr>
          <w:rFonts w:cs="Times New Roman"/>
          <w:sz w:val="22"/>
        </w:rPr>
        <w:t xml:space="preserve"> is csak a 2007</w:t>
      </w:r>
      <w:r w:rsidR="0099407C" w:rsidRPr="00986F85">
        <w:rPr>
          <w:rFonts w:cs="Times New Roman"/>
          <w:sz w:val="22"/>
        </w:rPr>
        <w:t xml:space="preserve">-2009 között pályázatot nyert, </w:t>
      </w:r>
      <w:r w:rsidRPr="00986F85">
        <w:rPr>
          <w:rFonts w:cs="Times New Roman"/>
          <w:sz w:val="22"/>
        </w:rPr>
        <w:t xml:space="preserve"> projektjüket záró vállalkozások jöhettek számításba.</w:t>
      </w:r>
    </w:p>
    <w:p w14:paraId="7CB82FC3" w14:textId="77777777" w:rsidR="003E184E" w:rsidRPr="00986F85" w:rsidRDefault="003E184E" w:rsidP="005678F2">
      <w:pPr>
        <w:numPr>
          <w:ilvl w:val="0"/>
          <w:numId w:val="14"/>
        </w:numPr>
        <w:spacing w:after="0" w:line="360" w:lineRule="auto"/>
        <w:jc w:val="both"/>
        <w:rPr>
          <w:rFonts w:cs="Times New Roman"/>
          <w:sz w:val="22"/>
        </w:rPr>
      </w:pPr>
      <w:r w:rsidRPr="00986F85">
        <w:rPr>
          <w:rFonts w:cs="Times New Roman"/>
          <w:sz w:val="22"/>
        </w:rPr>
        <w:t xml:space="preserve">A pályázati szokások elemzése lefedi a 2007-2011 közötti GOP és KMOP nyertes vállalkozások teljes körét. </w:t>
      </w:r>
    </w:p>
    <w:p w14:paraId="410D57A9" w14:textId="77777777" w:rsidR="003E184E" w:rsidRPr="00986F85" w:rsidRDefault="003E184E" w:rsidP="003E184E">
      <w:pPr>
        <w:spacing w:line="360" w:lineRule="auto"/>
        <w:jc w:val="both"/>
        <w:rPr>
          <w:rFonts w:eastAsia="Liberation Serif;Times New Roma"/>
          <w:sz w:val="22"/>
        </w:rPr>
      </w:pPr>
      <w:r w:rsidRPr="00986F85">
        <w:rPr>
          <w:rFonts w:eastAsia="Liberation Serif;Times New Roma"/>
          <w:sz w:val="22"/>
        </w:rPr>
        <w:t xml:space="preserve">A következőkben az elemzéseink eredményeit mutatjuk be az egyes értékelési kérdéseink mentén. </w:t>
      </w:r>
    </w:p>
    <w:p w14:paraId="37E8B6B3" w14:textId="77777777" w:rsidR="003E184E" w:rsidRPr="00986F85" w:rsidRDefault="003E184E" w:rsidP="003E184E">
      <w:pPr>
        <w:spacing w:line="360" w:lineRule="auto"/>
        <w:jc w:val="both"/>
        <w:rPr>
          <w:b/>
          <w:i/>
          <w:sz w:val="22"/>
        </w:rPr>
      </w:pPr>
      <w:r w:rsidRPr="00986F85">
        <w:rPr>
          <w:b/>
          <w:i/>
          <w:sz w:val="22"/>
        </w:rPr>
        <w:t>Mi jellemzi a hazai vállalkozások teljesíményét és foglalkoztatási potenciálját a vizsgálat időszakban (2006-2011) – a rendelkezésünkre bocsátott kontroll adatbázis alapján?</w:t>
      </w:r>
    </w:p>
    <w:p w14:paraId="75B5D5BA" w14:textId="43C9F6BD" w:rsidR="003E184E" w:rsidRPr="00986F85" w:rsidRDefault="003E184E" w:rsidP="003E184E">
      <w:pPr>
        <w:spacing w:line="360" w:lineRule="auto"/>
        <w:jc w:val="both"/>
        <w:rPr>
          <w:sz w:val="22"/>
        </w:rPr>
      </w:pPr>
      <w:r w:rsidRPr="00986F85">
        <w:rPr>
          <w:sz w:val="22"/>
        </w:rPr>
        <w:t>A mintában elérhető vállalatok területi eloszlása igen torzított Közép</w:t>
      </w:r>
      <w:r w:rsidR="002D79D5" w:rsidRPr="00986F85">
        <w:rPr>
          <w:rFonts w:cs="Times New Roman"/>
          <w:sz w:val="22"/>
        </w:rPr>
        <w:t>-</w:t>
      </w:r>
      <w:r w:rsidRPr="00986F85">
        <w:rPr>
          <w:sz w:val="22"/>
        </w:rPr>
        <w:t xml:space="preserve">Magyarország irányába. A vállalatok közel fele (47.7%) találáható a központi régióban, míg a konvergencia régiók között közel egyenletes az eloszlás. Ez a regionális megoszlás nem változott érdemben a vizsgált időszakban (2006-2011). Mint várható volt, igen alacsony az LHH térségekben található vállalkozások aránya (5%), és e tekintetben sincs jelentős változás a vizsgált időszakban. </w:t>
      </w:r>
    </w:p>
    <w:p w14:paraId="5BD54591" w14:textId="77777777" w:rsidR="003E184E" w:rsidRPr="00986F85" w:rsidRDefault="003E184E" w:rsidP="003E184E">
      <w:pPr>
        <w:pStyle w:val="Szvegtrzs"/>
        <w:spacing w:after="0" w:line="360" w:lineRule="auto"/>
        <w:jc w:val="both"/>
        <w:rPr>
          <w:rFonts w:cs="Times New Roman"/>
          <w:noProof/>
          <w:sz w:val="22"/>
          <w:lang w:eastAsia="en-US"/>
        </w:rPr>
      </w:pPr>
      <w:r w:rsidRPr="00986F85">
        <w:rPr>
          <w:rFonts w:cs="Times New Roman"/>
          <w:noProof/>
          <w:sz w:val="22"/>
          <w:lang w:eastAsia="en-US"/>
        </w:rPr>
        <w:t xml:space="preserve">A cégek döntő többsége (60%) négy iparágban tevékenykedik: kereskedelem és gépjárműjavítás áll az első helyen (27%), ezt követik a szakmai, tudományos, műszaki (12,4%), a feldolgozóipari (11%), valamint építőipari vállalkozások (9%). </w:t>
      </w:r>
    </w:p>
    <w:p w14:paraId="1FDAB567" w14:textId="77777777" w:rsidR="00C260CD" w:rsidRPr="00986F85" w:rsidRDefault="00C260CD" w:rsidP="003E184E">
      <w:pPr>
        <w:pStyle w:val="Szvegtrzs"/>
        <w:spacing w:after="0" w:line="360" w:lineRule="auto"/>
        <w:jc w:val="both"/>
        <w:rPr>
          <w:rFonts w:cs="Times New Roman"/>
          <w:noProof/>
          <w:sz w:val="22"/>
          <w:lang w:eastAsia="en-US"/>
        </w:rPr>
      </w:pPr>
    </w:p>
    <w:p w14:paraId="246DEF36" w14:textId="77777777" w:rsidR="003E184E" w:rsidRPr="00986F85" w:rsidRDefault="003E184E" w:rsidP="003E184E">
      <w:pPr>
        <w:pStyle w:val="Szvegtrzs"/>
        <w:spacing w:after="0" w:line="360" w:lineRule="auto"/>
        <w:jc w:val="both"/>
        <w:rPr>
          <w:rFonts w:cs="Times New Roman"/>
          <w:sz w:val="22"/>
        </w:rPr>
      </w:pPr>
      <w:r w:rsidRPr="00986F85">
        <w:rPr>
          <w:rFonts w:cs="Times New Roman"/>
          <w:noProof/>
          <w:sz w:val="22"/>
          <w:lang w:eastAsia="en-US"/>
        </w:rPr>
        <w:t>I</w:t>
      </w:r>
      <w:r w:rsidRPr="00986F85">
        <w:rPr>
          <w:rFonts w:cs="Times New Roman"/>
          <w:sz w:val="22"/>
        </w:rPr>
        <w:t>gen alacsony azon vállalatok száma, melyek export-orientált tevékenységet végeznek. Leginkább a keredkedelmi, feldolgozóipari, építőipari, valamint szállítási-raktározási, és szakmai, tudományos tevékenységet végző cégek körében számottevő az árbevételük legalább 3 százalékát export-tevékenységből származó árbevétellel rendelkező cégek aránya.</w:t>
      </w:r>
    </w:p>
    <w:p w14:paraId="287EA656" w14:textId="77777777" w:rsidR="00C260CD" w:rsidRPr="00986F85" w:rsidRDefault="00C260CD" w:rsidP="003E184E">
      <w:pPr>
        <w:pStyle w:val="Szvegtrzs"/>
        <w:spacing w:after="0" w:line="360" w:lineRule="auto"/>
        <w:jc w:val="both"/>
        <w:rPr>
          <w:rFonts w:cs="Times New Roman"/>
          <w:sz w:val="22"/>
        </w:rPr>
      </w:pPr>
    </w:p>
    <w:p w14:paraId="1DC0022B" w14:textId="11F49936" w:rsidR="003E184E" w:rsidRPr="00986F85" w:rsidRDefault="003E184E" w:rsidP="003E184E">
      <w:pPr>
        <w:pStyle w:val="Szvegtrzs"/>
        <w:spacing w:after="0" w:line="360" w:lineRule="auto"/>
        <w:jc w:val="both"/>
        <w:rPr>
          <w:rFonts w:cs="Times New Roman"/>
          <w:noProof/>
          <w:sz w:val="22"/>
          <w:lang w:eastAsia="en-US"/>
        </w:rPr>
      </w:pPr>
      <w:r w:rsidRPr="00986F85">
        <w:rPr>
          <w:rFonts w:cs="Times New Roman"/>
          <w:noProof/>
          <w:sz w:val="22"/>
          <w:lang w:eastAsia="en-US"/>
        </w:rPr>
        <w:t>A vállalati állományt a max. 5 fővel rendelkező vállalkozások dominálják, a vizsgált időszak ebben sem mutat érdemi változást. A mikrovállalkozások aránya 80% körül mozog, ami a hatásvizsgálat esetében igen leszűkíti a megfelelő kontrollpárok kiválasztásának lehetőségét olyan intézkedések esetében, melyeknek ez a vállalati csoport nem kifejezetten a célcsoportja (lásd GOP2.1.1. B és C konstrukció).</w:t>
      </w:r>
    </w:p>
    <w:p w14:paraId="6A1FE5B0" w14:textId="77777777" w:rsidR="00C260CD" w:rsidRPr="00986F85" w:rsidRDefault="00C260CD" w:rsidP="003E184E">
      <w:pPr>
        <w:pStyle w:val="Szvegtrzs"/>
        <w:spacing w:after="0" w:line="360" w:lineRule="auto"/>
        <w:jc w:val="both"/>
        <w:rPr>
          <w:rFonts w:cs="Times New Roman"/>
          <w:noProof/>
          <w:sz w:val="22"/>
          <w:lang w:eastAsia="en-US"/>
        </w:rPr>
      </w:pPr>
    </w:p>
    <w:p w14:paraId="64BB885F" w14:textId="12EC585D" w:rsidR="003E184E" w:rsidRPr="00986F85" w:rsidRDefault="003E184E" w:rsidP="003E184E">
      <w:pPr>
        <w:spacing w:line="360" w:lineRule="auto"/>
        <w:jc w:val="both"/>
        <w:rPr>
          <w:sz w:val="22"/>
        </w:rPr>
      </w:pPr>
      <w:r w:rsidRPr="00986F85">
        <w:rPr>
          <w:sz w:val="22"/>
        </w:rPr>
        <w:t xml:space="preserve">A vállalati eredménymutatók nagyon nagy szóródást mutatnak, így minden átfogó megállapítás óvatosággal kezelendő. Mindenesetre érdekes megfigyelni, hogy a minta reprezentatív vállalata </w:t>
      </w:r>
      <w:r w:rsidRPr="00986F85">
        <w:rPr>
          <w:sz w:val="22"/>
        </w:rPr>
        <w:lastRenderedPageBreak/>
        <w:t>(azaz a</w:t>
      </w:r>
      <w:r w:rsidR="000F11FF" w:rsidRPr="00986F85">
        <w:rPr>
          <w:sz w:val="22"/>
        </w:rPr>
        <w:t>z egyes vállalati mutatók</w:t>
      </w:r>
      <w:r w:rsidRPr="00986F85">
        <w:rPr>
          <w:sz w:val="22"/>
        </w:rPr>
        <w:t xml:space="preserve"> </w:t>
      </w:r>
      <w:r w:rsidR="000F11FF" w:rsidRPr="00986F85">
        <w:rPr>
          <w:sz w:val="22"/>
        </w:rPr>
        <w:t>változásának mediánjával jellemezhető</w:t>
      </w:r>
      <w:r w:rsidRPr="00986F85">
        <w:rPr>
          <w:sz w:val="22"/>
        </w:rPr>
        <w:t xml:space="preserve">) esetében 2006 és 2011 közötti időszakban csökkent a foglalkoztatotti létszám (-20%), a nettó árbevétel, a tárgyi eszköz állomány (-13,4%), és romlott az üzemi eredmény, a hozzáadott érték, illetve a nyereségesség, amellett, hogy javult a likviditás, és </w:t>
      </w:r>
      <w:r w:rsidR="000F11FF" w:rsidRPr="00986F85">
        <w:rPr>
          <w:sz w:val="22"/>
        </w:rPr>
        <w:t xml:space="preserve">a </w:t>
      </w:r>
      <w:r w:rsidRPr="00986F85">
        <w:rPr>
          <w:sz w:val="22"/>
        </w:rPr>
        <w:t xml:space="preserve">foglalkoztatotti létszám erőteljes </w:t>
      </w:r>
      <w:r w:rsidR="009338E0" w:rsidRPr="00986F85">
        <w:rPr>
          <w:sz w:val="22"/>
        </w:rPr>
        <w:t xml:space="preserve">csökkenése </w:t>
      </w:r>
      <w:r w:rsidRPr="00986F85">
        <w:rPr>
          <w:sz w:val="22"/>
        </w:rPr>
        <w:t xml:space="preserve">miatt is javult néhány hatékonysági mutató (pl. egy foglalkoztatottra eső árbevétel, tőkeintenzitás, egy foglalkoztatottra eső hozzáadott érték. </w:t>
      </w:r>
    </w:p>
    <w:p w14:paraId="096B92E2" w14:textId="1006AC59" w:rsidR="003E184E" w:rsidRPr="00986F85" w:rsidRDefault="003E184E" w:rsidP="003E184E">
      <w:pPr>
        <w:spacing w:line="360" w:lineRule="auto"/>
        <w:jc w:val="both"/>
        <w:rPr>
          <w:sz w:val="22"/>
        </w:rPr>
      </w:pPr>
      <w:r w:rsidRPr="00986F85">
        <w:rPr>
          <w:sz w:val="22"/>
        </w:rPr>
        <w:t xml:space="preserve">Fontos megjegyezni, hogy mindez persze nem </w:t>
      </w:r>
      <w:r w:rsidR="00F26F30" w:rsidRPr="00986F85">
        <w:rPr>
          <w:sz w:val="22"/>
        </w:rPr>
        <w:t xml:space="preserve">tükrözi </w:t>
      </w:r>
      <w:r w:rsidRPr="00986F85">
        <w:rPr>
          <w:sz w:val="22"/>
        </w:rPr>
        <w:t>a vállalatok heterogenitását – adódjon az területi, iparági különbségekből, vagy éppen vállalatméret és –típus (pl. export-orientált vállalat) okán.</w:t>
      </w:r>
    </w:p>
    <w:p w14:paraId="7EEEB0EE" w14:textId="77777777" w:rsidR="003E184E" w:rsidRPr="00986F85" w:rsidRDefault="003E184E" w:rsidP="003E184E">
      <w:pPr>
        <w:spacing w:line="360" w:lineRule="auto"/>
        <w:jc w:val="both"/>
        <w:rPr>
          <w:b/>
          <w:i/>
          <w:sz w:val="22"/>
        </w:rPr>
      </w:pPr>
      <w:r w:rsidRPr="00986F85">
        <w:rPr>
          <w:b/>
          <w:i/>
          <w:sz w:val="22"/>
        </w:rPr>
        <w:t>Megfigyelhető-e törés a vállalati eredménymutatókban és a foglalkoztatásban a 2008-as gazdasági válságot követően?</w:t>
      </w:r>
    </w:p>
    <w:p w14:paraId="26068995" w14:textId="77777777" w:rsidR="003E184E" w:rsidRPr="00986F85" w:rsidRDefault="003E184E" w:rsidP="003E184E">
      <w:pPr>
        <w:spacing w:line="360" w:lineRule="auto"/>
        <w:jc w:val="both"/>
        <w:rPr>
          <w:sz w:val="22"/>
        </w:rPr>
      </w:pPr>
      <w:r w:rsidRPr="00986F85">
        <w:rPr>
          <w:sz w:val="22"/>
        </w:rPr>
        <w:t>A 2008-at követően egyértelműen kimutatható a vállalati szektor visszaesése, és a válság nyomán minden iparágban romlottak a növekedési esélyek, illetve nem akadt olyan magyarországi térség, amely kibújhatott volna ezen következmények alól. Ugyanakkor, a „fiatalabb” vállalatok relatíve stabilabban vészelték-e át a válságot.</w:t>
      </w:r>
    </w:p>
    <w:p w14:paraId="63D8DAFD" w14:textId="77777777" w:rsidR="003E184E" w:rsidRPr="00986F85" w:rsidRDefault="003E184E" w:rsidP="003E184E">
      <w:pPr>
        <w:spacing w:line="360" w:lineRule="auto"/>
        <w:jc w:val="both"/>
        <w:rPr>
          <w:b/>
          <w:i/>
          <w:sz w:val="22"/>
        </w:rPr>
      </w:pPr>
      <w:r w:rsidRPr="00986F85">
        <w:rPr>
          <w:b/>
          <w:i/>
          <w:sz w:val="22"/>
        </w:rPr>
        <w:t>Mi jellemzi a 2007 és 2011 közötti, nyertes pályázó vállalkozásokat?</w:t>
      </w:r>
    </w:p>
    <w:p w14:paraId="11560F27" w14:textId="28583A8D" w:rsidR="003E184E" w:rsidRPr="00986F85" w:rsidRDefault="003E184E" w:rsidP="003E184E">
      <w:pPr>
        <w:spacing w:line="360" w:lineRule="auto"/>
        <w:jc w:val="both"/>
        <w:rPr>
          <w:sz w:val="22"/>
        </w:rPr>
      </w:pPr>
      <w:r w:rsidRPr="00986F85">
        <w:rPr>
          <w:sz w:val="22"/>
        </w:rPr>
        <w:t>Pályázat függőségnek nevezzük azt, amikor egy vállalkozás nyertes támogatását és fejlesztési projektjének lezárását követően ismétlődően és rendszeresen pályázik, illetve további támogatást</w:t>
      </w:r>
      <w:r w:rsidR="004F7138" w:rsidRPr="00986F85">
        <w:rPr>
          <w:sz w:val="22"/>
        </w:rPr>
        <w:t xml:space="preserve"> nyer</w:t>
      </w:r>
      <w:r w:rsidRPr="00986F85">
        <w:rPr>
          <w:sz w:val="22"/>
        </w:rPr>
        <w:t>. A minimum egyszer újrapályázó cégek aránya kiugróan magas a GOP-2.1.1. B és C konstrukciók esetében (55%), és a GOP átlagnál jóval alacsonyabb a KMOP kiírások esetében (23%). A GOP támogatásoktól való függőség legkevésbé valószínűsíthető a GOP 2.1.1. M kon</w:t>
      </w:r>
      <w:r w:rsidR="004F7138" w:rsidRPr="00986F85">
        <w:rPr>
          <w:sz w:val="22"/>
        </w:rPr>
        <w:t>s</w:t>
      </w:r>
      <w:r w:rsidRPr="00986F85">
        <w:rPr>
          <w:sz w:val="22"/>
        </w:rPr>
        <w:t xml:space="preserve">trukció nyertesei körében.  </w:t>
      </w:r>
    </w:p>
    <w:p w14:paraId="2D900C95" w14:textId="77777777" w:rsidR="003E184E" w:rsidRPr="00986F85" w:rsidRDefault="003E184E" w:rsidP="00982A4E">
      <w:pPr>
        <w:pStyle w:val="Szvegtrzs"/>
        <w:spacing w:after="0" w:line="360" w:lineRule="auto"/>
        <w:jc w:val="both"/>
        <w:rPr>
          <w:rFonts w:cs="Times New Roman"/>
          <w:sz w:val="22"/>
        </w:rPr>
      </w:pPr>
      <w:r w:rsidRPr="00986F85">
        <w:rPr>
          <w:rFonts w:cs="Times New Roman"/>
          <w:sz w:val="22"/>
        </w:rPr>
        <w:t>A GOP 2.1.1. A konstrukció nyertesei között 1274 olyan cég van (38%), mely egynél több; 115 olyan cég található (1%), mely akár háromnál több sikeres pályázattal rendelkezik.  Az A konstrukció alatt nyertes cégek 71 százaléka nyert csak egy pályázatot a beavatkozás keretében, és emellett igen magas azon cégek száma / aránya, melyek csak a GOP 2.1.1. A keretében pályáztak és nyertek (összesen: 4225 cég, ami a teljes nyertes létszám 95 százaléka).</w:t>
      </w:r>
      <w:r w:rsidR="00982A4E" w:rsidRPr="00986F85">
        <w:rPr>
          <w:rFonts w:cs="Times New Roman"/>
          <w:sz w:val="22"/>
        </w:rPr>
        <w:t xml:space="preserve"> </w:t>
      </w:r>
      <w:r w:rsidRPr="00986F85">
        <w:rPr>
          <w:sz w:val="22"/>
        </w:rPr>
        <w:t xml:space="preserve">Továbbá, a GOP 2.1.1. A nyertesek körében nem jellemző a más operatív programok alatti pályázás. A GOP kiírások alatt sikerrel szereplő cégek között legtöbben egyes regionális operatív programokban (107 cég), illetve a KEOP-ban (14 cég) kaptak még támogatást. </w:t>
      </w:r>
    </w:p>
    <w:p w14:paraId="0A3F7990" w14:textId="77777777" w:rsidR="002846ED" w:rsidRPr="00986F85" w:rsidRDefault="002846ED" w:rsidP="00982A4E">
      <w:pPr>
        <w:pStyle w:val="Szvegtrzs"/>
        <w:spacing w:after="0" w:line="360" w:lineRule="auto"/>
        <w:jc w:val="both"/>
        <w:rPr>
          <w:rFonts w:cs="Times New Roman"/>
          <w:sz w:val="22"/>
        </w:rPr>
      </w:pPr>
    </w:p>
    <w:p w14:paraId="40273D17" w14:textId="77777777" w:rsidR="003E184E" w:rsidRPr="00986F85" w:rsidRDefault="003E184E" w:rsidP="003E184E">
      <w:pPr>
        <w:spacing w:line="360" w:lineRule="auto"/>
        <w:jc w:val="both"/>
        <w:rPr>
          <w:sz w:val="22"/>
        </w:rPr>
      </w:pPr>
      <w:r w:rsidRPr="00986F85">
        <w:rPr>
          <w:sz w:val="22"/>
        </w:rPr>
        <w:t>Vizsgálni terveztük a halmozottan nyertes pályázó cégek vállalati jellemzőit. A vállalati mérlegadatokat is tartalmazó, összekapcsolt EMIR-NAV adatbázis hiányosságai azonban nem te</w:t>
      </w:r>
      <w:r w:rsidR="002846ED" w:rsidRPr="00986F85">
        <w:rPr>
          <w:rFonts w:cs="Times New Roman"/>
          <w:sz w:val="22"/>
        </w:rPr>
        <w:t xml:space="preserve">tték </w:t>
      </w:r>
      <w:r w:rsidRPr="00986F85">
        <w:rPr>
          <w:sz w:val="22"/>
        </w:rPr>
        <w:t>lehetővé a halmozottan pályázók vállalati ismérveinek mélyebb elemzését, ennek pótlása jövőbeni elemzés feladata (</w:t>
      </w:r>
      <w:r w:rsidRPr="00986F85">
        <w:rPr>
          <w:i/>
          <w:sz w:val="22"/>
        </w:rPr>
        <w:t xml:space="preserve">ex post </w:t>
      </w:r>
      <w:r w:rsidRPr="00986F85">
        <w:rPr>
          <w:sz w:val="22"/>
        </w:rPr>
        <w:t>hatásvizsgálat!)</w:t>
      </w:r>
    </w:p>
    <w:p w14:paraId="3C5F628A" w14:textId="77777777" w:rsidR="003E184E" w:rsidRPr="00986F85" w:rsidRDefault="003E184E" w:rsidP="003E184E">
      <w:pPr>
        <w:spacing w:line="360" w:lineRule="auto"/>
        <w:jc w:val="both"/>
        <w:rPr>
          <w:sz w:val="22"/>
        </w:rPr>
      </w:pPr>
      <w:r w:rsidRPr="00986F85">
        <w:rPr>
          <w:sz w:val="22"/>
        </w:rPr>
        <w:t>A GOP 2.1.1. nyertesek regionális megoszlása nem mutat nagy szóródást, azonban az LHH kistérségekben található nyertes cégek aránya elenyésző a GOP2.1.1. B és C, és 10 százalékot közelíti a GOP2.1.1. A konstrukció esetében, mely majd duplája a kontroll sokaságban megfigyelhető arányhoz képest. A KMOP nyertesei között nem található olyan vállalkozás, mely leghátrányosabb helyzetű kistérségben működne.</w:t>
      </w:r>
    </w:p>
    <w:p w14:paraId="3254110A" w14:textId="77777777" w:rsidR="003E184E" w:rsidRPr="00986F85" w:rsidRDefault="003E184E" w:rsidP="003E184E">
      <w:pPr>
        <w:spacing w:line="360" w:lineRule="auto"/>
        <w:jc w:val="both"/>
        <w:rPr>
          <w:sz w:val="22"/>
        </w:rPr>
      </w:pPr>
      <w:r w:rsidRPr="00986F85">
        <w:rPr>
          <w:sz w:val="22"/>
        </w:rPr>
        <w:t>A GOP</w:t>
      </w:r>
      <w:r w:rsidR="00656B5E" w:rsidRPr="00986F85">
        <w:rPr>
          <w:sz w:val="22"/>
        </w:rPr>
        <w:t xml:space="preserve"> </w:t>
      </w:r>
      <w:r w:rsidRPr="00986F85">
        <w:rPr>
          <w:sz w:val="22"/>
        </w:rPr>
        <w:t>2.1.1.A nyertesek többsége a kereskedelmi és feldolgozóipari szektorban tevékenykedik (ca. 52% az A és 71% a B és C konstrukcióknál). Ezt követi az egyéb ipari ágazathoz (kiemelten, az építőiparhoz) sorolt cégek aránya. Ez az eloszlás eltér a kontroll adatbázis ágazati mintázatától. A KMOP-ban ugyanez az eloszlás figyelhető meg, azzal a kiegészítéssel, hogy meghaladja a 10 százalékot a szakmai, tudományos és műszaki tevékenységeket végző cégek körébe sorolt nyertesek aránya.</w:t>
      </w:r>
    </w:p>
    <w:p w14:paraId="5E1E7C5B" w14:textId="77777777" w:rsidR="003E184E" w:rsidRPr="00986F85" w:rsidRDefault="003E184E" w:rsidP="003E184E">
      <w:pPr>
        <w:spacing w:line="360" w:lineRule="auto"/>
        <w:jc w:val="both"/>
        <w:rPr>
          <w:b/>
          <w:i/>
          <w:sz w:val="22"/>
        </w:rPr>
      </w:pPr>
      <w:r w:rsidRPr="00986F85">
        <w:rPr>
          <w:b/>
          <w:i/>
          <w:sz w:val="22"/>
        </w:rPr>
        <w:t>Milyen</w:t>
      </w:r>
      <w:r w:rsidRPr="00986F85">
        <w:rPr>
          <w:rFonts w:eastAsia="Times New Roman"/>
          <w:b/>
          <w:i/>
          <w:sz w:val="22"/>
        </w:rPr>
        <w:t xml:space="preserve"> </w:t>
      </w:r>
      <w:r w:rsidRPr="00986F85">
        <w:rPr>
          <w:b/>
          <w:i/>
          <w:sz w:val="22"/>
        </w:rPr>
        <w:t>eredményekre</w:t>
      </w:r>
      <w:r w:rsidRPr="00986F85">
        <w:rPr>
          <w:rFonts w:eastAsia="Times New Roman"/>
          <w:b/>
          <w:i/>
          <w:sz w:val="22"/>
        </w:rPr>
        <w:t xml:space="preserve"> </w:t>
      </w:r>
      <w:r w:rsidRPr="00986F85">
        <w:rPr>
          <w:b/>
          <w:i/>
          <w:sz w:val="22"/>
        </w:rPr>
        <w:t>vezetett</w:t>
      </w:r>
      <w:r w:rsidRPr="00986F85">
        <w:rPr>
          <w:rFonts w:eastAsia="Times New Roman"/>
          <w:b/>
          <w:i/>
          <w:sz w:val="22"/>
        </w:rPr>
        <w:t xml:space="preserve"> </w:t>
      </w:r>
      <w:r w:rsidRPr="00986F85">
        <w:rPr>
          <w:b/>
          <w:i/>
          <w:sz w:val="22"/>
        </w:rPr>
        <w:t>az</w:t>
      </w:r>
      <w:r w:rsidRPr="00986F85">
        <w:rPr>
          <w:rFonts w:eastAsia="Times New Roman"/>
          <w:b/>
          <w:i/>
          <w:sz w:val="22"/>
        </w:rPr>
        <w:t xml:space="preserve"> </w:t>
      </w:r>
      <w:r w:rsidRPr="00986F85">
        <w:rPr>
          <w:b/>
          <w:i/>
          <w:sz w:val="22"/>
        </w:rPr>
        <w:t>intézkedés? Mi volt a támogatás hatása a nyertes vállalkozások esetében?</w:t>
      </w:r>
    </w:p>
    <w:p w14:paraId="52959316" w14:textId="77777777" w:rsidR="003E184E" w:rsidRPr="00986F85" w:rsidRDefault="003E184E" w:rsidP="003E184E">
      <w:pPr>
        <w:snapToGrid w:val="0"/>
        <w:spacing w:line="360" w:lineRule="auto"/>
        <w:jc w:val="both"/>
        <w:rPr>
          <w:rFonts w:eastAsia="MS Mincho"/>
          <w:sz w:val="22"/>
          <w:lang w:val="en-US" w:eastAsia="ja-JP"/>
        </w:rPr>
      </w:pPr>
      <w:r w:rsidRPr="00986F85">
        <w:rPr>
          <w:b/>
          <w:i/>
          <w:sz w:val="22"/>
        </w:rPr>
        <w:t xml:space="preserve">Szelekció: </w:t>
      </w:r>
      <w:r w:rsidRPr="00986F85">
        <w:rPr>
          <w:rFonts w:eastAsia="MS Mincho"/>
          <w:sz w:val="22"/>
          <w:lang w:eastAsia="ja-JP"/>
        </w:rPr>
        <w:t xml:space="preserve">Becslési eredményeink alapján elmondható, hogy </w:t>
      </w:r>
      <w:r w:rsidRPr="00986F85">
        <w:rPr>
          <w:rFonts w:eastAsia="MS Mincho"/>
          <w:sz w:val="22"/>
          <w:lang w:val="en-US" w:eastAsia="ja-JP"/>
        </w:rPr>
        <w:t xml:space="preserve">minél fiatalabb, </w:t>
      </w:r>
      <w:r w:rsidRPr="00986F85">
        <w:rPr>
          <w:rFonts w:eastAsia="MS Mincho" w:cs="Myriad Pro"/>
          <w:sz w:val="22"/>
          <w:lang w:val="en-US" w:eastAsia="ja-JP"/>
        </w:rPr>
        <w:t xml:space="preserve">nagyobb tárgyi eszközállománnyal </w:t>
      </w:r>
      <w:r w:rsidRPr="00986F85">
        <w:rPr>
          <w:rFonts w:eastAsia="MS Mincho"/>
          <w:sz w:val="22"/>
          <w:lang w:val="en-US" w:eastAsia="ja-JP"/>
        </w:rPr>
        <w:t xml:space="preserve">és árbevétellel </w:t>
      </w:r>
      <w:r w:rsidRPr="00986F85">
        <w:rPr>
          <w:rFonts w:eastAsia="MS Mincho" w:cs="Myriad Pro"/>
          <w:sz w:val="22"/>
          <w:lang w:val="en-US" w:eastAsia="ja-JP"/>
        </w:rPr>
        <w:t>bíró,</w:t>
      </w:r>
      <w:r w:rsidRPr="00986F85">
        <w:rPr>
          <w:rFonts w:eastAsia="MS Mincho"/>
          <w:sz w:val="22"/>
          <w:lang w:val="en-US" w:eastAsia="ja-JP"/>
        </w:rPr>
        <w:t xml:space="preserve"> ám </w:t>
      </w:r>
      <w:r w:rsidRPr="00986F85">
        <w:rPr>
          <w:rFonts w:eastAsia="MS Mincho" w:cs="Myriad Pro"/>
          <w:sz w:val="22"/>
          <w:lang w:val="en-US" w:eastAsia="ja-JP"/>
        </w:rPr>
        <w:t>kevésbé likvid</w:t>
      </w:r>
      <w:r w:rsidRPr="00986F85">
        <w:rPr>
          <w:rFonts w:eastAsia="MS Mincho"/>
          <w:sz w:val="22"/>
          <w:lang w:val="en-US" w:eastAsia="ja-JP"/>
        </w:rPr>
        <w:t xml:space="preserve"> </w:t>
      </w:r>
      <w:r w:rsidRPr="00986F85">
        <w:rPr>
          <w:rFonts w:eastAsia="MS Mincho" w:cs="Myriad Pro"/>
          <w:sz w:val="22"/>
          <w:lang w:val="en-US" w:eastAsia="ja-JP"/>
        </w:rPr>
        <w:t>és</w:t>
      </w:r>
      <w:r w:rsidRPr="00986F85">
        <w:rPr>
          <w:rFonts w:eastAsia="MS Mincho"/>
          <w:sz w:val="22"/>
          <w:lang w:val="en-US" w:eastAsia="ja-JP"/>
        </w:rPr>
        <w:t xml:space="preserve"> tőkeintenzív, illetve</w:t>
      </w:r>
      <w:r w:rsidRPr="00986F85">
        <w:rPr>
          <w:rFonts w:eastAsia="MS Mincho" w:cs="Myriad Pro"/>
          <w:sz w:val="22"/>
          <w:lang w:val="en-US" w:eastAsia="ja-JP"/>
        </w:rPr>
        <w:t xml:space="preserve"> kisebb hozzáadott értéket állít elő</w:t>
      </w:r>
      <w:r w:rsidRPr="00986F85">
        <w:rPr>
          <w:rFonts w:eastAsia="MS Mincho"/>
          <w:sz w:val="22"/>
          <w:lang w:val="en-US" w:eastAsia="ja-JP"/>
        </w:rPr>
        <w:t xml:space="preserve"> egy-egy pályázó </w:t>
      </w:r>
      <w:r w:rsidRPr="00986F85">
        <w:rPr>
          <w:rFonts w:eastAsia="MS Mincho" w:cs="Myriad Pro"/>
          <w:sz w:val="22"/>
          <w:lang w:val="en-US" w:eastAsia="ja-JP"/>
        </w:rPr>
        <w:t xml:space="preserve">vállalat, </w:t>
      </w:r>
      <w:r w:rsidR="002D79D5" w:rsidRPr="00986F85">
        <w:rPr>
          <w:rFonts w:eastAsia="MS Mincho" w:cs="Times New Roman"/>
          <w:i/>
          <w:sz w:val="22"/>
          <w:lang w:val="en-US" w:eastAsia="ja-JP"/>
        </w:rPr>
        <w:t xml:space="preserve">ceterus paribus </w:t>
      </w:r>
      <w:r w:rsidRPr="00986F85">
        <w:rPr>
          <w:rFonts w:eastAsia="MS Mincho" w:cs="Myriad Pro"/>
          <w:sz w:val="22"/>
          <w:lang w:val="en-US" w:eastAsia="ja-JP"/>
        </w:rPr>
        <w:t xml:space="preserve">annál nagyobb valószínűséggel </w:t>
      </w:r>
      <w:r w:rsidRPr="00986F85">
        <w:rPr>
          <w:rFonts w:eastAsia="MS Mincho"/>
          <w:sz w:val="22"/>
          <w:lang w:val="en-US" w:eastAsia="ja-JP"/>
        </w:rPr>
        <w:t xml:space="preserve">nyert támogatást </w:t>
      </w:r>
      <w:r w:rsidRPr="00986F85">
        <w:rPr>
          <w:rFonts w:eastAsia="MS Mincho" w:cs="Myriad Pro"/>
          <w:sz w:val="22"/>
          <w:lang w:val="en-US" w:eastAsia="ja-JP"/>
        </w:rPr>
        <w:t>a 2007-2011 közötti időszakban. A leghátrányosabb helyzetű kistérségben található cégeknek pedig egyértelműen kedveztek a kiírások.</w:t>
      </w:r>
      <w:r w:rsidRPr="00986F85">
        <w:rPr>
          <w:rFonts w:eastAsia="MS Mincho"/>
          <w:sz w:val="22"/>
          <w:lang w:val="en-US" w:eastAsia="ja-JP"/>
        </w:rPr>
        <w:t xml:space="preserve">  </w:t>
      </w:r>
    </w:p>
    <w:p w14:paraId="4F389FA3" w14:textId="77777777" w:rsidR="003E184E" w:rsidRPr="00986F85" w:rsidRDefault="003E184E" w:rsidP="003E184E">
      <w:pPr>
        <w:snapToGrid w:val="0"/>
        <w:spacing w:line="360" w:lineRule="auto"/>
        <w:jc w:val="both"/>
        <w:rPr>
          <w:rFonts w:eastAsia="MS Mincho"/>
          <w:sz w:val="22"/>
          <w:lang w:eastAsia="ja-JP"/>
        </w:rPr>
      </w:pPr>
      <w:r w:rsidRPr="00986F85">
        <w:rPr>
          <w:rFonts w:eastAsia="MS Mincho"/>
          <w:sz w:val="22"/>
          <w:lang w:val="en-US" w:eastAsia="ja-JP"/>
        </w:rPr>
        <w:t>Megjegyzendő, hogy a hozzáadott érték esetében kevésbé megbízhatóak az eredmények, a</w:t>
      </w:r>
      <w:r w:rsidRPr="00986F85">
        <w:rPr>
          <w:rFonts w:eastAsia="MS Mincho"/>
          <w:sz w:val="22"/>
          <w:lang w:eastAsia="ja-JP"/>
        </w:rPr>
        <w:t xml:space="preserve">z export tevékenység pedig egyértelműen negatív hatással van a nyerési esélyre  - legalább is azon becsléseink szerint, ahol az árbevétel arányában mért export-bevételt is szerepeltettük a magyarázó változók között. </w:t>
      </w:r>
    </w:p>
    <w:p w14:paraId="4A511897" w14:textId="77777777" w:rsidR="003E184E" w:rsidRPr="00986F85" w:rsidRDefault="002B6DE0" w:rsidP="003E184E">
      <w:pPr>
        <w:spacing w:line="360" w:lineRule="auto"/>
        <w:jc w:val="both"/>
        <w:rPr>
          <w:sz w:val="22"/>
        </w:rPr>
      </w:pPr>
      <w:r w:rsidRPr="00986F85">
        <w:rPr>
          <w:sz w:val="22"/>
        </w:rPr>
        <w:t>A teljesítmény</w:t>
      </w:r>
      <w:r w:rsidR="003E184E" w:rsidRPr="00986F85">
        <w:rPr>
          <w:sz w:val="22"/>
        </w:rPr>
        <w:t xml:space="preserve">változók között a beruházás – tárgyi eszközök növekedése –, az árbevétel és a foglalkoztatottak száma mellett a vállalati termelékenységet terveztük vizsgálni. Ez utóbbit egyrészt munkatermelékenységként (egy alkalmazottra jutó hozzáadott érték), másrészt teljes </w:t>
      </w:r>
      <w:r w:rsidR="003E184E" w:rsidRPr="00986F85">
        <w:rPr>
          <w:sz w:val="22"/>
        </w:rPr>
        <w:lastRenderedPageBreak/>
        <w:t xml:space="preserve">tényező termelékenységként értelmezhetjük. A teljes tényező termelékenység becsléséhez nem álltak rendelkezésünkre kellően részletes adatok, így például nem tudtuk a heterogén munkát, illetve tőkét beépíteni a termelési függvénybe. </w:t>
      </w:r>
    </w:p>
    <w:p w14:paraId="242933AC" w14:textId="77777777" w:rsidR="003E184E" w:rsidRPr="00986F85" w:rsidRDefault="003E184E" w:rsidP="003E184E">
      <w:pPr>
        <w:spacing w:line="360" w:lineRule="auto"/>
        <w:jc w:val="both"/>
        <w:rPr>
          <w:sz w:val="22"/>
        </w:rPr>
      </w:pPr>
      <w:r w:rsidRPr="00986F85">
        <w:rPr>
          <w:sz w:val="22"/>
        </w:rPr>
        <w:t>Továbbá, a külföldi tulaj</w:t>
      </w:r>
      <w:r w:rsidR="0039227E" w:rsidRPr="00986F85">
        <w:rPr>
          <w:sz w:val="22"/>
        </w:rPr>
        <w:t>d</w:t>
      </w:r>
      <w:r w:rsidRPr="00986F85">
        <w:rPr>
          <w:sz w:val="22"/>
        </w:rPr>
        <w:t>ont nem tudtuk kontroll változóként felhasználni, mert arról nem rendelkeztünk megfelelően részletes információval (lásd csak magán, illetve állami bontású adatok).</w:t>
      </w:r>
    </w:p>
    <w:p w14:paraId="5BB006A7" w14:textId="5BCB0A37" w:rsidR="003E184E" w:rsidRPr="00986F85" w:rsidRDefault="003E184E" w:rsidP="003E184E">
      <w:pPr>
        <w:widowControl w:val="0"/>
        <w:autoSpaceDE w:val="0"/>
        <w:autoSpaceDN w:val="0"/>
        <w:adjustRightInd w:val="0"/>
        <w:spacing w:line="360" w:lineRule="auto"/>
        <w:jc w:val="both"/>
        <w:rPr>
          <w:sz w:val="22"/>
        </w:rPr>
      </w:pPr>
      <w:r w:rsidRPr="00986F85">
        <w:rPr>
          <w:b/>
          <w:sz w:val="22"/>
        </w:rPr>
        <w:t xml:space="preserve">Támogatás hatása: </w:t>
      </w:r>
      <w:r w:rsidR="002D79D5" w:rsidRPr="00986F85">
        <w:rPr>
          <w:rFonts w:cs="Times New Roman"/>
          <w:sz w:val="22"/>
        </w:rPr>
        <w:t>F</w:t>
      </w:r>
      <w:r w:rsidRPr="00986F85">
        <w:rPr>
          <w:sz w:val="22"/>
        </w:rPr>
        <w:t>üggetlenül becslési eljárástól és a vizsgált kezeltek körétől (3 vagy 5 fő feletti foglalkoztatotti létszámmal rendelkező cégek), a foglalkozatási hatás bizonyult a leginkább megbízható pozitív hatásnak. A panel becslés esetében például m</w:t>
      </w:r>
      <w:r w:rsidRPr="00986F85">
        <w:rPr>
          <w:rFonts w:cs="Myriad Pro"/>
          <w:sz w:val="22"/>
        </w:rPr>
        <w:t xml:space="preserve">indkét vizsgált </w:t>
      </w:r>
      <w:r w:rsidRPr="00986F85">
        <w:rPr>
          <w:sz w:val="22"/>
        </w:rPr>
        <w:t xml:space="preserve">almintán </w:t>
      </w:r>
      <w:r w:rsidRPr="00986F85">
        <w:rPr>
          <w:rFonts w:cs="Myriad Pro"/>
          <w:sz w:val="22"/>
        </w:rPr>
        <w:t>azt tapasztaltuk, hogy a teljes támogatási összeget már megkapott cégek átlagosan 2,5-3%-al több alkalmazottnak adnak munkát, mint a hozzájuk (a magyarázó változókban) nagyon hasonló nem támogatott cégek.</w:t>
      </w:r>
    </w:p>
    <w:p w14:paraId="0AFC2537" w14:textId="717B70BD" w:rsidR="003E184E" w:rsidRPr="00986F85" w:rsidRDefault="003E184E" w:rsidP="003E184E">
      <w:pPr>
        <w:widowControl w:val="0"/>
        <w:autoSpaceDE w:val="0"/>
        <w:autoSpaceDN w:val="0"/>
        <w:adjustRightInd w:val="0"/>
        <w:spacing w:line="360" w:lineRule="auto"/>
        <w:jc w:val="both"/>
        <w:rPr>
          <w:sz w:val="22"/>
        </w:rPr>
      </w:pPr>
      <w:r w:rsidRPr="00986F85">
        <w:rPr>
          <w:rFonts w:cs="Myriad Pro"/>
          <w:sz w:val="22"/>
        </w:rPr>
        <w:t xml:space="preserve">A támogatás hatására a kezelt cégek szignifikánsabban nagyobb kapacitásokat építettek ki, mint a kontrollcsoport cégei. Ezt mutatja a foglalkoztatottak számának </w:t>
      </w:r>
      <w:r w:rsidR="009309F8" w:rsidRPr="00986F85">
        <w:rPr>
          <w:rFonts w:cs="Myriad Pro"/>
          <w:sz w:val="22"/>
        </w:rPr>
        <w:t>mindhárom eljárásban, valamint a</w:t>
      </w:r>
      <w:r w:rsidRPr="00986F85">
        <w:rPr>
          <w:rFonts w:cs="Myriad Pro"/>
          <w:sz w:val="22"/>
        </w:rPr>
        <w:t xml:space="preserve"> tárgyi eszköz állománynak</w:t>
      </w:r>
      <w:r w:rsidR="009309F8" w:rsidRPr="00986F85">
        <w:rPr>
          <w:rFonts w:cs="Myriad Pro"/>
          <w:sz w:val="22"/>
        </w:rPr>
        <w:t xml:space="preserve"> két eljárásban is egyértelmű</w:t>
      </w:r>
      <w:r w:rsidRPr="00986F85">
        <w:rPr>
          <w:rFonts w:cs="Myriad Pro"/>
          <w:sz w:val="22"/>
        </w:rPr>
        <w:t xml:space="preserve"> növekedése.</w:t>
      </w:r>
    </w:p>
    <w:p w14:paraId="062C5BB7" w14:textId="77777777" w:rsidR="003E184E" w:rsidRPr="00986F85" w:rsidRDefault="003E184E" w:rsidP="003E184E">
      <w:pPr>
        <w:widowControl w:val="0"/>
        <w:autoSpaceDE w:val="0"/>
        <w:autoSpaceDN w:val="0"/>
        <w:adjustRightInd w:val="0"/>
        <w:spacing w:line="360" w:lineRule="auto"/>
        <w:jc w:val="both"/>
        <w:rPr>
          <w:sz w:val="22"/>
        </w:rPr>
      </w:pPr>
      <w:r w:rsidRPr="00986F85">
        <w:rPr>
          <w:sz w:val="22"/>
        </w:rPr>
        <w:t>A</w:t>
      </w:r>
      <w:r w:rsidRPr="00986F85">
        <w:rPr>
          <w:rFonts w:cs="Myriad Pro"/>
          <w:sz w:val="22"/>
        </w:rPr>
        <w:t xml:space="preserve"> tőkeintenzitás és a foglalkoztatás egyidejű növekedését látjuk, </w:t>
      </w:r>
      <w:r w:rsidRPr="00986F85">
        <w:rPr>
          <w:sz w:val="22"/>
        </w:rPr>
        <w:t>ami arra utal, hogy</w:t>
      </w:r>
      <w:r w:rsidRPr="00986F85">
        <w:rPr>
          <w:rFonts w:cs="Myriad Pro"/>
          <w:sz w:val="22"/>
        </w:rPr>
        <w:t xml:space="preserve"> pótló beruházásokon túlmenő eszközfejlesztés valósult meg. Ez az eredmény fenntartással kezelendő a tekintetben, hogy hiányzó adatok miatt azt nem tudtuk megítélni, mennyire jellemző, hogy a kezelt cégek alapvetően csak időben előre hozták amúgy is tervezett beruházásaikat, és kontrollcégeknél ugyanúgy megtették fejlesztéseiket – csak más forrásokból finanszírozva és későbbi időzítéssel (ezzel kapcsolatban lásd a korábbi, vonatkozó elemzések eredményeit – Agenda et al 2007).</w:t>
      </w:r>
    </w:p>
    <w:p w14:paraId="6EC73FD0" w14:textId="77777777" w:rsidR="003E184E" w:rsidRPr="00986F85" w:rsidRDefault="003E184E" w:rsidP="003E184E">
      <w:pPr>
        <w:widowControl w:val="0"/>
        <w:autoSpaceDE w:val="0"/>
        <w:autoSpaceDN w:val="0"/>
        <w:adjustRightInd w:val="0"/>
        <w:spacing w:line="360" w:lineRule="auto"/>
        <w:jc w:val="both"/>
        <w:rPr>
          <w:rFonts w:cs="Times New Roman"/>
          <w:sz w:val="22"/>
        </w:rPr>
      </w:pPr>
      <w:r w:rsidRPr="00986F85">
        <w:rPr>
          <w:rFonts w:cs="Myriad Pro"/>
          <w:sz w:val="22"/>
        </w:rPr>
        <w:t>Az árbevétel növekedésre vonatkozó</w:t>
      </w:r>
      <w:r w:rsidRPr="00986F85">
        <w:rPr>
          <w:sz w:val="22"/>
        </w:rPr>
        <w:t xml:space="preserve"> várakozásokat, </w:t>
      </w:r>
      <w:r w:rsidRPr="00986F85">
        <w:rPr>
          <w:i/>
          <w:sz w:val="22"/>
        </w:rPr>
        <w:t xml:space="preserve">nota bene </w:t>
      </w:r>
      <w:r w:rsidRPr="00986F85">
        <w:rPr>
          <w:sz w:val="22"/>
        </w:rPr>
        <w:t xml:space="preserve">az intézkedés fő célját, nem erősítették meg a vizsgálatok. </w:t>
      </w:r>
      <w:r w:rsidRPr="00986F85">
        <w:rPr>
          <w:rFonts w:cs="Myriad Pro"/>
          <w:sz w:val="22"/>
        </w:rPr>
        <w:t>Ez arra enged következtetni, hogy a támogatott vállalatok ugyan kiépítették a kapacitásokat, de nem tudták érdemben növelni árbevételüket a kontrollcsoport cégeihez viszonyítva.</w:t>
      </w:r>
      <w:r w:rsidRPr="00986F85">
        <w:rPr>
          <w:sz w:val="22"/>
        </w:rPr>
        <w:t xml:space="preserve"> </w:t>
      </w:r>
      <w:r w:rsidRPr="00986F85">
        <w:rPr>
          <w:rFonts w:cs="Myriad Pro"/>
          <w:sz w:val="22"/>
        </w:rPr>
        <w:t>Az okok feltárása további, megfigyelhető vállalati jellemzők szerinti kvantitatív, illetve interjúra alapozott kvalitatív vizsgálatokat igényelne.</w:t>
      </w:r>
    </w:p>
    <w:p w14:paraId="6CE80193" w14:textId="77777777" w:rsidR="002D79D5" w:rsidRPr="00986F85" w:rsidRDefault="002D79D5" w:rsidP="002D79D5">
      <w:pPr>
        <w:widowControl w:val="0"/>
        <w:autoSpaceDE w:val="0"/>
        <w:autoSpaceDN w:val="0"/>
        <w:adjustRightInd w:val="0"/>
        <w:spacing w:line="360" w:lineRule="auto"/>
        <w:jc w:val="both"/>
        <w:rPr>
          <w:rFonts w:cs="Times New Roman"/>
          <w:sz w:val="22"/>
        </w:rPr>
      </w:pPr>
      <w:r w:rsidRPr="00986F85">
        <w:rPr>
          <w:rFonts w:cs="Times New Roman"/>
          <w:sz w:val="22"/>
        </w:rPr>
        <w:t xml:space="preserve">Fontos megjegyezni, hogy a fenti becsléseket </w:t>
      </w:r>
      <w:r w:rsidRPr="00986F85">
        <w:t xml:space="preserve">a teljes GOP </w:t>
      </w:r>
      <w:r w:rsidRPr="00986F85">
        <w:rPr>
          <w:rFonts w:cs="Times New Roman"/>
        </w:rPr>
        <w:t xml:space="preserve">2.1.1. </w:t>
      </w:r>
      <w:r w:rsidRPr="00986F85">
        <w:t xml:space="preserve">A nyertesek csak egy szűkebb körére </w:t>
      </w:r>
      <w:r w:rsidRPr="00986F85">
        <w:rPr>
          <w:rFonts w:cs="Times New Roman"/>
        </w:rPr>
        <w:t xml:space="preserve">végeztük el. Mint ahogy említettük, az érintett </w:t>
      </w:r>
      <w:r w:rsidRPr="00986F85">
        <w:rPr>
          <w:rFonts w:cs="Times New Roman"/>
          <w:sz w:val="22"/>
        </w:rPr>
        <w:t xml:space="preserve">konstrukciók nyertesei közül csak a 2007-2009 között pályázatot nyert,  projektjüket záró vállalkozásokat vettük számításba. </w:t>
      </w:r>
      <w:r w:rsidRPr="00986F85">
        <w:rPr>
          <w:rFonts w:cs="Times New Roman"/>
          <w:sz w:val="22"/>
        </w:rPr>
        <w:lastRenderedPageBreak/>
        <w:t xml:space="preserve">Becsléseink kis elemszáma miatt, a teljes nyertes körre futatott becslések más eredményekkel szolgálhatnak a jövőben, így mindenképp érdemes lenne e vizsgálatokat így a programidőszakot követően, az egyes fejlesztési projektek lezárása után 2015-16 tájékán megismételni egy átfogó elemzést a tárgyban. </w:t>
      </w:r>
    </w:p>
    <w:p w14:paraId="32C4EBF4" w14:textId="747C2ED1" w:rsidR="003E184E" w:rsidRPr="00986F85" w:rsidRDefault="003E184E" w:rsidP="003E184E">
      <w:pPr>
        <w:widowControl w:val="0"/>
        <w:autoSpaceDE w:val="0"/>
        <w:autoSpaceDN w:val="0"/>
        <w:adjustRightInd w:val="0"/>
        <w:spacing w:line="360" w:lineRule="auto"/>
        <w:jc w:val="both"/>
        <w:rPr>
          <w:rFonts w:cs="Times New Roman"/>
          <w:sz w:val="22"/>
        </w:rPr>
      </w:pPr>
      <w:r w:rsidRPr="00986F85">
        <w:rPr>
          <w:sz w:val="22"/>
        </w:rPr>
        <w:t>Összességében, a foglalkoztatottak szignifikáns növekedése mellett a tőkeállomány kis mértékben, az árbevétel pedig egyáltalán nem javult a kezeltek esetében. Mindez a termelékenységi</w:t>
      </w:r>
      <w:r w:rsidR="00F6102A" w:rsidRPr="00986F85">
        <w:rPr>
          <w:sz w:val="22"/>
        </w:rPr>
        <w:t xml:space="preserve"> mutatók romlását indikálja, bár ennek megerősítése jövőbeni vizsgálat feladata.</w:t>
      </w:r>
    </w:p>
    <w:p w14:paraId="479CCB81" w14:textId="77777777" w:rsidR="003E184E" w:rsidRPr="00986F85" w:rsidRDefault="003E184E" w:rsidP="003E184E">
      <w:pPr>
        <w:widowControl w:val="0"/>
        <w:autoSpaceDE w:val="0"/>
        <w:autoSpaceDN w:val="0"/>
        <w:adjustRightInd w:val="0"/>
        <w:spacing w:line="360" w:lineRule="auto"/>
        <w:jc w:val="both"/>
        <w:rPr>
          <w:sz w:val="22"/>
        </w:rPr>
      </w:pPr>
      <w:r w:rsidRPr="00986F85">
        <w:rPr>
          <w:sz w:val="22"/>
        </w:rPr>
        <w:t xml:space="preserve">Néhány fontos fenntartást kell tennünk: először is, nem tudtuk mérni, hogy a támogatások következtében megfigyelhető-e kiszorítási hatás – azaz, hogy a támogatott vállalatok más vállalkozások kárára vettek-e fel plusz munkaerőt, ruháztak-e be pótlólagos eszközökbe, technológiába, kiszorítva ezzel az adott, helyi piacon más vállalkozásokat. Kiszorítási hatás esetében ugyanis makro szinten kiolthatják egymást a támogatás járulékos hatásai. </w:t>
      </w:r>
    </w:p>
    <w:p w14:paraId="6537E1DD" w14:textId="27A0E9D7" w:rsidR="003E184E" w:rsidRPr="00986F85" w:rsidRDefault="003E184E" w:rsidP="003E184E">
      <w:pPr>
        <w:widowControl w:val="0"/>
        <w:autoSpaceDE w:val="0"/>
        <w:autoSpaceDN w:val="0"/>
        <w:adjustRightInd w:val="0"/>
        <w:spacing w:line="360" w:lineRule="auto"/>
        <w:jc w:val="both"/>
        <w:rPr>
          <w:sz w:val="22"/>
        </w:rPr>
      </w:pPr>
      <w:r w:rsidRPr="00986F85">
        <w:rPr>
          <w:sz w:val="22"/>
        </w:rPr>
        <w:t xml:space="preserve">Másrészről, az sem egyértelmű, hogy foglalkoztatási szempontból a program társadalmi hasznossága pozitív. Ezt más, foglalkoztatás ösztönző programok (pl. TÁMOP alatt futó, aktív munkaerőpiaci eszközöket alkalmazásó beavatkozások) költségeivel és pozitív hozadékaival való összehasonlítás alapján lenne érdemes megerősíteni, vagy cáfolni. </w:t>
      </w:r>
    </w:p>
    <w:p w14:paraId="2BE0B87F" w14:textId="6337953A" w:rsidR="003E184E" w:rsidRPr="00986F85" w:rsidRDefault="003E184E" w:rsidP="003E184E">
      <w:pPr>
        <w:widowControl w:val="0"/>
        <w:autoSpaceDE w:val="0"/>
        <w:autoSpaceDN w:val="0"/>
        <w:adjustRightInd w:val="0"/>
        <w:spacing w:line="360" w:lineRule="auto"/>
        <w:jc w:val="both"/>
        <w:rPr>
          <w:rFonts w:cs="Times New Roman"/>
          <w:sz w:val="22"/>
        </w:rPr>
      </w:pPr>
      <w:r w:rsidRPr="00986F85">
        <w:rPr>
          <w:sz w:val="22"/>
        </w:rPr>
        <w:t>Végül, de nem utolsó sorban, az itt kimutatott pozitív hatások a kapható eredmények felső becsléseként értelmezhetők</w:t>
      </w:r>
      <w:r w:rsidR="002D79D5" w:rsidRPr="00986F85">
        <w:rPr>
          <w:rFonts w:cs="Times New Roman"/>
          <w:sz w:val="22"/>
        </w:rPr>
        <w:t xml:space="preserve"> – amennyiben </w:t>
      </w:r>
      <w:r w:rsidR="00E433FC" w:rsidRPr="00986F85">
        <w:rPr>
          <w:rFonts w:cs="Times New Roman"/>
          <w:sz w:val="22"/>
        </w:rPr>
        <w:t xml:space="preserve">korábbi, hazai vizsgálatok eredményei nyomán </w:t>
      </w:r>
      <w:r w:rsidR="002D79D5" w:rsidRPr="00986F85">
        <w:rPr>
          <w:rFonts w:cs="Times New Roman"/>
          <w:sz w:val="22"/>
        </w:rPr>
        <w:t>azt feltételezzük, hogy a</w:t>
      </w:r>
      <w:r w:rsidR="00E433FC" w:rsidRPr="00986F85">
        <w:rPr>
          <w:rFonts w:cs="Times New Roman"/>
          <w:sz w:val="22"/>
        </w:rPr>
        <w:t xml:space="preserve">z átlagnál jobban növekedő vállalkozások adnak be pályázatot támogatásra; és alsó becslésként interpretálhatók, amennyiben az ellenkezőjét gondoljuk. </w:t>
      </w:r>
    </w:p>
    <w:p w14:paraId="6712B87A" w14:textId="77777777" w:rsidR="003E184E" w:rsidRPr="00986F85" w:rsidRDefault="003E184E" w:rsidP="003E184E">
      <w:pPr>
        <w:spacing w:line="360" w:lineRule="auto"/>
        <w:jc w:val="both"/>
        <w:rPr>
          <w:b/>
          <w:i/>
          <w:sz w:val="22"/>
        </w:rPr>
      </w:pPr>
      <w:r w:rsidRPr="00986F85">
        <w:rPr>
          <w:b/>
          <w:i/>
          <w:sz w:val="22"/>
        </w:rPr>
        <w:t>Mi</w:t>
      </w:r>
      <w:r w:rsidRPr="00986F85">
        <w:rPr>
          <w:rFonts w:eastAsia="Times New Roman"/>
          <w:b/>
          <w:i/>
          <w:sz w:val="22"/>
        </w:rPr>
        <w:t xml:space="preserve"> </w:t>
      </w:r>
      <w:r w:rsidRPr="00986F85">
        <w:rPr>
          <w:b/>
          <w:i/>
          <w:sz w:val="22"/>
        </w:rPr>
        <w:t>korlátozta az érintett intézkedések teljes körű hatásvizsgálatát (adathiány,</w:t>
      </w:r>
      <w:r w:rsidRPr="00986F85">
        <w:rPr>
          <w:rFonts w:eastAsia="Times New Roman"/>
          <w:b/>
          <w:i/>
          <w:sz w:val="22"/>
        </w:rPr>
        <w:t xml:space="preserve"> </w:t>
      </w:r>
      <w:r w:rsidRPr="00986F85">
        <w:rPr>
          <w:b/>
          <w:i/>
          <w:sz w:val="22"/>
        </w:rPr>
        <w:t>adatbázis</w:t>
      </w:r>
      <w:r w:rsidRPr="00986F85">
        <w:rPr>
          <w:rFonts w:eastAsia="Times New Roman"/>
          <w:b/>
          <w:i/>
          <w:sz w:val="22"/>
        </w:rPr>
        <w:t xml:space="preserve"> </w:t>
      </w:r>
      <w:r w:rsidRPr="00986F85">
        <w:rPr>
          <w:b/>
          <w:i/>
          <w:sz w:val="22"/>
        </w:rPr>
        <w:t>probléma,</w:t>
      </w:r>
      <w:r w:rsidRPr="00986F85">
        <w:rPr>
          <w:rFonts w:eastAsia="Times New Roman"/>
          <w:b/>
          <w:i/>
          <w:sz w:val="22"/>
        </w:rPr>
        <w:t xml:space="preserve"> </w:t>
      </w:r>
      <w:r w:rsidRPr="00986F85">
        <w:rPr>
          <w:b/>
          <w:i/>
          <w:sz w:val="22"/>
        </w:rPr>
        <w:t>adatösszekapcsolási</w:t>
      </w:r>
      <w:r w:rsidRPr="00986F85">
        <w:rPr>
          <w:rFonts w:eastAsia="Times New Roman"/>
          <w:b/>
          <w:i/>
          <w:sz w:val="22"/>
        </w:rPr>
        <w:t xml:space="preserve"> </w:t>
      </w:r>
      <w:r w:rsidRPr="00986F85">
        <w:rPr>
          <w:b/>
          <w:i/>
          <w:sz w:val="22"/>
        </w:rPr>
        <w:t>probléma)? Milyen vizsgálatok lenne érdemes a jövőben elvégezni jelen projekt eredményeinek megerősítésére, kiegészítésére?</w:t>
      </w:r>
    </w:p>
    <w:p w14:paraId="543C0014" w14:textId="77777777" w:rsidR="003E184E" w:rsidRPr="00986F85" w:rsidRDefault="003E184E" w:rsidP="003E184E">
      <w:pPr>
        <w:pStyle w:val="Szvegtrzs"/>
        <w:spacing w:after="0" w:line="360" w:lineRule="auto"/>
        <w:jc w:val="both"/>
        <w:rPr>
          <w:rFonts w:cs="Times New Roman"/>
          <w:sz w:val="22"/>
        </w:rPr>
      </w:pPr>
      <w:r w:rsidRPr="00986F85">
        <w:rPr>
          <w:rFonts w:cs="Times New Roman"/>
          <w:sz w:val="22"/>
        </w:rPr>
        <w:t xml:space="preserve">A programindítást megelőző hosszabb időtávon (lásd 2002-ig, de legalább is 2005-ig visszamenően) rendelkezésre álló vállalati mérlegadatok, valamint a nem nyertesek vállalati jellemzőinek ismerete a szelekció teljes körű vizsgálatát tették volna lehetővé. A 2002-2005 közötti időszakra vonatkozó vállalati mérlegadatok, valamint a nem nyertesekről szóló információk hiányát nem állt módunkban orvosolni. </w:t>
      </w:r>
    </w:p>
    <w:p w14:paraId="1CDBDE5A" w14:textId="77777777" w:rsidR="002B6DE0" w:rsidRPr="00986F85" w:rsidRDefault="002B6DE0" w:rsidP="003E184E">
      <w:pPr>
        <w:pStyle w:val="Szvegtrzs"/>
        <w:spacing w:after="0" w:line="360" w:lineRule="auto"/>
        <w:jc w:val="both"/>
        <w:rPr>
          <w:rFonts w:cs="Times New Roman"/>
          <w:sz w:val="22"/>
        </w:rPr>
      </w:pPr>
    </w:p>
    <w:p w14:paraId="39EDE96E" w14:textId="77777777" w:rsidR="003E184E" w:rsidRPr="00986F85" w:rsidRDefault="003E184E" w:rsidP="003E184E">
      <w:pPr>
        <w:spacing w:line="360" w:lineRule="auto"/>
        <w:jc w:val="both"/>
        <w:rPr>
          <w:sz w:val="22"/>
        </w:rPr>
      </w:pPr>
      <w:r w:rsidRPr="00986F85">
        <w:rPr>
          <w:sz w:val="22"/>
        </w:rPr>
        <w:lastRenderedPageBreak/>
        <w:t xml:space="preserve">Eredeti tervek szerint nem terveztük szerepeltetni a becslésben az 5 fő alatti vállalatokat, mert korábbi, hazai elemézések tapasztalata, hogy ezen cégek mérlegadatai sokkal kevésbé megbízhatóak. A rendelkezésre álló adatok szűkössége miatt azonban ezt a szándékunkat felülírtuk, vállalva ezzel azt a kockázatot, hogy ilyen típusú hibák ronthatják a becsléseink megbízhatóságát. Az egyes becslések eredményeinek bemutatásakor visszatérünk erre a problémára.  </w:t>
      </w:r>
    </w:p>
    <w:p w14:paraId="36A5DAD8" w14:textId="6664ADC8" w:rsidR="00E433FC" w:rsidRPr="00986F85" w:rsidRDefault="003E184E" w:rsidP="003E184E">
      <w:pPr>
        <w:spacing w:line="360" w:lineRule="auto"/>
        <w:jc w:val="both"/>
        <w:rPr>
          <w:sz w:val="22"/>
        </w:rPr>
      </w:pPr>
      <w:r w:rsidRPr="00986F85">
        <w:rPr>
          <w:rFonts w:eastAsia="MS Mincho"/>
          <w:sz w:val="22"/>
          <w:lang w:eastAsia="ja-JP"/>
        </w:rPr>
        <w:t>Mivel más hazai vállalkozások körében tett vizsgálatok megállapították, hogy az export-orientáció és a vállalati nö</w:t>
      </w:r>
      <w:r w:rsidR="0084458C" w:rsidRPr="00986F85">
        <w:rPr>
          <w:rFonts w:eastAsia="MS Mincho"/>
          <w:sz w:val="22"/>
          <w:lang w:eastAsia="ja-JP"/>
        </w:rPr>
        <w:t xml:space="preserve">vekedés erősen hatnak egymásra, </w:t>
      </w:r>
      <w:r w:rsidRPr="00986F85">
        <w:rPr>
          <w:rFonts w:eastAsia="MS Mincho"/>
          <w:sz w:val="22"/>
          <w:lang w:eastAsia="ja-JP"/>
        </w:rPr>
        <w:t>érdemes lenne egy kevésbé hiányos és korlátozott EMIR-NAV összekapcsolt vállalati mintán vizsgálni az export-orientáció és a pályázási hajlandóság, illetve a kapcsolódó támogatások hatásait.</w:t>
      </w:r>
    </w:p>
    <w:p w14:paraId="44347F52" w14:textId="77777777" w:rsidR="003E184E" w:rsidRPr="00986F85" w:rsidRDefault="003E184E" w:rsidP="00F6102A">
      <w:pPr>
        <w:spacing w:line="360" w:lineRule="auto"/>
        <w:jc w:val="both"/>
        <w:rPr>
          <w:rFonts w:cs="Times New Roman"/>
          <w:b/>
          <w:i/>
          <w:sz w:val="22"/>
        </w:rPr>
      </w:pPr>
    </w:p>
    <w:p w14:paraId="2D054EB9" w14:textId="77777777" w:rsidR="003E184E" w:rsidRPr="00986F85" w:rsidRDefault="003E184E" w:rsidP="003E184E">
      <w:pPr>
        <w:spacing w:line="360" w:lineRule="auto"/>
        <w:jc w:val="both"/>
        <w:rPr>
          <w:b/>
          <w:i/>
          <w:sz w:val="22"/>
        </w:rPr>
      </w:pPr>
      <w:r w:rsidRPr="00986F85">
        <w:rPr>
          <w:b/>
          <w:i/>
          <w:sz w:val="22"/>
        </w:rPr>
        <w:t>Milyen</w:t>
      </w:r>
      <w:r w:rsidRPr="00986F85">
        <w:rPr>
          <w:rFonts w:eastAsia="Times New Roman"/>
          <w:b/>
          <w:i/>
          <w:sz w:val="22"/>
        </w:rPr>
        <w:t xml:space="preserve"> </w:t>
      </w:r>
      <w:r w:rsidRPr="00986F85">
        <w:rPr>
          <w:b/>
          <w:i/>
          <w:sz w:val="22"/>
        </w:rPr>
        <w:t>javítások,</w:t>
      </w:r>
      <w:r w:rsidRPr="00986F85">
        <w:rPr>
          <w:rFonts w:eastAsia="Times New Roman"/>
          <w:b/>
          <w:i/>
          <w:sz w:val="22"/>
        </w:rPr>
        <w:t xml:space="preserve"> </w:t>
      </w:r>
      <w:r w:rsidRPr="00986F85">
        <w:rPr>
          <w:b/>
          <w:i/>
          <w:sz w:val="22"/>
        </w:rPr>
        <w:t>finomítások javasoltak: az</w:t>
      </w:r>
      <w:r w:rsidRPr="00986F85">
        <w:rPr>
          <w:rFonts w:eastAsia="Times New Roman"/>
          <w:b/>
          <w:i/>
          <w:sz w:val="22"/>
        </w:rPr>
        <w:t xml:space="preserve"> </w:t>
      </w:r>
      <w:r w:rsidRPr="00986F85">
        <w:rPr>
          <w:b/>
          <w:i/>
          <w:sz w:val="22"/>
        </w:rPr>
        <w:t>(EMIR, egyéb kormányzati) adatgyűjtés,</w:t>
      </w:r>
      <w:r w:rsidRPr="00986F85">
        <w:rPr>
          <w:rFonts w:eastAsia="Times New Roman"/>
          <w:b/>
          <w:i/>
          <w:sz w:val="22"/>
        </w:rPr>
        <w:t xml:space="preserve"> </w:t>
      </w:r>
      <w:r w:rsidRPr="00986F85">
        <w:rPr>
          <w:b/>
          <w:i/>
          <w:sz w:val="22"/>
        </w:rPr>
        <w:t>adatfeldolgozás,</w:t>
      </w:r>
      <w:r w:rsidRPr="00986F85">
        <w:rPr>
          <w:rFonts w:eastAsia="Times New Roman"/>
          <w:b/>
          <w:i/>
          <w:sz w:val="22"/>
        </w:rPr>
        <w:t xml:space="preserve"> </w:t>
      </w:r>
      <w:r w:rsidRPr="00986F85">
        <w:rPr>
          <w:b/>
          <w:i/>
          <w:sz w:val="22"/>
        </w:rPr>
        <w:t>érintett</w:t>
      </w:r>
      <w:r w:rsidRPr="00986F85">
        <w:rPr>
          <w:rFonts w:eastAsia="Times New Roman"/>
          <w:b/>
          <w:i/>
          <w:sz w:val="22"/>
        </w:rPr>
        <w:t xml:space="preserve"> </w:t>
      </w:r>
      <w:r w:rsidRPr="00986F85">
        <w:rPr>
          <w:b/>
          <w:i/>
          <w:sz w:val="22"/>
        </w:rPr>
        <w:t>adatbázisok</w:t>
      </w:r>
      <w:r w:rsidRPr="00986F85">
        <w:rPr>
          <w:rFonts w:eastAsia="Times New Roman"/>
          <w:b/>
          <w:i/>
          <w:sz w:val="22"/>
        </w:rPr>
        <w:t xml:space="preserve"> </w:t>
      </w:r>
      <w:r w:rsidRPr="00986F85">
        <w:rPr>
          <w:b/>
          <w:i/>
          <w:sz w:val="22"/>
        </w:rPr>
        <w:t>fejlesztése</w:t>
      </w:r>
      <w:r w:rsidRPr="00986F85">
        <w:rPr>
          <w:rFonts w:eastAsia="Times New Roman"/>
          <w:b/>
          <w:i/>
          <w:sz w:val="22"/>
        </w:rPr>
        <w:t xml:space="preserve"> </w:t>
      </w:r>
      <w:r w:rsidRPr="00986F85">
        <w:rPr>
          <w:b/>
          <w:i/>
          <w:sz w:val="22"/>
        </w:rPr>
        <w:t>során?</w:t>
      </w:r>
    </w:p>
    <w:p w14:paraId="3FA9D231" w14:textId="77777777" w:rsidR="00B67D75" w:rsidRPr="00986F85" w:rsidRDefault="00B67D75" w:rsidP="00B67D75">
      <w:pPr>
        <w:pStyle w:val="Szvegtrzs"/>
        <w:spacing w:after="0" w:line="360" w:lineRule="auto"/>
        <w:jc w:val="both"/>
        <w:rPr>
          <w:rFonts w:cs="Times New Roman"/>
          <w:sz w:val="22"/>
        </w:rPr>
      </w:pPr>
      <w:r w:rsidRPr="00986F85">
        <w:rPr>
          <w:rFonts w:cs="Times New Roman"/>
          <w:sz w:val="22"/>
        </w:rPr>
        <w:t xml:space="preserve">Megítélésünk szerint, jövőbeni értékeléseket és hatásvizsgálatokat könnyítésére az alábbiakat javasoljuk: </w:t>
      </w:r>
    </w:p>
    <w:p w14:paraId="70F18A79" w14:textId="77777777" w:rsidR="003E184E" w:rsidRPr="00986F85" w:rsidRDefault="003E184E" w:rsidP="005678F2">
      <w:pPr>
        <w:numPr>
          <w:ilvl w:val="0"/>
          <w:numId w:val="14"/>
        </w:numPr>
        <w:spacing w:after="0" w:line="360" w:lineRule="auto"/>
        <w:jc w:val="both"/>
        <w:rPr>
          <w:rFonts w:cs="Times New Roman"/>
          <w:sz w:val="22"/>
        </w:rPr>
      </w:pPr>
      <w:r w:rsidRPr="00986F85">
        <w:rPr>
          <w:rFonts w:cs="Times New Roman"/>
          <w:sz w:val="22"/>
        </w:rPr>
        <w:t xml:space="preserve">Hivatalos együttműködési megállapodás megkötése közérdekű adatokkal rendelkező kormányzati szervekkel, a NAV-val és a NFH-val. </w:t>
      </w:r>
    </w:p>
    <w:p w14:paraId="7D5A3AA4" w14:textId="77777777" w:rsidR="003E184E" w:rsidRPr="00986F85" w:rsidRDefault="003E184E" w:rsidP="005678F2">
      <w:pPr>
        <w:numPr>
          <w:ilvl w:val="0"/>
          <w:numId w:val="14"/>
        </w:numPr>
        <w:spacing w:after="0" w:line="360" w:lineRule="auto"/>
        <w:jc w:val="both"/>
        <w:rPr>
          <w:rFonts w:cs="Times New Roman"/>
          <w:sz w:val="22"/>
        </w:rPr>
      </w:pPr>
      <w:r w:rsidRPr="00986F85">
        <w:rPr>
          <w:rFonts w:cs="Times New Roman"/>
          <w:sz w:val="22"/>
        </w:rPr>
        <w:t>Vállalati mérlegadatok bekérése helyett a NAV-val való együttműködés keretében a nyertes és nem nyertes pályázók éves állományainak rendszeres időközönkénti való összekapcsolása. (pl. programperiódust  megelőzően, közbenső és ex post vizsgálatok időzítéséhez igazítva).</w:t>
      </w:r>
    </w:p>
    <w:p w14:paraId="09889AFF" w14:textId="77777777" w:rsidR="003E184E" w:rsidRPr="00986F85" w:rsidRDefault="003E184E" w:rsidP="005678F2">
      <w:pPr>
        <w:numPr>
          <w:ilvl w:val="0"/>
          <w:numId w:val="14"/>
        </w:numPr>
        <w:spacing w:after="0" w:line="360" w:lineRule="auto"/>
        <w:jc w:val="both"/>
        <w:rPr>
          <w:rFonts w:cs="Times New Roman"/>
          <w:sz w:val="22"/>
        </w:rPr>
      </w:pPr>
      <w:r w:rsidRPr="00986F85">
        <w:rPr>
          <w:rFonts w:cs="Times New Roman"/>
          <w:sz w:val="22"/>
        </w:rPr>
        <w:t>A pályázati adminisztráció részéve tenni olyan nyilatkozat önkéntes megtételét, mellyel az érintett vállalkozás hozzájárul adatainak kutatási célú felhasználásához.</w:t>
      </w:r>
    </w:p>
    <w:p w14:paraId="58AECE06" w14:textId="77777777" w:rsidR="003E184E" w:rsidRPr="00986F85" w:rsidRDefault="003E184E" w:rsidP="005678F2">
      <w:pPr>
        <w:numPr>
          <w:ilvl w:val="0"/>
          <w:numId w:val="14"/>
        </w:numPr>
        <w:spacing w:after="0" w:line="360" w:lineRule="auto"/>
        <w:jc w:val="both"/>
        <w:rPr>
          <w:rFonts w:cs="Times New Roman"/>
          <w:sz w:val="22"/>
        </w:rPr>
      </w:pPr>
      <w:r w:rsidRPr="00986F85">
        <w:rPr>
          <w:rFonts w:cs="Times New Roman"/>
          <w:sz w:val="22"/>
        </w:rPr>
        <w:t>EMIR: Foglalkoztatotti adatok korrekciója vállalati eredmény-beszámolókból származó adatokkal.</w:t>
      </w:r>
    </w:p>
    <w:p w14:paraId="4522AE85" w14:textId="77777777" w:rsidR="003E184E" w:rsidRPr="00986F85" w:rsidRDefault="003E184E" w:rsidP="005678F2">
      <w:pPr>
        <w:numPr>
          <w:ilvl w:val="0"/>
          <w:numId w:val="14"/>
        </w:numPr>
        <w:spacing w:after="0" w:line="360" w:lineRule="auto"/>
        <w:jc w:val="both"/>
        <w:rPr>
          <w:rFonts w:cs="Times New Roman"/>
          <w:sz w:val="22"/>
        </w:rPr>
      </w:pPr>
      <w:r w:rsidRPr="00986F85">
        <w:rPr>
          <w:rFonts w:cs="Times New Roman"/>
          <w:sz w:val="22"/>
        </w:rPr>
        <w:t xml:space="preserve">EMIR: új TEÁOR/2008 következetes átvezetése </w:t>
      </w:r>
    </w:p>
    <w:p w14:paraId="5E8E0532" w14:textId="77777777" w:rsidR="003E184E" w:rsidRPr="00986F85" w:rsidRDefault="003E184E" w:rsidP="005678F2">
      <w:pPr>
        <w:numPr>
          <w:ilvl w:val="0"/>
          <w:numId w:val="14"/>
        </w:numPr>
        <w:spacing w:after="0" w:line="360" w:lineRule="auto"/>
        <w:jc w:val="both"/>
        <w:rPr>
          <w:rFonts w:cs="Times New Roman"/>
          <w:sz w:val="22"/>
        </w:rPr>
      </w:pPr>
      <w:r w:rsidRPr="00986F85">
        <w:rPr>
          <w:rFonts w:cs="Times New Roman"/>
          <w:sz w:val="22"/>
        </w:rPr>
        <w:t xml:space="preserve">Rendszeres időközönként végzett adattisztítás és -ellenőrzés az EMIR teljes adatállományában. </w:t>
      </w:r>
    </w:p>
    <w:p w14:paraId="096A4A0D" w14:textId="77777777" w:rsidR="003E184E" w:rsidRPr="00986F85" w:rsidRDefault="003E184E" w:rsidP="005678F2">
      <w:pPr>
        <w:numPr>
          <w:ilvl w:val="0"/>
          <w:numId w:val="14"/>
        </w:numPr>
        <w:spacing w:after="0" w:line="360" w:lineRule="auto"/>
        <w:jc w:val="both"/>
        <w:rPr>
          <w:rFonts w:cs="Times New Roman"/>
          <w:sz w:val="22"/>
        </w:rPr>
      </w:pPr>
      <w:r w:rsidRPr="00986F85">
        <w:rPr>
          <w:rFonts w:cs="Times New Roman"/>
          <w:sz w:val="22"/>
        </w:rPr>
        <w:t xml:space="preserve">Rendszeres konzultáció hazai szakértőkkel és kutatókkal az EMIR adatok újrahasznosíthatósága és az adatminőség javítása – kiemelten figyelembe véve program-értékelési/ hatásvizsgálati szempontokat. </w:t>
      </w:r>
    </w:p>
    <w:p w14:paraId="4DA78400" w14:textId="77777777" w:rsidR="00B67D75" w:rsidRPr="00986F85" w:rsidRDefault="00B67D75" w:rsidP="003E184E">
      <w:pPr>
        <w:spacing w:line="360" w:lineRule="auto"/>
        <w:jc w:val="both"/>
        <w:rPr>
          <w:rFonts w:cs="Times New Roman"/>
          <w:b/>
          <w:i/>
          <w:sz w:val="22"/>
        </w:rPr>
      </w:pPr>
    </w:p>
    <w:p w14:paraId="2E7FE571" w14:textId="77777777" w:rsidR="003E184E" w:rsidRPr="00986F85" w:rsidRDefault="003E184E" w:rsidP="003E184E">
      <w:pPr>
        <w:spacing w:line="360" w:lineRule="auto"/>
        <w:jc w:val="both"/>
        <w:rPr>
          <w:b/>
          <w:i/>
          <w:sz w:val="22"/>
        </w:rPr>
      </w:pPr>
      <w:r w:rsidRPr="00986F85">
        <w:rPr>
          <w:b/>
          <w:i/>
          <w:sz w:val="22"/>
        </w:rPr>
        <w:t>A</w:t>
      </w:r>
      <w:r w:rsidRPr="00986F85">
        <w:rPr>
          <w:rFonts w:eastAsia="Times New Roman"/>
          <w:b/>
          <w:i/>
          <w:sz w:val="22"/>
        </w:rPr>
        <w:t xml:space="preserve"> </w:t>
      </w:r>
      <w:r w:rsidRPr="00986F85">
        <w:rPr>
          <w:b/>
          <w:i/>
          <w:sz w:val="22"/>
        </w:rPr>
        <w:t>hatásvizsgálat</w:t>
      </w:r>
      <w:r w:rsidRPr="00986F85">
        <w:rPr>
          <w:rFonts w:eastAsia="Times New Roman"/>
          <w:b/>
          <w:i/>
          <w:sz w:val="22"/>
        </w:rPr>
        <w:t xml:space="preserve"> </w:t>
      </w:r>
      <w:r w:rsidRPr="00986F85">
        <w:rPr>
          <w:b/>
          <w:i/>
          <w:sz w:val="22"/>
        </w:rPr>
        <w:t>eredményei</w:t>
      </w:r>
      <w:r w:rsidRPr="00986F85">
        <w:rPr>
          <w:rFonts w:eastAsia="Times New Roman"/>
          <w:b/>
          <w:i/>
          <w:sz w:val="22"/>
        </w:rPr>
        <w:t xml:space="preserve"> </w:t>
      </w:r>
      <w:r w:rsidRPr="00986F85">
        <w:rPr>
          <w:b/>
          <w:i/>
          <w:sz w:val="22"/>
        </w:rPr>
        <w:t>hogyan</w:t>
      </w:r>
      <w:r w:rsidRPr="00986F85">
        <w:rPr>
          <w:rFonts w:eastAsia="Times New Roman"/>
          <w:b/>
          <w:i/>
          <w:sz w:val="22"/>
        </w:rPr>
        <w:t xml:space="preserve"> </w:t>
      </w:r>
      <w:r w:rsidRPr="00986F85">
        <w:rPr>
          <w:b/>
          <w:i/>
          <w:sz w:val="22"/>
        </w:rPr>
        <w:t>csatolhatók</w:t>
      </w:r>
      <w:r w:rsidRPr="00986F85">
        <w:rPr>
          <w:rFonts w:eastAsia="Times New Roman"/>
          <w:b/>
          <w:i/>
          <w:sz w:val="22"/>
        </w:rPr>
        <w:t xml:space="preserve"> </w:t>
      </w:r>
      <w:r w:rsidRPr="00986F85">
        <w:rPr>
          <w:b/>
          <w:i/>
          <w:sz w:val="22"/>
        </w:rPr>
        <w:t>vissza</w:t>
      </w:r>
      <w:r w:rsidRPr="00986F85">
        <w:rPr>
          <w:rFonts w:eastAsia="Times New Roman"/>
          <w:b/>
          <w:i/>
          <w:sz w:val="22"/>
        </w:rPr>
        <w:t xml:space="preserve"> </w:t>
      </w:r>
      <w:r w:rsidRPr="00986F85">
        <w:rPr>
          <w:b/>
          <w:i/>
          <w:sz w:val="22"/>
        </w:rPr>
        <w:t>a</w:t>
      </w:r>
      <w:r w:rsidRPr="00986F85">
        <w:rPr>
          <w:rFonts w:eastAsia="Times New Roman"/>
          <w:b/>
          <w:i/>
          <w:sz w:val="22"/>
        </w:rPr>
        <w:t xml:space="preserve"> </w:t>
      </w:r>
      <w:r w:rsidRPr="00986F85">
        <w:rPr>
          <w:b/>
          <w:i/>
          <w:sz w:val="22"/>
        </w:rPr>
        <w:t>program-végrehajtás</w:t>
      </w:r>
      <w:r w:rsidRPr="00986F85">
        <w:rPr>
          <w:rFonts w:eastAsia="Times New Roman"/>
          <w:b/>
          <w:i/>
          <w:sz w:val="22"/>
        </w:rPr>
        <w:t xml:space="preserve"> </w:t>
      </w:r>
      <w:r w:rsidRPr="00986F85">
        <w:rPr>
          <w:b/>
          <w:i/>
          <w:sz w:val="22"/>
        </w:rPr>
        <w:t>szintjére,</w:t>
      </w:r>
      <w:r w:rsidRPr="00986F85">
        <w:rPr>
          <w:rFonts w:eastAsia="Times New Roman"/>
          <w:b/>
          <w:i/>
          <w:sz w:val="22"/>
        </w:rPr>
        <w:t xml:space="preserve"> </w:t>
      </w:r>
      <w:r w:rsidRPr="00986F85">
        <w:rPr>
          <w:b/>
          <w:i/>
          <w:sz w:val="22"/>
        </w:rPr>
        <w:t>a</w:t>
      </w:r>
      <w:r w:rsidRPr="00986F85">
        <w:rPr>
          <w:rFonts w:eastAsia="Times New Roman"/>
          <w:b/>
          <w:i/>
          <w:sz w:val="22"/>
        </w:rPr>
        <w:t xml:space="preserve"> </w:t>
      </w:r>
      <w:r w:rsidRPr="00986F85">
        <w:rPr>
          <w:b/>
          <w:i/>
          <w:sz w:val="22"/>
        </w:rPr>
        <w:t>2014-2020.</w:t>
      </w:r>
      <w:r w:rsidRPr="00986F85">
        <w:rPr>
          <w:rFonts w:eastAsia="Times New Roman"/>
          <w:b/>
          <w:i/>
          <w:sz w:val="22"/>
        </w:rPr>
        <w:t xml:space="preserve"> </w:t>
      </w:r>
      <w:r w:rsidRPr="00986F85">
        <w:rPr>
          <w:b/>
          <w:i/>
          <w:sz w:val="22"/>
        </w:rPr>
        <w:t>stratégiai</w:t>
      </w:r>
      <w:r w:rsidRPr="00986F85">
        <w:rPr>
          <w:rFonts w:eastAsia="Times New Roman"/>
          <w:b/>
          <w:i/>
          <w:sz w:val="22"/>
        </w:rPr>
        <w:t xml:space="preserve"> </w:t>
      </w:r>
      <w:r w:rsidRPr="00986F85">
        <w:rPr>
          <w:b/>
          <w:i/>
          <w:sz w:val="22"/>
        </w:rPr>
        <w:t>időszak</w:t>
      </w:r>
      <w:r w:rsidRPr="00986F85">
        <w:rPr>
          <w:rFonts w:eastAsia="Times New Roman"/>
          <w:b/>
          <w:i/>
          <w:sz w:val="22"/>
        </w:rPr>
        <w:t xml:space="preserve"> </w:t>
      </w:r>
      <w:r w:rsidRPr="00986F85">
        <w:rPr>
          <w:b/>
          <w:i/>
          <w:sz w:val="22"/>
        </w:rPr>
        <w:t>tervezésébe?</w:t>
      </w:r>
    </w:p>
    <w:p w14:paraId="7B91FA09" w14:textId="2281E315" w:rsidR="003E184E" w:rsidRPr="00986F85" w:rsidRDefault="003E184E" w:rsidP="005678F2">
      <w:pPr>
        <w:numPr>
          <w:ilvl w:val="0"/>
          <w:numId w:val="14"/>
        </w:numPr>
        <w:spacing w:after="0" w:line="360" w:lineRule="auto"/>
        <w:jc w:val="both"/>
        <w:rPr>
          <w:rFonts w:cs="Times New Roman"/>
          <w:sz w:val="22"/>
        </w:rPr>
      </w:pPr>
      <w:r w:rsidRPr="00986F85">
        <w:rPr>
          <w:rFonts w:cs="Times New Roman"/>
          <w:sz w:val="22"/>
        </w:rPr>
        <w:t xml:space="preserve">A következő programperiódus megkezdését követően is </w:t>
      </w:r>
      <w:r w:rsidR="00E433FC" w:rsidRPr="00986F85">
        <w:rPr>
          <w:rFonts w:cs="Times New Roman"/>
          <w:sz w:val="22"/>
        </w:rPr>
        <w:t xml:space="preserve">fontos </w:t>
      </w:r>
      <w:r w:rsidRPr="00986F85">
        <w:rPr>
          <w:rFonts w:cs="Times New Roman"/>
          <w:sz w:val="22"/>
        </w:rPr>
        <w:t xml:space="preserve">információkkal szolgálna a GOP 2.1.1. </w:t>
      </w:r>
      <w:r w:rsidR="00E433FC" w:rsidRPr="00986F85">
        <w:rPr>
          <w:rFonts w:cs="Times New Roman"/>
          <w:sz w:val="22"/>
        </w:rPr>
        <w:t xml:space="preserve">és KMOP 1.2.1. </w:t>
      </w:r>
      <w:r w:rsidRPr="00986F85">
        <w:rPr>
          <w:rFonts w:cs="Times New Roman"/>
          <w:sz w:val="22"/>
        </w:rPr>
        <w:t xml:space="preserve">intézkedés átfogó </w:t>
      </w:r>
      <w:r w:rsidRPr="00986F85">
        <w:rPr>
          <w:rFonts w:cs="Times New Roman"/>
          <w:i/>
          <w:sz w:val="22"/>
        </w:rPr>
        <w:t>ex post</w:t>
      </w:r>
      <w:r w:rsidRPr="00986F85">
        <w:rPr>
          <w:rFonts w:cs="Times New Roman"/>
          <w:sz w:val="22"/>
        </w:rPr>
        <w:t xml:space="preserve"> hatásviszgálata, melyet az intézkedés lezárását (2015) követően érdemes elkezdeni</w:t>
      </w:r>
      <w:r w:rsidR="00E433FC" w:rsidRPr="00986F85">
        <w:rPr>
          <w:rFonts w:cs="Times New Roman"/>
          <w:sz w:val="22"/>
        </w:rPr>
        <w:t>, egy teljes körűbb, vállalati mérlegadatokkal összekapcsolt adatbázison.</w:t>
      </w:r>
    </w:p>
    <w:p w14:paraId="2A32313E" w14:textId="6B471198" w:rsidR="003E184E" w:rsidRPr="00986F85" w:rsidRDefault="003E184E" w:rsidP="005678F2">
      <w:pPr>
        <w:numPr>
          <w:ilvl w:val="0"/>
          <w:numId w:val="14"/>
        </w:numPr>
        <w:spacing w:after="0" w:line="360" w:lineRule="auto"/>
        <w:jc w:val="both"/>
        <w:rPr>
          <w:rFonts w:cs="Times New Roman"/>
          <w:sz w:val="22"/>
        </w:rPr>
      </w:pPr>
      <w:r w:rsidRPr="00986F85">
        <w:rPr>
          <w:rFonts w:cs="Times New Roman"/>
          <w:sz w:val="22"/>
        </w:rPr>
        <w:t>A GOP utódprogram jobb célzása szempontjából fontos lenne a hazai KKV-szektor szegmentálása, a vállalati mérlegadatadokra támaszkodó elemzés egy (</w:t>
      </w:r>
      <w:r w:rsidR="00E433FC" w:rsidRPr="00986F85">
        <w:rPr>
          <w:rFonts w:cs="Times New Roman"/>
          <w:sz w:val="22"/>
        </w:rPr>
        <w:t xml:space="preserve">minimum </w:t>
      </w:r>
      <w:r w:rsidRPr="00986F85">
        <w:rPr>
          <w:rFonts w:cs="Times New Roman"/>
          <w:sz w:val="22"/>
        </w:rPr>
        <w:t>ágazati, területi, foglalkoztatotti létszám</w:t>
      </w:r>
      <w:r w:rsidR="00E433FC" w:rsidRPr="00986F85">
        <w:rPr>
          <w:rFonts w:cs="Times New Roman"/>
          <w:sz w:val="22"/>
        </w:rPr>
        <w:t xml:space="preserve"> </w:t>
      </w:r>
      <w:r w:rsidRPr="00986F85">
        <w:rPr>
          <w:rFonts w:cs="Times New Roman"/>
          <w:sz w:val="22"/>
        </w:rPr>
        <w:t>alapján) reprezentatív, vállalati mintán.</w:t>
      </w:r>
    </w:p>
    <w:p w14:paraId="6297E8AB" w14:textId="4EC0F351" w:rsidR="003E184E" w:rsidRPr="00986F85" w:rsidRDefault="003E184E" w:rsidP="005678F2">
      <w:pPr>
        <w:numPr>
          <w:ilvl w:val="0"/>
          <w:numId w:val="14"/>
        </w:numPr>
        <w:spacing w:after="0" w:line="360" w:lineRule="auto"/>
        <w:jc w:val="both"/>
        <w:rPr>
          <w:rFonts w:cs="Times New Roman"/>
          <w:sz w:val="22"/>
        </w:rPr>
      </w:pPr>
      <w:r w:rsidRPr="00986F85">
        <w:rPr>
          <w:rFonts w:cs="Times New Roman"/>
          <w:sz w:val="22"/>
        </w:rPr>
        <w:t>Jóllehet a jelen vizsgálat adathiány miatt nem tudta megerősíteni a korábbi elemzések azon megállapítását, hogy jelentős önszelekció figyelhető meg a pályázó cégek körében, érdemes volna a szelekciós vizsgálatot a közeljövőben 2006-ot megelőző időszakra</w:t>
      </w:r>
      <w:r w:rsidR="00E433FC" w:rsidRPr="00986F85">
        <w:rPr>
          <w:rFonts w:cs="Times New Roman"/>
          <w:sz w:val="22"/>
        </w:rPr>
        <w:t xml:space="preserve"> (ideálisan 2002-ig visszamenően)</w:t>
      </w:r>
      <w:r w:rsidRPr="00986F85">
        <w:rPr>
          <w:rFonts w:cs="Times New Roman"/>
          <w:sz w:val="22"/>
        </w:rPr>
        <w:t xml:space="preserve"> vállalati mérlegadatokat </w:t>
      </w:r>
      <w:r w:rsidR="00E433FC" w:rsidRPr="00986F85">
        <w:rPr>
          <w:rFonts w:cs="Times New Roman"/>
          <w:sz w:val="22"/>
        </w:rPr>
        <w:t xml:space="preserve">is </w:t>
      </w:r>
      <w:r w:rsidRPr="00986F85">
        <w:rPr>
          <w:rFonts w:cs="Times New Roman"/>
          <w:sz w:val="22"/>
        </w:rPr>
        <w:t>tartalmazó adatbázissal megismételni. Az a sejtés ugyanis, hogy a folyó programperiódusban is az eleve gyorsabban növekedő vállalkozások kap</w:t>
      </w:r>
      <w:r w:rsidR="00E433FC" w:rsidRPr="00986F85">
        <w:rPr>
          <w:rFonts w:cs="Times New Roman"/>
          <w:sz w:val="22"/>
        </w:rPr>
        <w:t>t</w:t>
      </w:r>
      <w:r w:rsidRPr="00986F85">
        <w:rPr>
          <w:rFonts w:cs="Times New Roman"/>
          <w:sz w:val="22"/>
        </w:rPr>
        <w:t>ak támogatást, a program társadalmi költségeinek halmozódását jelenti.</w:t>
      </w:r>
    </w:p>
    <w:p w14:paraId="78C5DD75" w14:textId="77777777" w:rsidR="003E184E" w:rsidRPr="00986F85" w:rsidRDefault="003E184E" w:rsidP="003E184E">
      <w:pPr>
        <w:pStyle w:val="Szvegtrzs"/>
        <w:spacing w:after="0" w:line="360" w:lineRule="auto"/>
        <w:ind w:left="720"/>
        <w:jc w:val="both"/>
        <w:rPr>
          <w:sz w:val="22"/>
        </w:rPr>
      </w:pPr>
    </w:p>
    <w:p w14:paraId="59CDBC93" w14:textId="77777777" w:rsidR="003E184E" w:rsidRPr="00986F85" w:rsidRDefault="003E184E" w:rsidP="003E184E">
      <w:pPr>
        <w:pStyle w:val="Szvegtrzs"/>
        <w:spacing w:after="0" w:line="360" w:lineRule="auto"/>
        <w:jc w:val="both"/>
        <w:rPr>
          <w:rFonts w:cs="Times New Roman"/>
          <w:sz w:val="22"/>
        </w:rPr>
      </w:pPr>
      <w:r w:rsidRPr="00986F85">
        <w:rPr>
          <w:rFonts w:cs="Times New Roman"/>
          <w:sz w:val="22"/>
        </w:rPr>
        <w:t>Mindenképp további, jövőbeni vizsgálatokat érdemelne:</w:t>
      </w:r>
    </w:p>
    <w:p w14:paraId="44C842F8" w14:textId="77777777" w:rsidR="003E184E" w:rsidRPr="00986F85" w:rsidRDefault="003E184E" w:rsidP="005678F2">
      <w:pPr>
        <w:numPr>
          <w:ilvl w:val="0"/>
          <w:numId w:val="14"/>
        </w:numPr>
        <w:spacing w:after="0" w:line="360" w:lineRule="auto"/>
        <w:jc w:val="both"/>
        <w:rPr>
          <w:rFonts w:cs="Times New Roman"/>
          <w:sz w:val="22"/>
        </w:rPr>
      </w:pPr>
      <w:r w:rsidRPr="00986F85">
        <w:rPr>
          <w:rFonts w:cs="Times New Roman"/>
          <w:sz w:val="22"/>
        </w:rPr>
        <w:t>a dinamikus hatások elemzése</w:t>
      </w:r>
    </w:p>
    <w:p w14:paraId="51BE0FB1" w14:textId="77777777" w:rsidR="003E184E" w:rsidRPr="00986F85" w:rsidRDefault="003E184E" w:rsidP="005678F2">
      <w:pPr>
        <w:numPr>
          <w:ilvl w:val="0"/>
          <w:numId w:val="14"/>
        </w:numPr>
        <w:spacing w:after="0" w:line="360" w:lineRule="auto"/>
        <w:jc w:val="both"/>
        <w:rPr>
          <w:rFonts w:cs="Times New Roman"/>
          <w:sz w:val="22"/>
        </w:rPr>
      </w:pPr>
      <w:r w:rsidRPr="00986F85">
        <w:rPr>
          <w:rFonts w:cs="Times New Roman"/>
          <w:sz w:val="22"/>
        </w:rPr>
        <w:t>a termelékenységi hatások becslése,</w:t>
      </w:r>
    </w:p>
    <w:p w14:paraId="036CCCDA" w14:textId="77777777" w:rsidR="003E184E" w:rsidRPr="00986F85" w:rsidRDefault="003E184E" w:rsidP="005678F2">
      <w:pPr>
        <w:numPr>
          <w:ilvl w:val="0"/>
          <w:numId w:val="14"/>
        </w:numPr>
        <w:spacing w:after="0" w:line="360" w:lineRule="auto"/>
        <w:jc w:val="both"/>
        <w:rPr>
          <w:rFonts w:cs="Times New Roman"/>
          <w:sz w:val="22"/>
        </w:rPr>
      </w:pPr>
      <w:r w:rsidRPr="00986F85">
        <w:rPr>
          <w:rFonts w:cs="Times New Roman"/>
          <w:sz w:val="22"/>
        </w:rPr>
        <w:t>a beavatkozás alternatív költségeinek feltárása – azaz annak elemzése, hogy e támogatások keretében elköltött adóforint milyen foglalkoztatási többlettel járna, amennyiben más kormányzati program forrásául szolgálna (pl. aktív munkaerőpiaci eszközök finanszírozására)</w:t>
      </w:r>
    </w:p>
    <w:p w14:paraId="7FFB689C" w14:textId="77777777" w:rsidR="003E184E" w:rsidRPr="00986F85" w:rsidRDefault="003E184E" w:rsidP="005678F2">
      <w:pPr>
        <w:numPr>
          <w:ilvl w:val="0"/>
          <w:numId w:val="14"/>
        </w:numPr>
        <w:spacing w:after="0" w:line="360" w:lineRule="auto"/>
        <w:jc w:val="both"/>
        <w:rPr>
          <w:rFonts w:cs="Times New Roman"/>
          <w:sz w:val="22"/>
        </w:rPr>
      </w:pPr>
      <w:r w:rsidRPr="00986F85">
        <w:rPr>
          <w:rFonts w:cs="Times New Roman"/>
          <w:sz w:val="22"/>
        </w:rPr>
        <w:t>a 2008. évi gazdasági válság hatásainak, kiemelten a kapcsolódó területi és iparági hatások becslése (legrosszabbul teljesítő kistérségekben található vállalkozások teljesítményének változása, 2008-2009, 2006-2011), illetve</w:t>
      </w:r>
    </w:p>
    <w:p w14:paraId="0DE32A59" w14:textId="77777777" w:rsidR="003E184E" w:rsidRPr="00986F85" w:rsidRDefault="003E184E" w:rsidP="005678F2">
      <w:pPr>
        <w:numPr>
          <w:ilvl w:val="0"/>
          <w:numId w:val="14"/>
        </w:numPr>
        <w:spacing w:after="0" w:line="360" w:lineRule="auto"/>
        <w:jc w:val="both"/>
        <w:rPr>
          <w:rFonts w:cs="Times New Roman"/>
          <w:sz w:val="22"/>
        </w:rPr>
      </w:pPr>
      <w:r w:rsidRPr="00986F85">
        <w:rPr>
          <w:rFonts w:cs="Times New Roman"/>
          <w:sz w:val="22"/>
        </w:rPr>
        <w:t>a hasonló programok más tagországokbeli, most készülő hatásvizsgálatainak összegyűjtése, és a magyar tapasztalatokkal való összevetése,</w:t>
      </w:r>
    </w:p>
    <w:p w14:paraId="5EDC6009" w14:textId="77777777" w:rsidR="003E184E" w:rsidRPr="00986F85" w:rsidRDefault="003E184E" w:rsidP="005678F2">
      <w:pPr>
        <w:numPr>
          <w:ilvl w:val="0"/>
          <w:numId w:val="14"/>
        </w:numPr>
        <w:spacing w:after="0" w:line="360" w:lineRule="auto"/>
        <w:jc w:val="both"/>
        <w:rPr>
          <w:rFonts w:cs="Times New Roman"/>
          <w:sz w:val="22"/>
        </w:rPr>
      </w:pPr>
      <w:r w:rsidRPr="00986F85">
        <w:rPr>
          <w:rFonts w:cs="Times New Roman"/>
          <w:sz w:val="22"/>
        </w:rPr>
        <w:t>a program társadalmi elosztási (pl. Gini-koefficiensre gyakorolt) hatásainak mikroszimuláció segítségével való megbecslése.</w:t>
      </w:r>
    </w:p>
    <w:p w14:paraId="475D32F4" w14:textId="77777777" w:rsidR="003E184E" w:rsidRPr="00986F85" w:rsidRDefault="003E184E" w:rsidP="003E184E">
      <w:pPr>
        <w:pStyle w:val="Szvegtrzs"/>
        <w:spacing w:after="0" w:line="360" w:lineRule="auto"/>
        <w:jc w:val="both"/>
        <w:rPr>
          <w:sz w:val="22"/>
        </w:rPr>
      </w:pPr>
    </w:p>
    <w:p w14:paraId="75CE0563" w14:textId="77777777" w:rsidR="0076036B" w:rsidRPr="00986F85" w:rsidRDefault="0076036B" w:rsidP="00B04415">
      <w:pPr>
        <w:pStyle w:val="Cmsor1"/>
        <w:spacing w:before="0" w:after="0" w:line="360" w:lineRule="auto"/>
        <w:jc w:val="both"/>
        <w:rPr>
          <w:szCs w:val="24"/>
        </w:rPr>
      </w:pPr>
      <w:bookmarkStart w:id="4" w:name="_Toc230854303"/>
      <w:r w:rsidRPr="00986F85">
        <w:rPr>
          <w:szCs w:val="24"/>
        </w:rPr>
        <w:t>BEVEZETŐ</w:t>
      </w:r>
      <w:bookmarkEnd w:id="4"/>
    </w:p>
    <w:p w14:paraId="7BB1A152" w14:textId="77777777" w:rsidR="009A68E7" w:rsidRPr="00986F85" w:rsidRDefault="0081651F" w:rsidP="009A68E7">
      <w:pPr>
        <w:pStyle w:val="NormlWeb1"/>
        <w:spacing w:before="0" w:after="0" w:line="360" w:lineRule="auto"/>
        <w:jc w:val="both"/>
        <w:rPr>
          <w:rFonts w:ascii="Myriad Pro" w:hAnsi="Myriad Pro"/>
        </w:rPr>
      </w:pPr>
      <w:r w:rsidRPr="00986F85">
        <w:rPr>
          <w:rFonts w:ascii="Myriad Pro" w:eastAsia="Calibri" w:hAnsi="Myriad Pro"/>
        </w:rPr>
        <w:t>Jelen</w:t>
      </w:r>
      <w:r w:rsidRPr="00986F85">
        <w:rPr>
          <w:rFonts w:ascii="Myriad Pro" w:eastAsia="Times New Roman" w:hAnsi="Myriad Pro"/>
        </w:rPr>
        <w:t xml:space="preserve"> </w:t>
      </w:r>
      <w:r w:rsidRPr="00986F85">
        <w:rPr>
          <w:rFonts w:ascii="Myriad Pro" w:hAnsi="Myriad Pro"/>
        </w:rPr>
        <w:t>dokumentum</w:t>
      </w:r>
      <w:r w:rsidRPr="00986F85">
        <w:rPr>
          <w:rFonts w:ascii="Myriad Pro" w:eastAsia="Times New Roman" w:hAnsi="Myriad Pro"/>
        </w:rPr>
        <w:t xml:space="preserve"> </w:t>
      </w:r>
      <w:r w:rsidRPr="00986F85">
        <w:rPr>
          <w:rFonts w:ascii="Myriad Pro" w:hAnsi="Myriad Pro"/>
        </w:rPr>
        <w:t>a</w:t>
      </w:r>
      <w:r w:rsidRPr="00986F85">
        <w:rPr>
          <w:rFonts w:ascii="Myriad Pro" w:eastAsia="Times New Roman" w:hAnsi="Myriad Pro"/>
        </w:rPr>
        <w:t xml:space="preserve"> </w:t>
      </w:r>
      <w:r w:rsidRPr="00986F85">
        <w:rPr>
          <w:rFonts w:ascii="Myriad Pro" w:hAnsi="Myriad Pro"/>
        </w:rPr>
        <w:t>Budapest</w:t>
      </w:r>
      <w:r w:rsidRPr="00986F85">
        <w:rPr>
          <w:rFonts w:ascii="Myriad Pro" w:eastAsia="Times New Roman" w:hAnsi="Myriad Pro"/>
        </w:rPr>
        <w:t xml:space="preserve"> </w:t>
      </w:r>
      <w:r w:rsidRPr="00986F85">
        <w:rPr>
          <w:rFonts w:ascii="Myriad Pro" w:hAnsi="Myriad Pro"/>
        </w:rPr>
        <w:t>Szakpolitikai</w:t>
      </w:r>
      <w:r w:rsidRPr="00986F85">
        <w:rPr>
          <w:rFonts w:ascii="Myriad Pro" w:eastAsia="Times New Roman" w:hAnsi="Myriad Pro"/>
        </w:rPr>
        <w:t xml:space="preserve"> </w:t>
      </w:r>
      <w:r w:rsidRPr="00986F85">
        <w:rPr>
          <w:rFonts w:ascii="Myriad Pro" w:hAnsi="Myriad Pro"/>
        </w:rPr>
        <w:t>Elemző</w:t>
      </w:r>
      <w:r w:rsidRPr="00986F85">
        <w:rPr>
          <w:rFonts w:ascii="Myriad Pro" w:eastAsia="Times New Roman" w:hAnsi="Myriad Pro"/>
        </w:rPr>
        <w:t xml:space="preserve"> </w:t>
      </w:r>
      <w:r w:rsidRPr="00986F85">
        <w:rPr>
          <w:rFonts w:ascii="Myriad Pro" w:hAnsi="Myriad Pro"/>
        </w:rPr>
        <w:t>Intézet</w:t>
      </w:r>
      <w:r w:rsidRPr="00986F85">
        <w:rPr>
          <w:rFonts w:ascii="Myriad Pro" w:eastAsia="Times New Roman" w:hAnsi="Myriad Pro"/>
        </w:rPr>
        <w:t xml:space="preserve"> </w:t>
      </w:r>
      <w:r w:rsidRPr="00986F85">
        <w:rPr>
          <w:rFonts w:ascii="Myriad Pro" w:hAnsi="Myriad Pro"/>
        </w:rPr>
        <w:t xml:space="preserve">elemzése </w:t>
      </w:r>
      <w:r w:rsidRPr="00986F85">
        <w:rPr>
          <w:rFonts w:ascii="Myriad Pro" w:eastAsia="Times New Roman" w:hAnsi="Myriad Pro"/>
        </w:rPr>
        <w:t>a</w:t>
      </w:r>
      <w:r w:rsidRPr="00986F85">
        <w:rPr>
          <w:rFonts w:ascii="Myriad Pro" w:hAnsi="Myriad Pro"/>
        </w:rPr>
        <w:t xml:space="preserve"> ’</w:t>
      </w:r>
      <w:r w:rsidRPr="00986F85">
        <w:rPr>
          <w:rFonts w:ascii="Myriad Pro" w:hAnsi="Myriad Pro" w:cs="Arial"/>
        </w:rPr>
        <w:t>komplex vállalati technológia-fejlesztés kis- és középvállalkozások számára</w:t>
      </w:r>
      <w:r w:rsidRPr="00986F85">
        <w:rPr>
          <w:rFonts w:ascii="Myriad Pro" w:hAnsi="Myriad Pro"/>
        </w:rPr>
        <w:t xml:space="preserve"> indított konstrukciók</w:t>
      </w:r>
      <w:r w:rsidRPr="00986F85">
        <w:rPr>
          <w:rFonts w:ascii="Myriad Pro" w:eastAsia="Times New Roman" w:hAnsi="Myriad Pro"/>
        </w:rPr>
        <w:t xml:space="preserve">’ </w:t>
      </w:r>
      <w:r w:rsidR="00976D70" w:rsidRPr="00986F85">
        <w:rPr>
          <w:rFonts w:ascii="Myriad Pro" w:eastAsia="Times New Roman" w:hAnsi="Myriad Pro"/>
        </w:rPr>
        <w:t xml:space="preserve">mérhető </w:t>
      </w:r>
      <w:r w:rsidR="00B264E2" w:rsidRPr="00986F85">
        <w:rPr>
          <w:rFonts w:ascii="Myriad Pro" w:eastAsia="Times New Roman" w:hAnsi="Myriad Pro"/>
        </w:rPr>
        <w:t>hatás</w:t>
      </w:r>
      <w:r w:rsidR="00976D70" w:rsidRPr="00986F85">
        <w:rPr>
          <w:rFonts w:ascii="Myriad Pro" w:eastAsia="Times New Roman" w:hAnsi="Myriad Pro"/>
        </w:rPr>
        <w:t>airól</w:t>
      </w:r>
      <w:r w:rsidRPr="00986F85">
        <w:rPr>
          <w:rFonts w:ascii="Myriad Pro" w:eastAsia="Times New Roman" w:hAnsi="Myriad Pro"/>
        </w:rPr>
        <w:t>,</w:t>
      </w:r>
      <w:r w:rsidR="00B264E2" w:rsidRPr="00986F85">
        <w:rPr>
          <w:rFonts w:ascii="Myriad Pro" w:eastAsia="Times New Roman" w:hAnsi="Myriad Pro"/>
        </w:rPr>
        <w:t xml:space="preserve"> valamint a G</w:t>
      </w:r>
      <w:r w:rsidR="00B86C66" w:rsidRPr="00986F85">
        <w:rPr>
          <w:rFonts w:ascii="Myriad Pro" w:eastAsia="Times New Roman" w:hAnsi="Myriad Pro"/>
        </w:rPr>
        <w:t xml:space="preserve">azdaságfejlesztési </w:t>
      </w:r>
      <w:r w:rsidR="00B264E2" w:rsidRPr="00986F85">
        <w:rPr>
          <w:rFonts w:ascii="Myriad Pro" w:eastAsia="Times New Roman" w:hAnsi="Myriad Pro"/>
        </w:rPr>
        <w:t>O</w:t>
      </w:r>
      <w:r w:rsidR="00B86C66" w:rsidRPr="00986F85">
        <w:rPr>
          <w:rFonts w:ascii="Myriad Pro" w:eastAsia="Times New Roman" w:hAnsi="Myriad Pro"/>
        </w:rPr>
        <w:t xml:space="preserve">peratív </w:t>
      </w:r>
      <w:r w:rsidR="00B264E2" w:rsidRPr="00986F85">
        <w:rPr>
          <w:rFonts w:ascii="Myriad Pro" w:eastAsia="Times New Roman" w:hAnsi="Myriad Pro"/>
        </w:rPr>
        <w:t>P</w:t>
      </w:r>
      <w:r w:rsidR="00B86C66" w:rsidRPr="00986F85">
        <w:rPr>
          <w:rFonts w:ascii="Myriad Pro" w:eastAsia="Times New Roman" w:hAnsi="Myriad Pro"/>
        </w:rPr>
        <w:t>rogram (GOP)</w:t>
      </w:r>
      <w:r w:rsidR="00B264E2" w:rsidRPr="00986F85">
        <w:rPr>
          <w:rFonts w:ascii="Myriad Pro" w:eastAsia="Times New Roman" w:hAnsi="Myriad Pro"/>
        </w:rPr>
        <w:t xml:space="preserve"> nyertes pályázók pályázati stratégiájáról. </w:t>
      </w:r>
      <w:r w:rsidR="00976D70" w:rsidRPr="00986F85">
        <w:rPr>
          <w:rFonts w:ascii="Myriad Pro" w:eastAsia="Times New Roman" w:hAnsi="Myriad Pro"/>
        </w:rPr>
        <w:t>Az elemzés</w:t>
      </w:r>
      <w:r w:rsidRPr="00986F85">
        <w:rPr>
          <w:rFonts w:ascii="Myriad Pro" w:eastAsia="Times New Roman" w:hAnsi="Myriad Pro"/>
        </w:rPr>
        <w:t xml:space="preserve"> </w:t>
      </w:r>
      <w:r w:rsidRPr="00986F85">
        <w:rPr>
          <w:rFonts w:ascii="Myriad Pro" w:hAnsi="Myriad Pro"/>
        </w:rPr>
        <w:t>a</w:t>
      </w:r>
      <w:r w:rsidRPr="00986F85">
        <w:rPr>
          <w:rFonts w:ascii="Myriad Pro" w:eastAsia="Times New Roman" w:hAnsi="Myriad Pro"/>
        </w:rPr>
        <w:t xml:space="preserve"> </w:t>
      </w:r>
      <w:r w:rsidRPr="00986F85">
        <w:rPr>
          <w:rFonts w:ascii="Myriad Pro" w:hAnsi="Myriad Pro"/>
        </w:rPr>
        <w:t>Nemzeti</w:t>
      </w:r>
      <w:r w:rsidRPr="00986F85">
        <w:rPr>
          <w:rFonts w:ascii="Myriad Pro" w:eastAsia="Times New Roman" w:hAnsi="Myriad Pro"/>
        </w:rPr>
        <w:t xml:space="preserve"> </w:t>
      </w:r>
      <w:r w:rsidRPr="00986F85">
        <w:rPr>
          <w:rFonts w:ascii="Myriad Pro" w:hAnsi="Myriad Pro"/>
        </w:rPr>
        <w:t>Fejlesztési</w:t>
      </w:r>
      <w:r w:rsidRPr="00986F85">
        <w:rPr>
          <w:rFonts w:ascii="Myriad Pro" w:eastAsia="Times New Roman" w:hAnsi="Myriad Pro"/>
        </w:rPr>
        <w:t xml:space="preserve"> </w:t>
      </w:r>
      <w:r w:rsidRPr="00986F85">
        <w:rPr>
          <w:rFonts w:ascii="Myriad Pro" w:hAnsi="Myriad Pro"/>
        </w:rPr>
        <w:t xml:space="preserve">Ügynökség megrendelésére készült. </w:t>
      </w:r>
    </w:p>
    <w:p w14:paraId="6886B874" w14:textId="77777777" w:rsidR="009A68E7" w:rsidRPr="00986F85" w:rsidRDefault="009A68E7" w:rsidP="009A68E7">
      <w:pPr>
        <w:pStyle w:val="NormlWeb1"/>
        <w:spacing w:before="0" w:after="0" w:line="360" w:lineRule="auto"/>
        <w:jc w:val="both"/>
        <w:rPr>
          <w:rFonts w:ascii="Myriad Pro" w:hAnsi="Myriad Pro"/>
        </w:rPr>
      </w:pPr>
    </w:p>
    <w:p w14:paraId="135F291D" w14:textId="77777777" w:rsidR="009A68E7" w:rsidRPr="00986F85" w:rsidRDefault="00B74E1A" w:rsidP="00B04415">
      <w:pPr>
        <w:spacing w:after="0" w:line="360" w:lineRule="auto"/>
        <w:jc w:val="both"/>
        <w:outlineLvl w:val="0"/>
        <w:rPr>
          <w:rFonts w:cs="Times New Roman"/>
          <w:szCs w:val="24"/>
        </w:rPr>
      </w:pPr>
      <w:r w:rsidRPr="00986F85">
        <w:rPr>
          <w:rFonts w:cs="Times New Roman"/>
          <w:szCs w:val="24"/>
        </w:rPr>
        <w:t xml:space="preserve">A vizsgálat kereteit, ezen belül is célját, tárgyát, elemzési kérdéseinket és hipotéziseinket, valamint az alkalmazott módszereket mutatjuk be az 1. fejezetben. A 2. </w:t>
      </w:r>
      <w:r w:rsidR="004A0E5E" w:rsidRPr="00986F85">
        <w:rPr>
          <w:rFonts w:cs="Times New Roman"/>
          <w:szCs w:val="24"/>
        </w:rPr>
        <w:t xml:space="preserve">és 3. </w:t>
      </w:r>
      <w:r w:rsidRPr="00986F85">
        <w:rPr>
          <w:rFonts w:cs="Times New Roman"/>
          <w:szCs w:val="24"/>
        </w:rPr>
        <w:t xml:space="preserve">fejezet taglalja a hatásvizsgálat megalapozását szolgáló </w:t>
      </w:r>
      <w:r w:rsidR="00BD2899" w:rsidRPr="00986F85">
        <w:rPr>
          <w:rFonts w:cs="Times New Roman"/>
          <w:szCs w:val="24"/>
        </w:rPr>
        <w:t xml:space="preserve">lépéseinket – köztük a korábbi, vonatkozó elemzések eredményeit, a rendelkezésünkre bocsátott adatbázisokat és ezek </w:t>
      </w:r>
      <w:r w:rsidR="004A0E5E" w:rsidRPr="00986F85">
        <w:rPr>
          <w:rFonts w:cs="Times New Roman"/>
          <w:szCs w:val="24"/>
        </w:rPr>
        <w:t>átfogó elemzését. A 4.</w:t>
      </w:r>
      <w:r w:rsidR="00BD2899" w:rsidRPr="00986F85">
        <w:rPr>
          <w:rFonts w:cs="Times New Roman"/>
          <w:szCs w:val="24"/>
        </w:rPr>
        <w:t xml:space="preserve"> fejezetben térünk ki az elvégzett hatásvizsgálat eredmé</w:t>
      </w:r>
      <w:r w:rsidR="00B25727" w:rsidRPr="00986F85">
        <w:rPr>
          <w:rFonts w:cs="Times New Roman"/>
          <w:szCs w:val="24"/>
        </w:rPr>
        <w:t>nyeinek bemutatására. Végül, az</w:t>
      </w:r>
      <w:r w:rsidR="00BD2899" w:rsidRPr="00986F85">
        <w:rPr>
          <w:rFonts w:cs="Times New Roman"/>
          <w:szCs w:val="24"/>
        </w:rPr>
        <w:t xml:space="preserve"> adatgyűjtésre, érintett adatbázisok fejlesztésére vonatkozó, illetve a szakpolitiaki tervezőknek és végrehajtóknak szánt javaslatainkkal zárjuk a jelentést.</w:t>
      </w:r>
    </w:p>
    <w:p w14:paraId="44B8F163" w14:textId="77777777" w:rsidR="009A68E7" w:rsidRPr="00986F85" w:rsidRDefault="00BD2899" w:rsidP="009A68E7">
      <w:pPr>
        <w:rPr>
          <w:rFonts w:eastAsia="Times New Roman"/>
        </w:rPr>
      </w:pPr>
      <w:r w:rsidRPr="00986F85">
        <w:t xml:space="preserve"> </w:t>
      </w:r>
    </w:p>
    <w:p w14:paraId="0611311E" w14:textId="77777777" w:rsidR="005C7B6F" w:rsidRPr="00986F85" w:rsidRDefault="00BD2899" w:rsidP="00B04415">
      <w:pPr>
        <w:pStyle w:val="Cmsor1"/>
        <w:spacing w:before="0" w:after="0" w:line="360" w:lineRule="auto"/>
        <w:jc w:val="both"/>
        <w:rPr>
          <w:szCs w:val="24"/>
        </w:rPr>
      </w:pPr>
      <w:bookmarkStart w:id="5" w:name="_Toc230854304"/>
      <w:r w:rsidRPr="00986F85">
        <w:rPr>
          <w:szCs w:val="24"/>
        </w:rPr>
        <w:t xml:space="preserve">I. </w:t>
      </w:r>
      <w:r w:rsidR="005C7B6F" w:rsidRPr="00986F85">
        <w:rPr>
          <w:szCs w:val="24"/>
        </w:rPr>
        <w:t>A VIZSGÁLAT KERETE</w:t>
      </w:r>
      <w:bookmarkEnd w:id="5"/>
    </w:p>
    <w:p w14:paraId="5C9610AE" w14:textId="77777777" w:rsidR="0076036B" w:rsidRPr="00986F85" w:rsidRDefault="0076036B" w:rsidP="00B04415">
      <w:pPr>
        <w:pStyle w:val="Cmsor2"/>
        <w:spacing w:before="0" w:after="0" w:line="360" w:lineRule="auto"/>
        <w:jc w:val="both"/>
        <w:rPr>
          <w:rFonts w:ascii="Myriad Pro" w:hAnsi="Myriad Pro"/>
          <w:szCs w:val="24"/>
        </w:rPr>
      </w:pPr>
      <w:bookmarkStart w:id="6" w:name="_Toc230854305"/>
      <w:r w:rsidRPr="00986F85">
        <w:rPr>
          <w:rFonts w:ascii="Myriad Pro" w:hAnsi="Myriad Pro"/>
          <w:szCs w:val="24"/>
        </w:rPr>
        <w:t>VIZSGÁLAT CÉLJA</w:t>
      </w:r>
      <w:bookmarkEnd w:id="6"/>
    </w:p>
    <w:p w14:paraId="040AD9AD" w14:textId="77777777" w:rsidR="008B27F0" w:rsidRPr="00986F85" w:rsidRDefault="0012502A" w:rsidP="00B04415">
      <w:pPr>
        <w:pStyle w:val="Szvegtrzs"/>
        <w:spacing w:after="0" w:line="360" w:lineRule="auto"/>
        <w:jc w:val="both"/>
        <w:rPr>
          <w:rFonts w:cs="Times New Roman"/>
          <w:szCs w:val="24"/>
          <w:lang w:eastAsia="hu-HU"/>
        </w:rPr>
      </w:pPr>
      <w:r w:rsidRPr="00986F85">
        <w:rPr>
          <w:rFonts w:cs="Times New Roman"/>
          <w:szCs w:val="24"/>
          <w:lang w:eastAsia="hu-HU"/>
        </w:rPr>
        <w:t>V</w:t>
      </w:r>
      <w:r w:rsidR="00BA575F" w:rsidRPr="00986F85">
        <w:rPr>
          <w:rFonts w:cs="Times New Roman"/>
          <w:szCs w:val="24"/>
          <w:lang w:eastAsia="hu-HU"/>
        </w:rPr>
        <w:t xml:space="preserve">izsgálatunk </w:t>
      </w:r>
      <w:r w:rsidRPr="00986F85">
        <w:rPr>
          <w:rFonts w:cs="Times New Roman"/>
          <w:szCs w:val="24"/>
          <w:lang w:eastAsia="hu-HU"/>
        </w:rPr>
        <w:t xml:space="preserve">elsődleges </w:t>
      </w:r>
      <w:r w:rsidR="00BA575F" w:rsidRPr="00986F85">
        <w:rPr>
          <w:rFonts w:cs="Times New Roman"/>
          <w:szCs w:val="24"/>
          <w:lang w:eastAsia="hu-HU"/>
        </w:rPr>
        <w:t xml:space="preserve">célja a GOP 2.1.1. és a KMOP 1.2.1. konstrukciók által tett beavatkozások </w:t>
      </w:r>
      <w:r w:rsidR="008B27F0" w:rsidRPr="00986F85">
        <w:rPr>
          <w:rFonts w:cs="Times New Roman"/>
          <w:szCs w:val="24"/>
          <w:lang w:eastAsia="hu-HU"/>
        </w:rPr>
        <w:t xml:space="preserve">közvetlen </w:t>
      </w:r>
      <w:r w:rsidR="00BA575F" w:rsidRPr="00986F85">
        <w:rPr>
          <w:rFonts w:cs="Times New Roman"/>
          <w:szCs w:val="24"/>
          <w:lang w:eastAsia="hu-HU"/>
        </w:rPr>
        <w:t>hatás</w:t>
      </w:r>
      <w:r w:rsidR="008B27F0" w:rsidRPr="00986F85">
        <w:rPr>
          <w:rFonts w:cs="Times New Roman"/>
          <w:szCs w:val="24"/>
          <w:lang w:eastAsia="hu-HU"/>
        </w:rPr>
        <w:t xml:space="preserve">ának </w:t>
      </w:r>
      <w:r w:rsidRPr="00986F85">
        <w:rPr>
          <w:rFonts w:cs="Times New Roman"/>
          <w:szCs w:val="24"/>
          <w:lang w:eastAsia="hu-HU"/>
        </w:rPr>
        <w:t>megítélése. A rendelkezésünkre bocsátott adatok alapján ezt kiegészítően kitérünk, a GOP nyertes vállalkozások, valamint az Új Széchényi Terv (ÚSZT) más operatív program</w:t>
      </w:r>
      <w:r w:rsidR="00647FA4" w:rsidRPr="00986F85">
        <w:rPr>
          <w:rFonts w:cs="Times New Roman"/>
          <w:szCs w:val="24"/>
          <w:lang w:eastAsia="hu-HU"/>
        </w:rPr>
        <w:t>jai</w:t>
      </w:r>
      <w:r w:rsidRPr="00986F85">
        <w:rPr>
          <w:rFonts w:cs="Times New Roman"/>
          <w:szCs w:val="24"/>
          <w:lang w:eastAsia="hu-HU"/>
        </w:rPr>
        <w:t xml:space="preserve"> (OP) keretében is támogatást kapott hazai vállalkozások pályázási </w:t>
      </w:r>
      <w:r w:rsidR="00223F47" w:rsidRPr="00986F85">
        <w:rPr>
          <w:rFonts w:cs="Times New Roman"/>
          <w:szCs w:val="24"/>
          <w:lang w:eastAsia="hu-HU"/>
        </w:rPr>
        <w:t xml:space="preserve">prefrenciáinak </w:t>
      </w:r>
      <w:r w:rsidRPr="00986F85">
        <w:rPr>
          <w:rFonts w:cs="Times New Roman"/>
          <w:szCs w:val="24"/>
          <w:lang w:eastAsia="hu-HU"/>
        </w:rPr>
        <w:t>leíró elemzésére</w:t>
      </w:r>
      <w:r w:rsidR="008F3114" w:rsidRPr="00986F85">
        <w:rPr>
          <w:rFonts w:cs="Times New Roman"/>
          <w:szCs w:val="24"/>
          <w:lang w:eastAsia="hu-HU"/>
        </w:rPr>
        <w:t>.</w:t>
      </w:r>
      <w:r w:rsidRPr="00986F85">
        <w:rPr>
          <w:rFonts w:cs="Times New Roman"/>
          <w:szCs w:val="24"/>
          <w:lang w:eastAsia="hu-HU"/>
        </w:rPr>
        <w:t xml:space="preserve"> A hatásvizsgálat ökonometriai, a leíró elemzés statisztikai módszer</w:t>
      </w:r>
      <w:r w:rsidR="00121D52" w:rsidRPr="00986F85">
        <w:rPr>
          <w:rFonts w:cs="Times New Roman"/>
          <w:szCs w:val="24"/>
          <w:lang w:eastAsia="hu-HU"/>
        </w:rPr>
        <w:t>ek</w:t>
      </w:r>
      <w:r w:rsidRPr="00986F85">
        <w:rPr>
          <w:rFonts w:cs="Times New Roman"/>
          <w:szCs w:val="24"/>
          <w:lang w:eastAsia="hu-HU"/>
        </w:rPr>
        <w:t>re épül.</w:t>
      </w:r>
    </w:p>
    <w:p w14:paraId="2F4D7BFE" w14:textId="77777777" w:rsidR="0012502A" w:rsidRPr="00986F85" w:rsidRDefault="0012502A" w:rsidP="00B04415">
      <w:pPr>
        <w:pStyle w:val="Szvegtrzs"/>
        <w:spacing w:after="0" w:line="360" w:lineRule="auto"/>
        <w:jc w:val="both"/>
        <w:rPr>
          <w:rFonts w:cs="Times New Roman"/>
          <w:szCs w:val="24"/>
          <w:lang w:eastAsia="hu-HU"/>
        </w:rPr>
      </w:pPr>
      <w:r w:rsidRPr="00986F85">
        <w:rPr>
          <w:rFonts w:cs="Times New Roman"/>
          <w:szCs w:val="24"/>
          <w:lang w:eastAsia="hu-HU"/>
        </w:rPr>
        <w:t xml:space="preserve"> </w:t>
      </w:r>
    </w:p>
    <w:p w14:paraId="4A9A9750" w14:textId="77777777" w:rsidR="00FC312E" w:rsidRPr="00986F85" w:rsidRDefault="00BA575F" w:rsidP="00B04415">
      <w:pPr>
        <w:pStyle w:val="Szvegtrzs"/>
        <w:spacing w:after="0" w:line="360" w:lineRule="auto"/>
        <w:jc w:val="both"/>
        <w:rPr>
          <w:rFonts w:cs="Times New Roman"/>
          <w:szCs w:val="24"/>
        </w:rPr>
      </w:pPr>
      <w:r w:rsidRPr="00986F85">
        <w:rPr>
          <w:rFonts w:cs="Times New Roman"/>
          <w:szCs w:val="24"/>
          <w:lang w:eastAsia="hu-HU"/>
        </w:rPr>
        <w:t>Egy</w:t>
      </w:r>
      <w:r w:rsidRPr="00986F85">
        <w:rPr>
          <w:rFonts w:eastAsia="Arial" w:cs="Times New Roman"/>
          <w:szCs w:val="24"/>
          <w:lang w:eastAsia="hu-HU"/>
        </w:rPr>
        <w:t xml:space="preserve"> </w:t>
      </w:r>
      <w:r w:rsidRPr="00986F85">
        <w:rPr>
          <w:rFonts w:cs="Times New Roman"/>
          <w:szCs w:val="24"/>
          <w:lang w:eastAsia="hu-HU"/>
        </w:rPr>
        <w:t>adott</w:t>
      </w:r>
      <w:r w:rsidRPr="00986F85">
        <w:rPr>
          <w:rFonts w:eastAsia="Arial" w:cs="Times New Roman"/>
          <w:szCs w:val="24"/>
          <w:lang w:eastAsia="hu-HU"/>
        </w:rPr>
        <w:t xml:space="preserve"> </w:t>
      </w:r>
      <w:r w:rsidRPr="00986F85">
        <w:rPr>
          <w:rFonts w:cs="Times New Roman"/>
          <w:szCs w:val="24"/>
          <w:lang w:eastAsia="hu-HU"/>
        </w:rPr>
        <w:t>beavatkozás</w:t>
      </w:r>
      <w:r w:rsidRPr="00986F85">
        <w:rPr>
          <w:rFonts w:eastAsia="Arial" w:cs="Times New Roman"/>
          <w:szCs w:val="24"/>
          <w:lang w:eastAsia="hu-HU"/>
        </w:rPr>
        <w:t xml:space="preserve"> </w:t>
      </w:r>
      <w:r w:rsidRPr="00986F85">
        <w:rPr>
          <w:rFonts w:cs="Times New Roman"/>
          <w:szCs w:val="24"/>
          <w:lang w:eastAsia="hu-HU"/>
        </w:rPr>
        <w:t>közvetlen</w:t>
      </w:r>
      <w:r w:rsidRPr="00986F85">
        <w:rPr>
          <w:rFonts w:eastAsia="Arial" w:cs="Times New Roman"/>
          <w:szCs w:val="24"/>
          <w:lang w:eastAsia="hu-HU"/>
        </w:rPr>
        <w:t xml:space="preserve"> </w:t>
      </w:r>
      <w:r w:rsidRPr="00986F85">
        <w:rPr>
          <w:rFonts w:cs="Times New Roman"/>
          <w:szCs w:val="24"/>
          <w:lang w:eastAsia="hu-HU"/>
        </w:rPr>
        <w:t>hatása</w:t>
      </w:r>
      <w:r w:rsidRPr="00986F85">
        <w:rPr>
          <w:rFonts w:eastAsia="Arial" w:cs="Times New Roman"/>
          <w:szCs w:val="24"/>
          <w:lang w:eastAsia="hu-HU"/>
        </w:rPr>
        <w:t xml:space="preserve"> </w:t>
      </w:r>
      <w:r w:rsidRPr="00986F85">
        <w:rPr>
          <w:rFonts w:cs="Times New Roman"/>
          <w:szCs w:val="24"/>
          <w:lang w:eastAsia="hu-HU"/>
        </w:rPr>
        <w:t>(pl.</w:t>
      </w:r>
      <w:r w:rsidRPr="00986F85">
        <w:rPr>
          <w:rFonts w:eastAsia="Arial" w:cs="Times New Roman"/>
          <w:szCs w:val="24"/>
          <w:lang w:eastAsia="hu-HU"/>
        </w:rPr>
        <w:t xml:space="preserve"> </w:t>
      </w:r>
      <w:r w:rsidRPr="00986F85">
        <w:rPr>
          <w:rFonts w:cs="Times New Roman"/>
          <w:szCs w:val="24"/>
          <w:lang w:eastAsia="hu-HU"/>
        </w:rPr>
        <w:t>az</w:t>
      </w:r>
      <w:r w:rsidRPr="00986F85">
        <w:rPr>
          <w:rFonts w:eastAsia="Arial" w:cs="Times New Roman"/>
          <w:szCs w:val="24"/>
          <w:lang w:eastAsia="hu-HU"/>
        </w:rPr>
        <w:t xml:space="preserve"> </w:t>
      </w:r>
      <w:r w:rsidRPr="00986F85">
        <w:rPr>
          <w:rFonts w:cs="Times New Roman"/>
          <w:szCs w:val="24"/>
          <w:lang w:eastAsia="hu-HU"/>
        </w:rPr>
        <w:t>adott</w:t>
      </w:r>
      <w:r w:rsidRPr="00986F85">
        <w:rPr>
          <w:rFonts w:eastAsia="Arial" w:cs="Times New Roman"/>
          <w:szCs w:val="24"/>
          <w:lang w:eastAsia="hu-HU"/>
        </w:rPr>
        <w:t xml:space="preserve"> </w:t>
      </w:r>
      <w:r w:rsidRPr="00986F85">
        <w:rPr>
          <w:rFonts w:cs="Times New Roman"/>
          <w:szCs w:val="24"/>
          <w:lang w:eastAsia="hu-HU"/>
        </w:rPr>
        <w:t>program</w:t>
      </w:r>
      <w:r w:rsidRPr="00986F85">
        <w:rPr>
          <w:rFonts w:eastAsia="Arial" w:cs="Times New Roman"/>
          <w:szCs w:val="24"/>
          <w:lang w:eastAsia="hu-HU"/>
        </w:rPr>
        <w:t xml:space="preserve"> </w:t>
      </w:r>
      <w:r w:rsidRPr="00986F85">
        <w:rPr>
          <w:rFonts w:cs="Times New Roman"/>
          <w:szCs w:val="24"/>
          <w:lang w:eastAsia="hu-HU"/>
        </w:rPr>
        <w:t>kedvezményezettjeire</w:t>
      </w:r>
      <w:r w:rsidRPr="00986F85">
        <w:rPr>
          <w:rFonts w:eastAsia="Arial" w:cs="Times New Roman"/>
          <w:szCs w:val="24"/>
          <w:lang w:eastAsia="hu-HU"/>
        </w:rPr>
        <w:t xml:space="preserve"> </w:t>
      </w:r>
      <w:r w:rsidRPr="00986F85">
        <w:rPr>
          <w:rFonts w:cs="Times New Roman"/>
          <w:szCs w:val="24"/>
          <w:lang w:eastAsia="hu-HU"/>
        </w:rPr>
        <w:t>gyakorolt</w:t>
      </w:r>
      <w:r w:rsidRPr="00986F85">
        <w:rPr>
          <w:rFonts w:eastAsia="Arial" w:cs="Times New Roman"/>
          <w:szCs w:val="24"/>
          <w:lang w:eastAsia="hu-HU"/>
        </w:rPr>
        <w:t xml:space="preserve"> </w:t>
      </w:r>
      <w:r w:rsidRPr="00986F85">
        <w:rPr>
          <w:rFonts w:cs="Times New Roman"/>
          <w:szCs w:val="24"/>
          <w:lang w:eastAsia="hu-HU"/>
        </w:rPr>
        <w:t>hatás)</w:t>
      </w:r>
      <w:r w:rsidRPr="00986F85">
        <w:rPr>
          <w:rFonts w:eastAsia="Arial" w:cs="Times New Roman"/>
          <w:szCs w:val="24"/>
          <w:lang w:eastAsia="hu-HU"/>
        </w:rPr>
        <w:t xml:space="preserve"> </w:t>
      </w:r>
      <w:r w:rsidRPr="00986F85">
        <w:rPr>
          <w:rFonts w:cs="Times New Roman"/>
          <w:szCs w:val="24"/>
          <w:lang w:eastAsia="hu-HU"/>
        </w:rPr>
        <w:t>mellett</w:t>
      </w:r>
      <w:r w:rsidRPr="00986F85">
        <w:rPr>
          <w:rFonts w:eastAsia="Arial" w:cs="Times New Roman"/>
          <w:szCs w:val="24"/>
          <w:lang w:eastAsia="hu-HU"/>
        </w:rPr>
        <w:t xml:space="preserve"> </w:t>
      </w:r>
      <w:r w:rsidR="008B27F0" w:rsidRPr="00986F85">
        <w:rPr>
          <w:rFonts w:eastAsia="Arial" w:cs="Times New Roman"/>
          <w:szCs w:val="24"/>
          <w:lang w:eastAsia="hu-HU"/>
        </w:rPr>
        <w:t xml:space="preserve">nem elhanyagolható </w:t>
      </w:r>
      <w:r w:rsidRPr="00986F85">
        <w:rPr>
          <w:rFonts w:cs="Times New Roman"/>
          <w:szCs w:val="24"/>
          <w:lang w:eastAsia="hu-HU"/>
        </w:rPr>
        <w:t>a</w:t>
      </w:r>
      <w:r w:rsidRPr="00986F85">
        <w:rPr>
          <w:rFonts w:eastAsia="Arial" w:cs="Times New Roman"/>
          <w:szCs w:val="24"/>
          <w:lang w:eastAsia="hu-HU"/>
        </w:rPr>
        <w:t xml:space="preserve"> </w:t>
      </w:r>
      <w:r w:rsidRPr="00986F85">
        <w:rPr>
          <w:rFonts w:cs="Times New Roman"/>
          <w:szCs w:val="24"/>
          <w:lang w:eastAsia="hu-HU"/>
        </w:rPr>
        <w:t>közvetett</w:t>
      </w:r>
      <w:r w:rsidRPr="00986F85">
        <w:rPr>
          <w:rFonts w:eastAsia="Arial" w:cs="Times New Roman"/>
          <w:szCs w:val="24"/>
          <w:lang w:eastAsia="hu-HU"/>
        </w:rPr>
        <w:t xml:space="preserve"> </w:t>
      </w:r>
      <w:r w:rsidRPr="00986F85">
        <w:rPr>
          <w:rFonts w:cs="Times New Roman"/>
          <w:szCs w:val="24"/>
          <w:lang w:eastAsia="hu-HU"/>
        </w:rPr>
        <w:t>hatások</w:t>
      </w:r>
      <w:r w:rsidRPr="00986F85">
        <w:rPr>
          <w:rFonts w:eastAsia="Arial" w:cs="Times New Roman"/>
          <w:szCs w:val="24"/>
          <w:lang w:eastAsia="hu-HU"/>
        </w:rPr>
        <w:t xml:space="preserve"> </w:t>
      </w:r>
      <w:r w:rsidRPr="00986F85">
        <w:rPr>
          <w:rFonts w:cs="Times New Roman"/>
          <w:szCs w:val="24"/>
          <w:lang w:eastAsia="hu-HU"/>
        </w:rPr>
        <w:t>(pl.</w:t>
      </w:r>
      <w:r w:rsidRPr="00986F85">
        <w:rPr>
          <w:rFonts w:eastAsia="Arial" w:cs="Times New Roman"/>
          <w:szCs w:val="24"/>
          <w:lang w:eastAsia="hu-HU"/>
        </w:rPr>
        <w:t xml:space="preserve"> </w:t>
      </w:r>
      <w:r w:rsidRPr="00986F85">
        <w:rPr>
          <w:rFonts w:cs="Times New Roman"/>
          <w:szCs w:val="24"/>
          <w:lang w:eastAsia="hu-HU"/>
        </w:rPr>
        <w:t>a</w:t>
      </w:r>
      <w:r w:rsidRPr="00986F85">
        <w:rPr>
          <w:rFonts w:eastAsia="Arial" w:cs="Times New Roman"/>
          <w:szCs w:val="24"/>
          <w:lang w:eastAsia="hu-HU"/>
        </w:rPr>
        <w:t xml:space="preserve"> </w:t>
      </w:r>
      <w:r w:rsidRPr="00986F85">
        <w:rPr>
          <w:rFonts w:cs="Times New Roman"/>
          <w:szCs w:val="24"/>
          <w:lang w:eastAsia="hu-HU"/>
        </w:rPr>
        <w:t>nem</w:t>
      </w:r>
      <w:r w:rsidRPr="00986F85">
        <w:rPr>
          <w:rFonts w:eastAsia="Arial" w:cs="Times New Roman"/>
          <w:szCs w:val="24"/>
          <w:lang w:eastAsia="hu-HU"/>
        </w:rPr>
        <w:t xml:space="preserve"> </w:t>
      </w:r>
      <w:r w:rsidRPr="00986F85">
        <w:rPr>
          <w:rFonts w:cs="Times New Roman"/>
          <w:szCs w:val="24"/>
          <w:lang w:eastAsia="hu-HU"/>
        </w:rPr>
        <w:t>nyertes</w:t>
      </w:r>
      <w:r w:rsidRPr="00986F85">
        <w:rPr>
          <w:rFonts w:eastAsia="Arial" w:cs="Times New Roman"/>
          <w:szCs w:val="24"/>
          <w:lang w:eastAsia="hu-HU"/>
        </w:rPr>
        <w:t xml:space="preserve"> </w:t>
      </w:r>
      <w:r w:rsidRPr="00986F85">
        <w:rPr>
          <w:rFonts w:cs="Times New Roman"/>
          <w:szCs w:val="24"/>
          <w:lang w:eastAsia="hu-HU"/>
        </w:rPr>
        <w:t>érintettekre</w:t>
      </w:r>
      <w:r w:rsidRPr="00986F85">
        <w:rPr>
          <w:rFonts w:eastAsia="Arial" w:cs="Times New Roman"/>
          <w:szCs w:val="24"/>
          <w:lang w:eastAsia="hu-HU"/>
        </w:rPr>
        <w:t xml:space="preserve"> </w:t>
      </w:r>
      <w:r w:rsidRPr="00986F85">
        <w:rPr>
          <w:rFonts w:cs="Times New Roman"/>
          <w:szCs w:val="24"/>
          <w:lang w:eastAsia="hu-HU"/>
        </w:rPr>
        <w:t>gyakorolt</w:t>
      </w:r>
      <w:r w:rsidRPr="00986F85">
        <w:rPr>
          <w:rFonts w:eastAsia="Arial" w:cs="Times New Roman"/>
          <w:szCs w:val="24"/>
          <w:lang w:eastAsia="hu-HU"/>
        </w:rPr>
        <w:t xml:space="preserve"> </w:t>
      </w:r>
      <w:r w:rsidRPr="00986F85">
        <w:rPr>
          <w:rFonts w:cs="Times New Roman"/>
          <w:szCs w:val="24"/>
          <w:lang w:eastAsia="hu-HU"/>
        </w:rPr>
        <w:t>hatások)</w:t>
      </w:r>
      <w:r w:rsidRPr="00986F85">
        <w:rPr>
          <w:rFonts w:eastAsia="Arial" w:cs="Times New Roman"/>
          <w:szCs w:val="24"/>
          <w:lang w:eastAsia="hu-HU"/>
        </w:rPr>
        <w:t xml:space="preserve"> </w:t>
      </w:r>
      <w:r w:rsidR="008B27F0" w:rsidRPr="00986F85">
        <w:rPr>
          <w:rFonts w:cs="Times New Roman"/>
          <w:szCs w:val="24"/>
          <w:lang w:eastAsia="hu-HU"/>
        </w:rPr>
        <w:t>elemzés</w:t>
      </w:r>
      <w:r w:rsidRPr="00986F85">
        <w:rPr>
          <w:rFonts w:cs="Times New Roman"/>
          <w:szCs w:val="24"/>
          <w:lang w:eastAsia="hu-HU"/>
        </w:rPr>
        <w:t>e is.</w:t>
      </w:r>
      <w:r w:rsidR="0012502A" w:rsidRPr="00986F85">
        <w:rPr>
          <w:rFonts w:cs="Times New Roman"/>
          <w:szCs w:val="24"/>
          <w:lang w:eastAsia="hu-HU"/>
        </w:rPr>
        <w:t xml:space="preserve"> </w:t>
      </w:r>
      <w:r w:rsidRPr="00986F85">
        <w:rPr>
          <w:rFonts w:cs="Times New Roman"/>
          <w:szCs w:val="24"/>
          <w:lang w:eastAsia="hu-HU"/>
        </w:rPr>
        <w:t>A</w:t>
      </w:r>
      <w:r w:rsidRPr="00986F85">
        <w:rPr>
          <w:rFonts w:eastAsia="Arial" w:cs="Times New Roman"/>
          <w:szCs w:val="24"/>
          <w:lang w:eastAsia="hu-HU"/>
        </w:rPr>
        <w:t xml:space="preserve"> </w:t>
      </w:r>
      <w:r w:rsidRPr="00986F85">
        <w:rPr>
          <w:rFonts w:cs="Times New Roman"/>
          <w:i/>
          <w:szCs w:val="24"/>
          <w:lang w:eastAsia="hu-HU"/>
        </w:rPr>
        <w:t>közvetett</w:t>
      </w:r>
      <w:r w:rsidRPr="00986F85">
        <w:rPr>
          <w:rFonts w:eastAsia="Arial" w:cs="Times New Roman"/>
          <w:i/>
          <w:szCs w:val="24"/>
          <w:lang w:eastAsia="hu-HU"/>
        </w:rPr>
        <w:t xml:space="preserve"> </w:t>
      </w:r>
      <w:r w:rsidRPr="00986F85">
        <w:rPr>
          <w:rFonts w:cs="Times New Roman"/>
          <w:i/>
          <w:szCs w:val="24"/>
          <w:lang w:eastAsia="hu-HU"/>
        </w:rPr>
        <w:t>hatások</w:t>
      </w:r>
      <w:r w:rsidRPr="00986F85">
        <w:rPr>
          <w:rFonts w:eastAsia="Arial" w:cs="Times New Roman"/>
          <w:i/>
          <w:szCs w:val="24"/>
          <w:lang w:eastAsia="hu-HU"/>
        </w:rPr>
        <w:t xml:space="preserve"> </w:t>
      </w:r>
      <w:r w:rsidRPr="00986F85">
        <w:rPr>
          <w:rFonts w:cs="Times New Roman"/>
          <w:szCs w:val="24"/>
          <w:lang w:eastAsia="hu-HU"/>
        </w:rPr>
        <w:t>között</w:t>
      </w:r>
      <w:r w:rsidRPr="00986F85">
        <w:rPr>
          <w:rFonts w:eastAsia="Arial" w:cs="Times New Roman"/>
          <w:szCs w:val="24"/>
          <w:lang w:eastAsia="hu-HU"/>
        </w:rPr>
        <w:t xml:space="preserve"> elsősorban </w:t>
      </w:r>
      <w:r w:rsidRPr="00986F85">
        <w:rPr>
          <w:rFonts w:cs="Times New Roman"/>
          <w:szCs w:val="24"/>
          <w:lang w:eastAsia="hu-HU"/>
        </w:rPr>
        <w:t xml:space="preserve">a </w:t>
      </w:r>
      <w:r w:rsidRPr="00986F85">
        <w:rPr>
          <w:rFonts w:cs="Times New Roman"/>
          <w:szCs w:val="24"/>
        </w:rPr>
        <w:t xml:space="preserve">kiszorítási vagy helyettesítési hatásokra </w:t>
      </w:r>
      <w:r w:rsidR="008B27F0" w:rsidRPr="00986F85">
        <w:rPr>
          <w:rFonts w:cs="Times New Roman"/>
          <w:szCs w:val="24"/>
        </w:rPr>
        <w:t xml:space="preserve">érdemes koncentrálni </w:t>
      </w:r>
      <w:r w:rsidRPr="00986F85">
        <w:rPr>
          <w:rFonts w:cs="Times New Roman"/>
          <w:szCs w:val="24"/>
        </w:rPr>
        <w:t xml:space="preserve">(pl. amikor a program résztvevői a nem résztvevők kárára érnek el sikereket). </w:t>
      </w:r>
      <w:r w:rsidR="008B27F0" w:rsidRPr="00986F85">
        <w:rPr>
          <w:rFonts w:cs="Times New Roman"/>
          <w:szCs w:val="24"/>
        </w:rPr>
        <w:t xml:space="preserve">Továbbá, teljes körű elemzés </w:t>
      </w:r>
      <w:r w:rsidR="008B27F0" w:rsidRPr="00986F85">
        <w:rPr>
          <w:rFonts w:cs="Times New Roman"/>
          <w:szCs w:val="24"/>
        </w:rPr>
        <w:lastRenderedPageBreak/>
        <w:t xml:space="preserve">kitérhet a </w:t>
      </w:r>
      <w:r w:rsidRPr="00986F85">
        <w:rPr>
          <w:rFonts w:cs="Times New Roman"/>
          <w:szCs w:val="24"/>
        </w:rPr>
        <w:t>parciális egyensúlyi hatások (pl. a program hatására módosuló árak vagy bérek miatt az adott piacon), illetve általános egyensúlyi hatások (pl. a program működtetése más</w:t>
      </w:r>
      <w:r w:rsidR="00FC312E" w:rsidRPr="00986F85">
        <w:rPr>
          <w:rFonts w:cs="Times New Roman"/>
          <w:szCs w:val="24"/>
        </w:rPr>
        <w:t xml:space="preserve"> piacokra átgyűrűző hatásokkal jár) vizsgálatára </w:t>
      </w:r>
      <w:r w:rsidR="008B27F0" w:rsidRPr="00986F85">
        <w:rPr>
          <w:rFonts w:cs="Times New Roman"/>
          <w:szCs w:val="24"/>
        </w:rPr>
        <w:t xml:space="preserve">is. Mindezeket azonban a rendelkezésre álló adatok, a projekt </w:t>
      </w:r>
      <w:r w:rsidR="00FC312E" w:rsidRPr="00986F85">
        <w:rPr>
          <w:rFonts w:cs="Times New Roman"/>
          <w:szCs w:val="24"/>
        </w:rPr>
        <w:t>idő</w:t>
      </w:r>
      <w:r w:rsidR="008B27F0" w:rsidRPr="00986F85">
        <w:rPr>
          <w:rFonts w:cs="Times New Roman"/>
          <w:szCs w:val="24"/>
        </w:rPr>
        <w:t xml:space="preserve">kerete </w:t>
      </w:r>
      <w:r w:rsidR="00FC312E" w:rsidRPr="00986F85">
        <w:rPr>
          <w:rFonts w:cs="Times New Roman"/>
          <w:szCs w:val="24"/>
        </w:rPr>
        <w:t xml:space="preserve">korlátossága miatt </w:t>
      </w:r>
      <w:r w:rsidR="00121D52" w:rsidRPr="00986F85">
        <w:rPr>
          <w:rFonts w:cs="Times New Roman"/>
          <w:szCs w:val="24"/>
        </w:rPr>
        <w:t xml:space="preserve">nem  </w:t>
      </w:r>
      <w:r w:rsidR="008B27F0" w:rsidRPr="00986F85">
        <w:rPr>
          <w:rFonts w:cs="Times New Roman"/>
          <w:szCs w:val="24"/>
        </w:rPr>
        <w:t>áll módunkban elemezni</w:t>
      </w:r>
      <w:r w:rsidR="00FC312E" w:rsidRPr="00986F85">
        <w:rPr>
          <w:rFonts w:cs="Times New Roman"/>
          <w:szCs w:val="24"/>
        </w:rPr>
        <w:t xml:space="preserve">. </w:t>
      </w:r>
    </w:p>
    <w:p w14:paraId="27ABC250" w14:textId="77777777" w:rsidR="008B27F0" w:rsidRPr="00986F85" w:rsidRDefault="008B27F0" w:rsidP="00B04415">
      <w:pPr>
        <w:pStyle w:val="Szvegtrzs"/>
        <w:spacing w:after="0" w:line="360" w:lineRule="auto"/>
        <w:jc w:val="both"/>
        <w:rPr>
          <w:rFonts w:cs="Times New Roman"/>
          <w:szCs w:val="24"/>
        </w:rPr>
      </w:pPr>
    </w:p>
    <w:p w14:paraId="034A4045" w14:textId="77777777" w:rsidR="00FC312E" w:rsidRPr="00986F85" w:rsidRDefault="008B27F0" w:rsidP="00B04415">
      <w:pPr>
        <w:snapToGrid w:val="0"/>
        <w:spacing w:after="0" w:line="360" w:lineRule="auto"/>
        <w:jc w:val="both"/>
        <w:rPr>
          <w:rFonts w:eastAsia="Times New Roman" w:cs="Times New Roman"/>
          <w:szCs w:val="24"/>
        </w:rPr>
      </w:pPr>
      <w:r w:rsidRPr="00986F85">
        <w:rPr>
          <w:rFonts w:cs="Times New Roman"/>
          <w:szCs w:val="24"/>
        </w:rPr>
        <w:t>V</w:t>
      </w:r>
      <w:r w:rsidR="00FC312E" w:rsidRPr="00986F85">
        <w:rPr>
          <w:rFonts w:cs="Times New Roman"/>
          <w:szCs w:val="24"/>
        </w:rPr>
        <w:t>izsgálat</w:t>
      </w:r>
      <w:r w:rsidRPr="00986F85">
        <w:rPr>
          <w:rFonts w:cs="Times New Roman"/>
          <w:szCs w:val="24"/>
        </w:rPr>
        <w:t>unk</w:t>
      </w:r>
      <w:r w:rsidR="00FC312E" w:rsidRPr="00986F85">
        <w:rPr>
          <w:rFonts w:cs="Times New Roman"/>
          <w:szCs w:val="24"/>
        </w:rPr>
        <w:t>:</w:t>
      </w:r>
      <w:r w:rsidR="00FC312E" w:rsidRPr="00986F85">
        <w:rPr>
          <w:rFonts w:eastAsia="Times New Roman" w:cs="Times New Roman"/>
          <w:szCs w:val="24"/>
        </w:rPr>
        <w:t xml:space="preserve"> </w:t>
      </w:r>
    </w:p>
    <w:p w14:paraId="52905C4D" w14:textId="77777777" w:rsidR="00FC312E" w:rsidRPr="00986F85" w:rsidRDefault="00FC312E" w:rsidP="00B04415">
      <w:pPr>
        <w:numPr>
          <w:ilvl w:val="0"/>
          <w:numId w:val="14"/>
        </w:numPr>
        <w:spacing w:after="0" w:line="360" w:lineRule="auto"/>
        <w:jc w:val="both"/>
        <w:rPr>
          <w:rFonts w:cs="Times New Roman"/>
          <w:szCs w:val="24"/>
        </w:rPr>
      </w:pPr>
      <w:r w:rsidRPr="00986F85">
        <w:rPr>
          <w:rFonts w:cs="Times New Roman"/>
          <w:szCs w:val="24"/>
        </w:rPr>
        <w:t xml:space="preserve">az érintett intézkedések </w:t>
      </w:r>
      <w:r w:rsidR="008B27F0" w:rsidRPr="00986F85">
        <w:rPr>
          <w:rFonts w:cs="Times New Roman"/>
          <w:szCs w:val="24"/>
        </w:rPr>
        <w:t>célzásának megfelelőségéről</w:t>
      </w:r>
      <w:r w:rsidRPr="00986F85">
        <w:rPr>
          <w:rFonts w:cs="Times New Roman"/>
          <w:szCs w:val="24"/>
        </w:rPr>
        <w:t xml:space="preserve">, </w:t>
      </w:r>
    </w:p>
    <w:p w14:paraId="0731C986" w14:textId="77777777" w:rsidR="00FC312E" w:rsidRPr="00986F85" w:rsidRDefault="00FC312E" w:rsidP="00B04415">
      <w:pPr>
        <w:numPr>
          <w:ilvl w:val="0"/>
          <w:numId w:val="14"/>
        </w:numPr>
        <w:spacing w:after="0" w:line="360" w:lineRule="auto"/>
        <w:jc w:val="both"/>
        <w:rPr>
          <w:rFonts w:cs="Times New Roman"/>
          <w:szCs w:val="24"/>
        </w:rPr>
      </w:pPr>
      <w:r w:rsidRPr="00986F85">
        <w:rPr>
          <w:rFonts w:cs="Times New Roman"/>
          <w:szCs w:val="24"/>
        </w:rPr>
        <w:t>az adott beavatkozás a program-résztvevőkre nézve szándékolt bruttó hatásáról (elkülönítve azt a programon kívüli hatásoktól)</w:t>
      </w:r>
      <w:r w:rsidR="008B27F0" w:rsidRPr="00986F85">
        <w:rPr>
          <w:rFonts w:cs="Times New Roman"/>
          <w:szCs w:val="24"/>
        </w:rPr>
        <w:t>,</w:t>
      </w:r>
    </w:p>
    <w:p w14:paraId="1C0CD21A" w14:textId="77777777" w:rsidR="00FC312E" w:rsidRPr="00986F85" w:rsidRDefault="00FC312E" w:rsidP="00B04415">
      <w:pPr>
        <w:numPr>
          <w:ilvl w:val="0"/>
          <w:numId w:val="14"/>
        </w:numPr>
        <w:spacing w:after="0" w:line="360" w:lineRule="auto"/>
        <w:jc w:val="both"/>
        <w:rPr>
          <w:rFonts w:cs="Times New Roman"/>
          <w:szCs w:val="24"/>
        </w:rPr>
      </w:pPr>
      <w:r w:rsidRPr="00986F85">
        <w:rPr>
          <w:rFonts w:cs="Times New Roman"/>
          <w:szCs w:val="24"/>
        </w:rPr>
        <w:t>a programban való részvételt meghatározó tényezők</w:t>
      </w:r>
      <w:r w:rsidR="008B27F0" w:rsidRPr="00986F85">
        <w:rPr>
          <w:rFonts w:cs="Times New Roman"/>
          <w:szCs w:val="24"/>
        </w:rPr>
        <w:t>ről</w:t>
      </w:r>
    </w:p>
    <w:p w14:paraId="32E500AB" w14:textId="77777777" w:rsidR="008D2995" w:rsidRPr="00986F85" w:rsidRDefault="00B83D8A" w:rsidP="00B04415">
      <w:pPr>
        <w:numPr>
          <w:ilvl w:val="0"/>
          <w:numId w:val="14"/>
        </w:numPr>
        <w:spacing w:after="0" w:line="360" w:lineRule="auto"/>
        <w:jc w:val="both"/>
        <w:rPr>
          <w:rFonts w:cs="Times New Roman"/>
          <w:szCs w:val="24"/>
        </w:rPr>
      </w:pPr>
      <w:r w:rsidRPr="00986F85">
        <w:rPr>
          <w:rFonts w:cs="Times New Roman"/>
          <w:szCs w:val="24"/>
        </w:rPr>
        <w:t>a hazai KKV-k pályázá</w:t>
      </w:r>
      <w:r w:rsidR="008D2995" w:rsidRPr="00986F85">
        <w:rPr>
          <w:rFonts w:cs="Times New Roman"/>
          <w:szCs w:val="24"/>
        </w:rPr>
        <w:t>si preferenciáiról, pályázati szokásairól, valamint</w:t>
      </w:r>
    </w:p>
    <w:p w14:paraId="16577611" w14:textId="77777777" w:rsidR="008D2995" w:rsidRPr="00986F85" w:rsidRDefault="008D2995" w:rsidP="00B04415">
      <w:pPr>
        <w:numPr>
          <w:ilvl w:val="0"/>
          <w:numId w:val="14"/>
        </w:numPr>
        <w:spacing w:after="0" w:line="360" w:lineRule="auto"/>
        <w:jc w:val="both"/>
        <w:rPr>
          <w:rFonts w:cs="Times New Roman"/>
          <w:szCs w:val="24"/>
        </w:rPr>
      </w:pPr>
      <w:r w:rsidRPr="00986F85">
        <w:rPr>
          <w:rFonts w:cs="Times New Roman"/>
          <w:szCs w:val="24"/>
        </w:rPr>
        <w:t>a hazai KKV-szektor 2006-2011 közötti teljesítményéről</w:t>
      </w:r>
    </w:p>
    <w:p w14:paraId="34592AC4" w14:textId="77777777" w:rsidR="00FC312E" w:rsidRPr="00986F85" w:rsidRDefault="00FC312E" w:rsidP="00B04415">
      <w:pPr>
        <w:spacing w:after="0" w:line="360" w:lineRule="auto"/>
        <w:jc w:val="both"/>
        <w:rPr>
          <w:rFonts w:eastAsia="Times New Roman" w:cs="Times New Roman"/>
          <w:szCs w:val="24"/>
        </w:rPr>
      </w:pPr>
      <w:r w:rsidRPr="00986F85">
        <w:rPr>
          <w:rFonts w:cs="Times New Roman"/>
          <w:szCs w:val="24"/>
        </w:rPr>
        <w:t>szolgáltat tény-alapon,</w:t>
      </w:r>
      <w:r w:rsidRPr="00986F85">
        <w:rPr>
          <w:rFonts w:eastAsia="Times New Roman" w:cs="Times New Roman"/>
          <w:szCs w:val="24"/>
        </w:rPr>
        <w:t xml:space="preserve"> </w:t>
      </w:r>
      <w:r w:rsidRPr="00986F85">
        <w:rPr>
          <w:rFonts w:cs="Times New Roman"/>
          <w:szCs w:val="24"/>
        </w:rPr>
        <w:t>a</w:t>
      </w:r>
      <w:r w:rsidRPr="00986F85">
        <w:rPr>
          <w:rFonts w:eastAsia="Times New Roman" w:cs="Times New Roman"/>
          <w:szCs w:val="24"/>
        </w:rPr>
        <w:t xml:space="preserve"> </w:t>
      </w:r>
      <w:r w:rsidRPr="00986F85">
        <w:rPr>
          <w:rFonts w:cs="Times New Roman"/>
          <w:szCs w:val="24"/>
        </w:rPr>
        <w:t>végrehajtás</w:t>
      </w:r>
      <w:r w:rsidRPr="00986F85">
        <w:rPr>
          <w:rFonts w:eastAsia="Times New Roman" w:cs="Times New Roman"/>
          <w:szCs w:val="24"/>
        </w:rPr>
        <w:t xml:space="preserve"> </w:t>
      </w:r>
      <w:r w:rsidRPr="00986F85">
        <w:rPr>
          <w:rFonts w:cs="Times New Roman"/>
          <w:szCs w:val="24"/>
        </w:rPr>
        <w:t>számára</w:t>
      </w:r>
      <w:r w:rsidRPr="00986F85">
        <w:rPr>
          <w:rFonts w:eastAsia="Times New Roman" w:cs="Times New Roman"/>
          <w:szCs w:val="24"/>
        </w:rPr>
        <w:t xml:space="preserve"> </w:t>
      </w:r>
      <w:r w:rsidRPr="00986F85">
        <w:rPr>
          <w:rFonts w:cs="Times New Roman"/>
          <w:szCs w:val="24"/>
        </w:rPr>
        <w:t>visszacsatolható</w:t>
      </w:r>
      <w:r w:rsidRPr="00986F85">
        <w:rPr>
          <w:rFonts w:eastAsia="Times New Roman" w:cs="Times New Roman"/>
          <w:szCs w:val="24"/>
        </w:rPr>
        <w:t xml:space="preserve"> </w:t>
      </w:r>
      <w:r w:rsidRPr="00986F85">
        <w:rPr>
          <w:rFonts w:cs="Times New Roman"/>
          <w:szCs w:val="24"/>
        </w:rPr>
        <w:t>információval.</w:t>
      </w:r>
      <w:r w:rsidRPr="00986F85">
        <w:rPr>
          <w:rFonts w:eastAsia="Times New Roman" w:cs="Times New Roman"/>
          <w:szCs w:val="24"/>
        </w:rPr>
        <w:t xml:space="preserve"> </w:t>
      </w:r>
    </w:p>
    <w:p w14:paraId="5BCA6AB5" w14:textId="77777777" w:rsidR="00FC312E" w:rsidRPr="00986F85" w:rsidRDefault="00FC312E" w:rsidP="00B04415">
      <w:pPr>
        <w:snapToGrid w:val="0"/>
        <w:spacing w:after="0" w:line="360" w:lineRule="auto"/>
        <w:jc w:val="both"/>
        <w:rPr>
          <w:rFonts w:cs="Times New Roman"/>
          <w:szCs w:val="24"/>
        </w:rPr>
      </w:pPr>
    </w:p>
    <w:p w14:paraId="7F6C82DC" w14:textId="77777777" w:rsidR="00FC312E" w:rsidRPr="00986F85" w:rsidRDefault="00FC312E" w:rsidP="00B04415">
      <w:pPr>
        <w:snapToGrid w:val="0"/>
        <w:spacing w:after="0" w:line="360" w:lineRule="auto"/>
        <w:jc w:val="both"/>
        <w:rPr>
          <w:rFonts w:cs="Times New Roman"/>
          <w:szCs w:val="24"/>
        </w:rPr>
      </w:pPr>
      <w:r w:rsidRPr="00986F85">
        <w:rPr>
          <w:rFonts w:cs="Times New Roman"/>
          <w:szCs w:val="24"/>
        </w:rPr>
        <w:t>A</w:t>
      </w:r>
      <w:r w:rsidRPr="00986F85">
        <w:rPr>
          <w:rFonts w:eastAsia="Times New Roman" w:cs="Times New Roman"/>
          <w:szCs w:val="24"/>
        </w:rPr>
        <w:t xml:space="preserve"> </w:t>
      </w:r>
      <w:r w:rsidRPr="00986F85">
        <w:rPr>
          <w:rFonts w:cs="Times New Roman"/>
          <w:szCs w:val="24"/>
        </w:rPr>
        <w:t>vizsgálati</w:t>
      </w:r>
      <w:r w:rsidRPr="00986F85">
        <w:rPr>
          <w:rFonts w:eastAsia="Times New Roman" w:cs="Times New Roman"/>
          <w:szCs w:val="24"/>
        </w:rPr>
        <w:t xml:space="preserve"> </w:t>
      </w:r>
      <w:r w:rsidRPr="00986F85">
        <w:rPr>
          <w:rFonts w:cs="Times New Roman"/>
          <w:szCs w:val="24"/>
        </w:rPr>
        <w:t>eredmények</w:t>
      </w:r>
      <w:r w:rsidRPr="00986F85">
        <w:rPr>
          <w:rFonts w:eastAsia="Times New Roman" w:cs="Times New Roman"/>
          <w:szCs w:val="24"/>
        </w:rPr>
        <w:t xml:space="preserve"> </w:t>
      </w:r>
      <w:r w:rsidRPr="00986F85">
        <w:rPr>
          <w:rFonts w:cs="Times New Roman"/>
          <w:szCs w:val="24"/>
        </w:rPr>
        <w:t>alapján:</w:t>
      </w:r>
    </w:p>
    <w:p w14:paraId="00E51B5A" w14:textId="77777777" w:rsidR="00FC312E" w:rsidRPr="00986F85" w:rsidRDefault="00FC312E" w:rsidP="00B04415">
      <w:pPr>
        <w:numPr>
          <w:ilvl w:val="0"/>
          <w:numId w:val="14"/>
        </w:numPr>
        <w:spacing w:after="0" w:line="360" w:lineRule="auto"/>
        <w:jc w:val="both"/>
        <w:rPr>
          <w:rFonts w:cs="Times New Roman"/>
          <w:szCs w:val="24"/>
        </w:rPr>
      </w:pPr>
      <w:r w:rsidRPr="00986F85">
        <w:rPr>
          <w:rFonts w:cs="Times New Roman"/>
          <w:szCs w:val="24"/>
        </w:rPr>
        <w:t xml:space="preserve">egyrészről, a még folyamatban lévő intézkedések </w:t>
      </w:r>
      <w:r w:rsidR="008B27F0" w:rsidRPr="00986F85">
        <w:rPr>
          <w:rFonts w:cs="Times New Roman"/>
          <w:szCs w:val="24"/>
        </w:rPr>
        <w:t xml:space="preserve">eredményességét </w:t>
      </w:r>
      <w:r w:rsidRPr="00986F85">
        <w:rPr>
          <w:rFonts w:cs="Times New Roman"/>
          <w:szCs w:val="24"/>
        </w:rPr>
        <w:t xml:space="preserve">ösztönző, </w:t>
      </w:r>
    </w:p>
    <w:p w14:paraId="7056EEAF" w14:textId="77777777" w:rsidR="00FC312E" w:rsidRPr="00986F85" w:rsidRDefault="00FC312E" w:rsidP="00B04415">
      <w:pPr>
        <w:numPr>
          <w:ilvl w:val="0"/>
          <w:numId w:val="14"/>
        </w:numPr>
        <w:spacing w:after="0" w:line="360" w:lineRule="auto"/>
        <w:jc w:val="both"/>
        <w:rPr>
          <w:rFonts w:cs="Times New Roman"/>
          <w:szCs w:val="24"/>
        </w:rPr>
      </w:pPr>
      <w:r w:rsidRPr="00986F85">
        <w:rPr>
          <w:rFonts w:cs="Times New Roman"/>
          <w:szCs w:val="24"/>
        </w:rPr>
        <w:t xml:space="preserve">másrészről, stratégiai szintű célrendszer finomítására, a végrehajtás hatékonyságának növelésére irányuló </w:t>
      </w:r>
    </w:p>
    <w:p w14:paraId="520FA91C" w14:textId="77777777" w:rsidR="00FC312E" w:rsidRPr="00986F85" w:rsidRDefault="00FC312E" w:rsidP="00B04415">
      <w:pPr>
        <w:pStyle w:val="Szvegtrzs"/>
        <w:spacing w:after="0" w:line="360" w:lineRule="auto"/>
        <w:jc w:val="both"/>
        <w:rPr>
          <w:rFonts w:cs="Times New Roman"/>
          <w:szCs w:val="24"/>
        </w:rPr>
      </w:pPr>
      <w:r w:rsidRPr="00986F85">
        <w:rPr>
          <w:rFonts w:cs="Times New Roman"/>
          <w:szCs w:val="24"/>
        </w:rPr>
        <w:t>rövid</w:t>
      </w:r>
      <w:r w:rsidRPr="00986F85">
        <w:rPr>
          <w:rFonts w:eastAsia="Times New Roman" w:cs="Times New Roman"/>
          <w:szCs w:val="24"/>
        </w:rPr>
        <w:t xml:space="preserve"> </w:t>
      </w:r>
      <w:r w:rsidRPr="00986F85">
        <w:rPr>
          <w:rFonts w:cs="Times New Roman"/>
          <w:szCs w:val="24"/>
        </w:rPr>
        <w:t>és</w:t>
      </w:r>
      <w:r w:rsidRPr="00986F85">
        <w:rPr>
          <w:rFonts w:eastAsia="Times New Roman" w:cs="Times New Roman"/>
          <w:szCs w:val="24"/>
        </w:rPr>
        <w:t xml:space="preserve"> </w:t>
      </w:r>
      <w:r w:rsidRPr="00986F85">
        <w:rPr>
          <w:rFonts w:cs="Times New Roman"/>
          <w:szCs w:val="24"/>
        </w:rPr>
        <w:t>hosszú</w:t>
      </w:r>
      <w:r w:rsidRPr="00986F85">
        <w:rPr>
          <w:rFonts w:eastAsia="Times New Roman" w:cs="Times New Roman"/>
          <w:szCs w:val="24"/>
        </w:rPr>
        <w:t xml:space="preserve"> </w:t>
      </w:r>
      <w:r w:rsidRPr="00986F85">
        <w:rPr>
          <w:rFonts w:cs="Times New Roman"/>
          <w:szCs w:val="24"/>
        </w:rPr>
        <w:t>távú</w:t>
      </w:r>
      <w:r w:rsidRPr="00986F85">
        <w:rPr>
          <w:rFonts w:eastAsia="Times New Roman" w:cs="Times New Roman"/>
          <w:szCs w:val="24"/>
        </w:rPr>
        <w:t xml:space="preserve"> </w:t>
      </w:r>
      <w:r w:rsidRPr="00986F85">
        <w:rPr>
          <w:rFonts w:cs="Times New Roman"/>
          <w:szCs w:val="24"/>
        </w:rPr>
        <w:t>javaslatok megfogalmazására törekszünk.</w:t>
      </w:r>
    </w:p>
    <w:p w14:paraId="3DD76E04" w14:textId="77777777" w:rsidR="008B27F0" w:rsidRPr="00986F85" w:rsidRDefault="008B27F0" w:rsidP="00B04415">
      <w:pPr>
        <w:pStyle w:val="Szvegtrzs"/>
        <w:spacing w:after="0" w:line="360" w:lineRule="auto"/>
        <w:jc w:val="both"/>
        <w:rPr>
          <w:rFonts w:cs="Times New Roman"/>
          <w:szCs w:val="24"/>
        </w:rPr>
      </w:pPr>
    </w:p>
    <w:p w14:paraId="0CA456F0" w14:textId="77777777" w:rsidR="00FC312E" w:rsidRPr="00986F85" w:rsidRDefault="008B27F0" w:rsidP="00B04415">
      <w:pPr>
        <w:snapToGrid w:val="0"/>
        <w:spacing w:after="0" w:line="360" w:lineRule="auto"/>
        <w:jc w:val="both"/>
        <w:rPr>
          <w:rFonts w:cs="Times New Roman"/>
          <w:szCs w:val="24"/>
        </w:rPr>
      </w:pPr>
      <w:r w:rsidRPr="00986F85">
        <w:rPr>
          <w:rFonts w:cs="Times New Roman"/>
          <w:szCs w:val="24"/>
        </w:rPr>
        <w:t xml:space="preserve">Ugyanakkor, a </w:t>
      </w:r>
      <w:r w:rsidR="00FC312E" w:rsidRPr="00986F85">
        <w:rPr>
          <w:rFonts w:cs="Times New Roman"/>
          <w:szCs w:val="24"/>
        </w:rPr>
        <w:t>jövőbeni</w:t>
      </w:r>
      <w:r w:rsidR="00FC312E" w:rsidRPr="00986F85">
        <w:rPr>
          <w:rFonts w:eastAsia="Times New Roman" w:cs="Times New Roman"/>
          <w:szCs w:val="24"/>
        </w:rPr>
        <w:t xml:space="preserve"> </w:t>
      </w:r>
      <w:r w:rsidR="00FC312E" w:rsidRPr="00986F85">
        <w:rPr>
          <w:rFonts w:cs="Times New Roman"/>
          <w:szCs w:val="24"/>
        </w:rPr>
        <w:t>végrehajtási</w:t>
      </w:r>
      <w:r w:rsidR="00FC312E" w:rsidRPr="00986F85">
        <w:rPr>
          <w:rFonts w:eastAsia="Times New Roman" w:cs="Times New Roman"/>
          <w:szCs w:val="24"/>
        </w:rPr>
        <w:t xml:space="preserve"> </w:t>
      </w:r>
      <w:r w:rsidR="00FC312E" w:rsidRPr="00986F85">
        <w:rPr>
          <w:rFonts w:cs="Times New Roman"/>
          <w:szCs w:val="24"/>
        </w:rPr>
        <w:t>periódusban</w:t>
      </w:r>
      <w:r w:rsidR="00FC312E" w:rsidRPr="00986F85">
        <w:rPr>
          <w:rFonts w:eastAsia="Times New Roman" w:cs="Times New Roman"/>
          <w:szCs w:val="24"/>
        </w:rPr>
        <w:t xml:space="preserve"> </w:t>
      </w:r>
      <w:r w:rsidR="00FC312E" w:rsidRPr="00986F85">
        <w:rPr>
          <w:rFonts w:cs="Times New Roman"/>
          <w:szCs w:val="24"/>
        </w:rPr>
        <w:t>releváns</w:t>
      </w:r>
      <w:r w:rsidR="00FC312E" w:rsidRPr="00986F85">
        <w:rPr>
          <w:rFonts w:eastAsia="Times New Roman" w:cs="Times New Roman"/>
          <w:szCs w:val="24"/>
        </w:rPr>
        <w:t xml:space="preserve"> </w:t>
      </w:r>
      <w:r w:rsidR="00FC312E" w:rsidRPr="00986F85">
        <w:rPr>
          <w:rFonts w:cs="Times New Roman"/>
          <w:szCs w:val="24"/>
        </w:rPr>
        <w:t>hatásvizsgálatok</w:t>
      </w:r>
      <w:r w:rsidR="00FC312E" w:rsidRPr="00986F85">
        <w:rPr>
          <w:rFonts w:eastAsia="Times New Roman" w:cs="Times New Roman"/>
          <w:szCs w:val="24"/>
        </w:rPr>
        <w:t xml:space="preserve"> </w:t>
      </w:r>
      <w:r w:rsidR="00FC312E" w:rsidRPr="00986F85">
        <w:rPr>
          <w:rFonts w:cs="Times New Roman"/>
          <w:szCs w:val="24"/>
        </w:rPr>
        <w:t>megalapozására,</w:t>
      </w:r>
      <w:r w:rsidR="00FC312E" w:rsidRPr="00986F85">
        <w:rPr>
          <w:rFonts w:eastAsia="Times New Roman" w:cs="Times New Roman"/>
          <w:szCs w:val="24"/>
        </w:rPr>
        <w:t xml:space="preserve"> </w:t>
      </w:r>
      <w:r w:rsidR="00FC312E" w:rsidRPr="00986F85">
        <w:rPr>
          <w:rFonts w:cs="Times New Roman"/>
          <w:szCs w:val="24"/>
        </w:rPr>
        <w:t>módszertani javaslatok</w:t>
      </w:r>
      <w:r w:rsidR="00FC312E" w:rsidRPr="00986F85">
        <w:rPr>
          <w:rFonts w:eastAsia="Times New Roman" w:cs="Times New Roman"/>
          <w:szCs w:val="24"/>
        </w:rPr>
        <w:t xml:space="preserve"> </w:t>
      </w:r>
      <w:r w:rsidR="00FC312E" w:rsidRPr="00986F85">
        <w:rPr>
          <w:rFonts w:cs="Times New Roman"/>
          <w:szCs w:val="24"/>
        </w:rPr>
        <w:t>kialakítására,</w:t>
      </w:r>
      <w:r w:rsidR="00FC312E" w:rsidRPr="00986F85">
        <w:rPr>
          <w:rFonts w:eastAsia="Times New Roman" w:cs="Times New Roman"/>
          <w:szCs w:val="24"/>
        </w:rPr>
        <w:t xml:space="preserve"> </w:t>
      </w:r>
      <w:r w:rsidR="00FC312E" w:rsidRPr="00986F85">
        <w:rPr>
          <w:rFonts w:cs="Times New Roman"/>
          <w:szCs w:val="24"/>
        </w:rPr>
        <w:t>valamint</w:t>
      </w:r>
      <w:r w:rsidR="00FC312E" w:rsidRPr="00986F85">
        <w:rPr>
          <w:rFonts w:eastAsia="Times New Roman" w:cs="Times New Roman"/>
          <w:szCs w:val="24"/>
        </w:rPr>
        <w:t xml:space="preserve"> </w:t>
      </w:r>
      <w:r w:rsidR="00FC312E" w:rsidRPr="00986F85">
        <w:rPr>
          <w:rFonts w:cs="Times New Roman"/>
          <w:szCs w:val="24"/>
        </w:rPr>
        <w:t>a</w:t>
      </w:r>
      <w:r w:rsidR="00FC312E" w:rsidRPr="00986F85">
        <w:rPr>
          <w:rFonts w:eastAsia="Times New Roman" w:cs="Times New Roman"/>
          <w:szCs w:val="24"/>
        </w:rPr>
        <w:t xml:space="preserve"> </w:t>
      </w:r>
      <w:r w:rsidR="00FC312E" w:rsidRPr="00986F85">
        <w:rPr>
          <w:rFonts w:cs="Times New Roman"/>
          <w:szCs w:val="24"/>
        </w:rPr>
        <w:t>végrehajtási</w:t>
      </w:r>
      <w:r w:rsidR="00FC312E" w:rsidRPr="00986F85">
        <w:rPr>
          <w:rFonts w:eastAsia="Times New Roman" w:cs="Times New Roman"/>
          <w:szCs w:val="24"/>
        </w:rPr>
        <w:t xml:space="preserve"> </w:t>
      </w:r>
      <w:r w:rsidR="00FC312E" w:rsidRPr="00986F85">
        <w:rPr>
          <w:rFonts w:cs="Times New Roman"/>
          <w:szCs w:val="24"/>
        </w:rPr>
        <w:t>rendszer</w:t>
      </w:r>
      <w:r w:rsidR="00FC312E" w:rsidRPr="00986F85">
        <w:rPr>
          <w:rFonts w:eastAsia="Times New Roman" w:cs="Times New Roman"/>
          <w:szCs w:val="24"/>
        </w:rPr>
        <w:t xml:space="preserve"> </w:t>
      </w:r>
      <w:r w:rsidR="00FC312E" w:rsidRPr="00986F85">
        <w:rPr>
          <w:rFonts w:cs="Times New Roman"/>
          <w:szCs w:val="24"/>
        </w:rPr>
        <w:t>e</w:t>
      </w:r>
      <w:r w:rsidR="00FC312E" w:rsidRPr="00986F85">
        <w:rPr>
          <w:rFonts w:eastAsia="Times New Roman" w:cs="Times New Roman"/>
          <w:szCs w:val="24"/>
        </w:rPr>
        <w:t xml:space="preserve"> </w:t>
      </w:r>
      <w:r w:rsidR="00FC312E" w:rsidRPr="00986F85">
        <w:rPr>
          <w:rFonts w:cs="Times New Roman"/>
          <w:szCs w:val="24"/>
        </w:rPr>
        <w:t>célból</w:t>
      </w:r>
      <w:r w:rsidR="00FC312E" w:rsidRPr="00986F85">
        <w:rPr>
          <w:rFonts w:eastAsia="Times New Roman" w:cs="Times New Roman"/>
          <w:szCs w:val="24"/>
        </w:rPr>
        <w:t xml:space="preserve"> </w:t>
      </w:r>
      <w:r w:rsidR="00FC312E" w:rsidRPr="00986F85">
        <w:rPr>
          <w:rFonts w:cs="Times New Roman"/>
          <w:szCs w:val="24"/>
        </w:rPr>
        <w:t>való</w:t>
      </w:r>
      <w:r w:rsidR="00FC312E" w:rsidRPr="00986F85">
        <w:rPr>
          <w:rFonts w:eastAsia="Times New Roman" w:cs="Times New Roman"/>
          <w:szCs w:val="24"/>
        </w:rPr>
        <w:t xml:space="preserve"> </w:t>
      </w:r>
      <w:r w:rsidR="00FC312E" w:rsidRPr="00986F85">
        <w:rPr>
          <w:rFonts w:cs="Times New Roman"/>
          <w:szCs w:val="24"/>
        </w:rPr>
        <w:t>fejlesztésére</w:t>
      </w:r>
      <w:r w:rsidR="00FC312E" w:rsidRPr="00986F85">
        <w:rPr>
          <w:rFonts w:eastAsia="Times New Roman" w:cs="Times New Roman"/>
          <w:szCs w:val="24"/>
        </w:rPr>
        <w:t xml:space="preserve"> </w:t>
      </w:r>
      <w:r w:rsidR="00FC312E" w:rsidRPr="00986F85">
        <w:rPr>
          <w:rFonts w:cs="Times New Roman"/>
          <w:szCs w:val="24"/>
        </w:rPr>
        <w:t>(pl.</w:t>
      </w:r>
      <w:r w:rsidR="00FC312E" w:rsidRPr="00986F85">
        <w:rPr>
          <w:rFonts w:eastAsia="Times New Roman" w:cs="Times New Roman"/>
          <w:szCs w:val="24"/>
        </w:rPr>
        <w:t xml:space="preserve"> </w:t>
      </w:r>
      <w:r w:rsidR="00FC312E" w:rsidRPr="00986F85">
        <w:rPr>
          <w:rFonts w:cs="Times New Roman"/>
          <w:szCs w:val="24"/>
        </w:rPr>
        <w:t>célzás,</w:t>
      </w:r>
      <w:r w:rsidR="00FC312E" w:rsidRPr="00986F85">
        <w:rPr>
          <w:rFonts w:eastAsia="Times New Roman" w:cs="Times New Roman"/>
          <w:szCs w:val="24"/>
        </w:rPr>
        <w:t xml:space="preserve"> </w:t>
      </w:r>
      <w:r w:rsidR="00FC312E" w:rsidRPr="00986F85">
        <w:rPr>
          <w:rFonts w:cs="Times New Roman"/>
          <w:szCs w:val="24"/>
        </w:rPr>
        <w:t>adatgyűjtés,</w:t>
      </w:r>
      <w:r w:rsidR="00FC312E" w:rsidRPr="00986F85">
        <w:rPr>
          <w:rFonts w:eastAsia="Times New Roman" w:cs="Times New Roman"/>
          <w:szCs w:val="24"/>
        </w:rPr>
        <w:t xml:space="preserve"> </w:t>
      </w:r>
      <w:r w:rsidR="00FC312E" w:rsidRPr="00986F85">
        <w:rPr>
          <w:rFonts w:cs="Times New Roman"/>
          <w:szCs w:val="24"/>
        </w:rPr>
        <w:t>monitoring)</w:t>
      </w:r>
      <w:r w:rsidR="00FC312E" w:rsidRPr="00986F85">
        <w:rPr>
          <w:rFonts w:eastAsia="Times New Roman" w:cs="Times New Roman"/>
          <w:szCs w:val="24"/>
        </w:rPr>
        <w:t xml:space="preserve"> </w:t>
      </w:r>
      <w:r w:rsidR="00FF0D64" w:rsidRPr="00986F85">
        <w:rPr>
          <w:rFonts w:eastAsia="Times New Roman" w:cs="Times New Roman"/>
          <w:szCs w:val="24"/>
        </w:rPr>
        <w:t xml:space="preserve">vonatkozóan is összegezzük tapasztalatinkat és javaslatainkat. </w:t>
      </w:r>
    </w:p>
    <w:p w14:paraId="17A7F39B" w14:textId="77777777" w:rsidR="00BA575F" w:rsidRPr="00986F85" w:rsidRDefault="00BA575F" w:rsidP="00B04415">
      <w:pPr>
        <w:pStyle w:val="Szvegtrzs"/>
        <w:spacing w:after="0" w:line="360" w:lineRule="auto"/>
        <w:jc w:val="both"/>
        <w:rPr>
          <w:szCs w:val="24"/>
        </w:rPr>
      </w:pPr>
    </w:p>
    <w:p w14:paraId="2139408D" w14:textId="77777777" w:rsidR="00E3356D" w:rsidRPr="00986F85" w:rsidRDefault="0076036B" w:rsidP="00B04415">
      <w:pPr>
        <w:pStyle w:val="Cmsor2"/>
        <w:spacing w:before="0" w:after="0" w:line="360" w:lineRule="auto"/>
        <w:jc w:val="both"/>
        <w:rPr>
          <w:rFonts w:ascii="Myriad Pro" w:hAnsi="Myriad Pro"/>
          <w:szCs w:val="24"/>
        </w:rPr>
      </w:pPr>
      <w:bookmarkStart w:id="7" w:name="_Toc230854306"/>
      <w:r w:rsidRPr="00986F85">
        <w:rPr>
          <w:rFonts w:ascii="Myriad Pro" w:hAnsi="Myriad Pro"/>
          <w:szCs w:val="24"/>
        </w:rPr>
        <w:t>VIZSGÁLT INTÉZKEDÉS</w:t>
      </w:r>
      <w:r w:rsidR="00A4341D" w:rsidRPr="00986F85">
        <w:rPr>
          <w:rFonts w:ascii="Myriad Pro" w:hAnsi="Myriad Pro"/>
          <w:szCs w:val="24"/>
        </w:rPr>
        <w:t>EK</w:t>
      </w:r>
      <w:r w:rsidRPr="00986F85">
        <w:rPr>
          <w:rFonts w:ascii="Myriad Pro" w:hAnsi="Myriad Pro"/>
          <w:szCs w:val="24"/>
        </w:rPr>
        <w:t xml:space="preserve"> BEMUTATÁSA</w:t>
      </w:r>
      <w:bookmarkEnd w:id="7"/>
    </w:p>
    <w:p w14:paraId="2C6E2064" w14:textId="77777777" w:rsidR="00DE77C6" w:rsidRPr="00986F85" w:rsidRDefault="00D54C16" w:rsidP="00B04415">
      <w:pPr>
        <w:snapToGrid w:val="0"/>
        <w:spacing w:after="0" w:line="360" w:lineRule="auto"/>
        <w:jc w:val="both"/>
        <w:rPr>
          <w:rFonts w:eastAsia="Times New Roman;serif" w:cs="Times New Roman"/>
          <w:szCs w:val="24"/>
        </w:rPr>
      </w:pPr>
      <w:r w:rsidRPr="00986F85">
        <w:rPr>
          <w:rFonts w:eastAsia="Times New Roman;serif" w:cs="Times New Roman"/>
          <w:szCs w:val="24"/>
        </w:rPr>
        <w:t>Jelen intézkedés hosszú elő</w:t>
      </w:r>
      <w:r w:rsidR="00B86C66" w:rsidRPr="00986F85">
        <w:rPr>
          <w:rFonts w:eastAsia="Times New Roman;serif" w:cs="Times New Roman"/>
          <w:szCs w:val="24"/>
        </w:rPr>
        <w:t>történettel rendelkezik (lásd G</w:t>
      </w:r>
      <w:r w:rsidRPr="00986F85">
        <w:rPr>
          <w:rFonts w:eastAsia="Times New Roman;serif" w:cs="Times New Roman"/>
          <w:szCs w:val="24"/>
        </w:rPr>
        <w:t xml:space="preserve">OP 2.1.1. </w:t>
      </w:r>
      <w:r w:rsidR="00324809" w:rsidRPr="00986F85">
        <w:rPr>
          <w:rFonts w:eastAsia="Times New Roman;serif" w:cs="Times New Roman"/>
          <w:szCs w:val="24"/>
        </w:rPr>
        <w:t>intézkedés és a közép-magyarországi régióban végrehajtott tükörintézkedése, KMOP 1.2.1.)</w:t>
      </w:r>
      <w:r w:rsidRPr="00986F85">
        <w:rPr>
          <w:rFonts w:eastAsia="Times New Roman;serif" w:cs="Times New Roman"/>
          <w:szCs w:val="24"/>
        </w:rPr>
        <w:t xml:space="preserve">. A 2007-2013 közötti </w:t>
      </w:r>
      <w:r w:rsidRPr="00986F85">
        <w:rPr>
          <w:rFonts w:eastAsia="Times New Roman;serif" w:cs="Times New Roman"/>
          <w:szCs w:val="24"/>
        </w:rPr>
        <w:lastRenderedPageBreak/>
        <w:t xml:space="preserve">stratégiai időszakban a vizsgált intézkedésben történtek kisebb változások, ám a mögöttes beavatkozási logika </w:t>
      </w:r>
      <w:r w:rsidR="00DE77C6" w:rsidRPr="00986F85">
        <w:rPr>
          <w:rFonts w:eastAsia="Times New Roman;serif" w:cs="Times New Roman"/>
          <w:szCs w:val="24"/>
        </w:rPr>
        <w:t xml:space="preserve">a vizsgált időszakban </w:t>
      </w:r>
      <w:r w:rsidRPr="00986F85">
        <w:rPr>
          <w:rFonts w:eastAsia="Times New Roman;serif" w:cs="Times New Roman"/>
          <w:szCs w:val="24"/>
        </w:rPr>
        <w:t xml:space="preserve">nem változott. </w:t>
      </w:r>
    </w:p>
    <w:p w14:paraId="17DD5487" w14:textId="77777777" w:rsidR="00B86C66" w:rsidRPr="00986F85" w:rsidRDefault="00D54C16" w:rsidP="00B04415">
      <w:pPr>
        <w:snapToGrid w:val="0"/>
        <w:spacing w:after="0" w:line="360" w:lineRule="auto"/>
        <w:jc w:val="both"/>
        <w:rPr>
          <w:rFonts w:eastAsia="Liberation Serif;Times New Roma" w:cs="Times New Roman"/>
          <w:szCs w:val="24"/>
        </w:rPr>
      </w:pPr>
      <w:r w:rsidRPr="00986F85">
        <w:rPr>
          <w:rFonts w:eastAsia="Times New Roman;serif" w:cs="Times New Roman"/>
          <w:szCs w:val="24"/>
        </w:rPr>
        <w:t>A kapcsoldódó pályázati felhívások (2007-2011) alapján elmondható, hogy az intézkedés vissza nem térítendő támogatással kívánja növelni a</w:t>
      </w:r>
      <w:r w:rsidRPr="00986F85">
        <w:rPr>
          <w:rFonts w:eastAsia="Liberation Serif;Times New Roma" w:cs="Times New Roman"/>
          <w:szCs w:val="24"/>
        </w:rPr>
        <w:t xml:space="preserve"> </w:t>
      </w:r>
      <w:r w:rsidRPr="00986F85">
        <w:rPr>
          <w:rFonts w:eastAsia="Times New Roman;serif" w:cs="Times New Roman"/>
          <w:szCs w:val="24"/>
        </w:rPr>
        <w:t>mikro-,</w:t>
      </w:r>
      <w:r w:rsidRPr="00986F85">
        <w:rPr>
          <w:rFonts w:eastAsia="Liberation Serif;Times New Roma" w:cs="Times New Roman"/>
          <w:szCs w:val="24"/>
        </w:rPr>
        <w:t xml:space="preserve"> </w:t>
      </w:r>
      <w:r w:rsidRPr="00986F85">
        <w:rPr>
          <w:rFonts w:eastAsia="Times New Roman;serif" w:cs="Times New Roman"/>
          <w:szCs w:val="24"/>
        </w:rPr>
        <w:t>kis-</w:t>
      </w:r>
      <w:r w:rsidRPr="00986F85">
        <w:rPr>
          <w:rFonts w:eastAsia="Liberation Serif;Times New Roma" w:cs="Times New Roman"/>
          <w:szCs w:val="24"/>
        </w:rPr>
        <w:t xml:space="preserve"> </w:t>
      </w:r>
      <w:r w:rsidRPr="00986F85">
        <w:rPr>
          <w:rFonts w:eastAsia="Times New Roman;serif" w:cs="Times New Roman"/>
          <w:szCs w:val="24"/>
        </w:rPr>
        <w:t>és</w:t>
      </w:r>
      <w:r w:rsidRPr="00986F85">
        <w:rPr>
          <w:rFonts w:eastAsia="Liberation Serif;Times New Roma" w:cs="Times New Roman"/>
          <w:szCs w:val="24"/>
        </w:rPr>
        <w:t xml:space="preserve"> </w:t>
      </w:r>
      <w:r w:rsidRPr="00986F85">
        <w:rPr>
          <w:rFonts w:eastAsia="Times New Roman;serif" w:cs="Times New Roman"/>
          <w:szCs w:val="24"/>
        </w:rPr>
        <w:t>középvállalkozások</w:t>
      </w:r>
      <w:r w:rsidRPr="00986F85">
        <w:rPr>
          <w:rFonts w:eastAsia="Liberation Serif;Times New Roma" w:cs="Times New Roman"/>
          <w:szCs w:val="24"/>
        </w:rPr>
        <w:t xml:space="preserve"> </w:t>
      </w:r>
      <w:r w:rsidRPr="00986F85">
        <w:rPr>
          <w:rFonts w:eastAsia="Times New Roman;serif" w:cs="Times New Roman"/>
          <w:szCs w:val="24"/>
        </w:rPr>
        <w:t>jövedelemteremtő</w:t>
      </w:r>
      <w:r w:rsidRPr="00986F85">
        <w:rPr>
          <w:rFonts w:eastAsia="Liberation Serif;Times New Roma" w:cs="Times New Roman"/>
          <w:szCs w:val="24"/>
        </w:rPr>
        <w:t xml:space="preserve"> </w:t>
      </w:r>
      <w:r w:rsidRPr="00986F85">
        <w:rPr>
          <w:rFonts w:eastAsia="Times New Roman;serif" w:cs="Times New Roman"/>
          <w:szCs w:val="24"/>
        </w:rPr>
        <w:t>képességét,</w:t>
      </w:r>
      <w:r w:rsidRPr="00986F85">
        <w:rPr>
          <w:rFonts w:eastAsia="Liberation Serif;Times New Roma" w:cs="Times New Roman"/>
          <w:szCs w:val="24"/>
        </w:rPr>
        <w:t xml:space="preserve"> </w:t>
      </w:r>
      <w:r w:rsidRPr="00986F85">
        <w:rPr>
          <w:rFonts w:eastAsia="Times New Roman;serif" w:cs="Times New Roman"/>
          <w:szCs w:val="24"/>
        </w:rPr>
        <w:t>technológiai</w:t>
      </w:r>
      <w:r w:rsidRPr="00986F85">
        <w:rPr>
          <w:rFonts w:eastAsia="Liberation Serif;Times New Roma" w:cs="Times New Roman"/>
          <w:szCs w:val="24"/>
        </w:rPr>
        <w:t xml:space="preserve"> </w:t>
      </w:r>
      <w:r w:rsidRPr="00986F85">
        <w:rPr>
          <w:rFonts w:eastAsia="Times New Roman;serif" w:cs="Times New Roman"/>
          <w:szCs w:val="24"/>
        </w:rPr>
        <w:t>fejlesztésen,</w:t>
      </w:r>
      <w:r w:rsidRPr="00986F85">
        <w:rPr>
          <w:rFonts w:eastAsia="Liberation Serif;Times New Roma" w:cs="Times New Roman"/>
          <w:szCs w:val="24"/>
        </w:rPr>
        <w:t xml:space="preserve"> </w:t>
      </w:r>
      <w:r w:rsidRPr="00986F85">
        <w:rPr>
          <w:rFonts w:eastAsia="Times New Roman;serif" w:cs="Times New Roman"/>
          <w:szCs w:val="24"/>
        </w:rPr>
        <w:t>valamint</w:t>
      </w:r>
      <w:r w:rsidRPr="00986F85">
        <w:rPr>
          <w:rFonts w:eastAsia="Liberation Serif;Times New Roma" w:cs="Times New Roman"/>
          <w:szCs w:val="24"/>
        </w:rPr>
        <w:t xml:space="preserve"> </w:t>
      </w:r>
      <w:r w:rsidRPr="00986F85">
        <w:rPr>
          <w:rFonts w:eastAsia="Times New Roman;serif" w:cs="Times New Roman"/>
          <w:szCs w:val="24"/>
        </w:rPr>
        <w:t>korszerűsítésen</w:t>
      </w:r>
      <w:r w:rsidRPr="00986F85">
        <w:rPr>
          <w:rFonts w:eastAsia="Liberation Serif;Times New Roma" w:cs="Times New Roman"/>
          <w:szCs w:val="24"/>
        </w:rPr>
        <w:t xml:space="preserve"> </w:t>
      </w:r>
      <w:r w:rsidRPr="00986F85">
        <w:rPr>
          <w:rFonts w:eastAsia="Times New Roman;serif" w:cs="Times New Roman"/>
          <w:szCs w:val="24"/>
        </w:rPr>
        <w:t>keresztül.</w:t>
      </w:r>
      <w:r w:rsidRPr="00986F85">
        <w:rPr>
          <w:rFonts w:eastAsia="Liberation Serif;Times New Roma" w:cs="Times New Roman"/>
          <w:szCs w:val="24"/>
        </w:rPr>
        <w:t xml:space="preserve"> </w:t>
      </w:r>
    </w:p>
    <w:p w14:paraId="21007B5D" w14:textId="77777777" w:rsidR="00B86C66" w:rsidRPr="00986F85" w:rsidRDefault="00B86C66" w:rsidP="00B04415">
      <w:pPr>
        <w:snapToGrid w:val="0"/>
        <w:spacing w:after="0" w:line="360" w:lineRule="auto"/>
        <w:jc w:val="both"/>
        <w:rPr>
          <w:rFonts w:eastAsia="Liberation Serif;Times New Roma" w:cs="Times New Roman"/>
          <w:szCs w:val="24"/>
        </w:rPr>
      </w:pPr>
      <w:r w:rsidRPr="00986F85">
        <w:rPr>
          <w:rFonts w:eastAsia="Liberation Serif;Times New Roma" w:cs="Times New Roman"/>
          <w:szCs w:val="24"/>
        </w:rPr>
        <w:t>A GOP 2.1.1. intézkedés alatt négy</w:t>
      </w:r>
      <w:r w:rsidR="00693922" w:rsidRPr="00986F85">
        <w:rPr>
          <w:rFonts w:eastAsia="Liberation Serif;Times New Roma" w:cs="Times New Roman"/>
          <w:szCs w:val="24"/>
        </w:rPr>
        <w:t>, a KMOP 1.2.1. intézkedés alatt három</w:t>
      </w:r>
      <w:r w:rsidR="00C966D0" w:rsidRPr="00986F85">
        <w:rPr>
          <w:rFonts w:eastAsia="Liberation Serif;Times New Roma" w:cs="Times New Roman"/>
          <w:szCs w:val="24"/>
        </w:rPr>
        <w:t xml:space="preserve"> fő</w:t>
      </w:r>
      <w:r w:rsidRPr="00986F85">
        <w:rPr>
          <w:rFonts w:eastAsia="Liberation Serif;Times New Roma" w:cs="Times New Roman"/>
          <w:szCs w:val="24"/>
        </w:rPr>
        <w:t xml:space="preserve"> konstrukció mentén történtek forráskihelyezések. Az egyes konstrukciók jellemzőit az alábbi táblázat foglalja üssze.</w:t>
      </w:r>
    </w:p>
    <w:p w14:paraId="2A895ABB" w14:textId="77777777" w:rsidR="00481275" w:rsidRPr="00986F85" w:rsidRDefault="00481275" w:rsidP="00B04415">
      <w:pPr>
        <w:snapToGrid w:val="0"/>
        <w:spacing w:after="0" w:line="360" w:lineRule="auto"/>
        <w:jc w:val="both"/>
        <w:rPr>
          <w:rFonts w:eastAsia="Liberation Serif;Times New Roma" w:cs="Times New Roman"/>
          <w:szCs w:val="24"/>
        </w:rPr>
      </w:pPr>
    </w:p>
    <w:p w14:paraId="726A7765" w14:textId="77777777" w:rsidR="00A152C2" w:rsidRPr="00986F85" w:rsidRDefault="005657E8" w:rsidP="00A152C2">
      <w:pPr>
        <w:pStyle w:val="Kpalrs"/>
        <w:keepNext/>
      </w:pPr>
      <w:fldSimple w:instr=" SEQ táblázat \* ARABIC ">
        <w:bookmarkStart w:id="8" w:name="_Toc230854346"/>
        <w:r w:rsidR="00255252" w:rsidRPr="00986F85">
          <w:rPr>
            <w:noProof/>
          </w:rPr>
          <w:t>1</w:t>
        </w:r>
      </w:fldSimple>
      <w:r w:rsidR="00A152C2" w:rsidRPr="00986F85">
        <w:t>. táblázat: A GOP 2.1.1.</w:t>
      </w:r>
      <w:r w:rsidR="00B25727" w:rsidRPr="00986F85">
        <w:rPr>
          <w:rFonts w:cs="Times New Roman"/>
        </w:rPr>
        <w:t xml:space="preserve"> és a KMOP 1.2.1.</w:t>
      </w:r>
      <w:r w:rsidR="00A152C2" w:rsidRPr="00986F85">
        <w:t xml:space="preserve"> intézkedés konstrukciói</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2091"/>
        <w:gridCol w:w="1744"/>
        <w:gridCol w:w="1778"/>
        <w:gridCol w:w="2271"/>
      </w:tblGrid>
      <w:tr w:rsidR="00C73B84" w:rsidRPr="00986F85" w14:paraId="468FED27" w14:textId="77777777" w:rsidTr="0015414F">
        <w:tc>
          <w:tcPr>
            <w:tcW w:w="0" w:type="auto"/>
            <w:shd w:val="clear" w:color="auto" w:fill="B10000"/>
            <w:vAlign w:val="center"/>
          </w:tcPr>
          <w:p w14:paraId="7973581F" w14:textId="77777777" w:rsidR="00C73B84" w:rsidRPr="00986F85" w:rsidRDefault="00C73B84" w:rsidP="0015414F">
            <w:pPr>
              <w:snapToGrid w:val="0"/>
              <w:spacing w:after="0" w:line="360" w:lineRule="auto"/>
              <w:jc w:val="center"/>
              <w:rPr>
                <w:rFonts w:eastAsia="Times New Roman;serif" w:cs="Times New Roman"/>
                <w:b/>
                <w:sz w:val="20"/>
                <w:szCs w:val="20"/>
              </w:rPr>
            </w:pPr>
            <w:r w:rsidRPr="00986F85">
              <w:rPr>
                <w:rFonts w:eastAsia="Times New Roman;serif" w:cs="Times New Roman"/>
                <w:b/>
                <w:sz w:val="20"/>
                <w:szCs w:val="20"/>
              </w:rPr>
              <w:t>Konstrukció kód</w:t>
            </w:r>
          </w:p>
        </w:tc>
        <w:tc>
          <w:tcPr>
            <w:tcW w:w="0" w:type="auto"/>
            <w:shd w:val="clear" w:color="auto" w:fill="B10000"/>
            <w:vAlign w:val="center"/>
          </w:tcPr>
          <w:p w14:paraId="590895F8" w14:textId="77777777" w:rsidR="00C73B84" w:rsidRPr="00986F85" w:rsidRDefault="00C73B84" w:rsidP="0015414F">
            <w:pPr>
              <w:snapToGrid w:val="0"/>
              <w:spacing w:after="0" w:line="360" w:lineRule="auto"/>
              <w:jc w:val="center"/>
              <w:rPr>
                <w:rFonts w:eastAsia="Times New Roman;serif" w:cs="Times New Roman"/>
                <w:b/>
                <w:sz w:val="20"/>
                <w:szCs w:val="20"/>
              </w:rPr>
            </w:pPr>
            <w:r w:rsidRPr="00986F85">
              <w:rPr>
                <w:rFonts w:eastAsia="Times New Roman;serif" w:cs="Times New Roman"/>
                <w:b/>
                <w:sz w:val="20"/>
                <w:szCs w:val="20"/>
              </w:rPr>
              <w:t>Támogatási összeg (Ft)</w:t>
            </w:r>
          </w:p>
        </w:tc>
        <w:tc>
          <w:tcPr>
            <w:tcW w:w="0" w:type="auto"/>
            <w:shd w:val="clear" w:color="auto" w:fill="B10000"/>
            <w:vAlign w:val="center"/>
          </w:tcPr>
          <w:p w14:paraId="396E3CE9" w14:textId="77777777" w:rsidR="00C73B84" w:rsidRPr="00986F85" w:rsidRDefault="00C73B84" w:rsidP="0015414F">
            <w:pPr>
              <w:snapToGrid w:val="0"/>
              <w:spacing w:after="0" w:line="360" w:lineRule="auto"/>
              <w:jc w:val="center"/>
              <w:rPr>
                <w:rFonts w:eastAsia="Times New Roman;serif" w:cs="Times New Roman"/>
                <w:b/>
                <w:sz w:val="20"/>
                <w:szCs w:val="20"/>
              </w:rPr>
            </w:pPr>
            <w:r w:rsidRPr="00986F85">
              <w:rPr>
                <w:rFonts w:eastAsia="Times New Roman;serif" w:cs="Times New Roman"/>
                <w:b/>
                <w:sz w:val="20"/>
                <w:szCs w:val="20"/>
              </w:rPr>
              <w:t>Célcsoport</w:t>
            </w:r>
          </w:p>
        </w:tc>
        <w:tc>
          <w:tcPr>
            <w:tcW w:w="0" w:type="auto"/>
            <w:shd w:val="clear" w:color="auto" w:fill="B10000"/>
            <w:vAlign w:val="center"/>
          </w:tcPr>
          <w:p w14:paraId="55238D1C" w14:textId="77777777" w:rsidR="00C73B84" w:rsidRPr="00986F85" w:rsidRDefault="00C73B84" w:rsidP="0015414F">
            <w:pPr>
              <w:snapToGrid w:val="0"/>
              <w:spacing w:after="0" w:line="360" w:lineRule="auto"/>
              <w:jc w:val="center"/>
              <w:rPr>
                <w:rFonts w:eastAsia="Times New Roman;serif" w:cs="Times New Roman"/>
                <w:b/>
                <w:sz w:val="20"/>
                <w:szCs w:val="20"/>
              </w:rPr>
            </w:pPr>
            <w:r w:rsidRPr="00986F85">
              <w:rPr>
                <w:rFonts w:eastAsia="Times New Roman;serif" w:cs="Times New Roman"/>
                <w:b/>
                <w:sz w:val="20"/>
                <w:szCs w:val="20"/>
              </w:rPr>
              <w:t>Első kiírás, eljárásrend</w:t>
            </w:r>
          </w:p>
        </w:tc>
        <w:tc>
          <w:tcPr>
            <w:tcW w:w="0" w:type="auto"/>
            <w:shd w:val="clear" w:color="auto" w:fill="B10000"/>
            <w:vAlign w:val="center"/>
          </w:tcPr>
          <w:p w14:paraId="4FE95C8A" w14:textId="77777777" w:rsidR="00C73B84" w:rsidRPr="00986F85" w:rsidRDefault="00C73B84" w:rsidP="0015414F">
            <w:pPr>
              <w:snapToGrid w:val="0"/>
              <w:spacing w:after="0" w:line="360" w:lineRule="auto"/>
              <w:jc w:val="center"/>
              <w:rPr>
                <w:rFonts w:eastAsia="Times New Roman;serif" w:cs="Times New Roman"/>
                <w:b/>
                <w:sz w:val="20"/>
                <w:szCs w:val="20"/>
              </w:rPr>
            </w:pPr>
            <w:r w:rsidRPr="00986F85">
              <w:rPr>
                <w:rFonts w:eastAsia="Times New Roman;serif" w:cs="Times New Roman"/>
                <w:b/>
                <w:sz w:val="20"/>
                <w:szCs w:val="20"/>
              </w:rPr>
              <w:t>Elvárt hatás</w:t>
            </w:r>
          </w:p>
        </w:tc>
      </w:tr>
      <w:tr w:rsidR="00C73B84" w:rsidRPr="00986F85" w14:paraId="4C217D4C" w14:textId="77777777" w:rsidTr="0015414F">
        <w:tc>
          <w:tcPr>
            <w:tcW w:w="0" w:type="auto"/>
            <w:shd w:val="clear" w:color="auto" w:fill="auto"/>
            <w:vAlign w:val="center"/>
          </w:tcPr>
          <w:p w14:paraId="1A89D4E6" w14:textId="77777777" w:rsidR="00C73B84" w:rsidRPr="00986F85" w:rsidRDefault="00C73B84" w:rsidP="0015414F">
            <w:pPr>
              <w:snapToGrid w:val="0"/>
              <w:spacing w:after="0" w:line="360" w:lineRule="auto"/>
              <w:rPr>
                <w:rFonts w:eastAsia="Times New Roman;serif" w:cs="Times New Roman"/>
                <w:sz w:val="20"/>
                <w:szCs w:val="20"/>
              </w:rPr>
            </w:pPr>
            <w:r w:rsidRPr="00986F85">
              <w:rPr>
                <w:rFonts w:eastAsia="Times New Roman;serif" w:cs="Times New Roman"/>
                <w:sz w:val="20"/>
                <w:szCs w:val="20"/>
              </w:rPr>
              <w:t>GOP 2.1.1./A</w:t>
            </w:r>
          </w:p>
          <w:p w14:paraId="34B94C54" w14:textId="77777777" w:rsidR="00693922" w:rsidRPr="00986F85" w:rsidRDefault="00693922" w:rsidP="0015414F">
            <w:pPr>
              <w:snapToGrid w:val="0"/>
              <w:spacing w:after="0" w:line="360" w:lineRule="auto"/>
              <w:rPr>
                <w:rFonts w:eastAsia="Times New Roman;serif" w:cs="Times New Roman"/>
                <w:sz w:val="20"/>
                <w:szCs w:val="20"/>
              </w:rPr>
            </w:pPr>
            <w:r w:rsidRPr="00986F85">
              <w:rPr>
                <w:rFonts w:eastAsia="Times New Roman;serif" w:cs="Times New Roman"/>
                <w:sz w:val="20"/>
                <w:szCs w:val="20"/>
              </w:rPr>
              <w:t>(KMOP 1.2.1./A)</w:t>
            </w:r>
          </w:p>
        </w:tc>
        <w:tc>
          <w:tcPr>
            <w:tcW w:w="0" w:type="auto"/>
            <w:shd w:val="clear" w:color="auto" w:fill="auto"/>
            <w:vAlign w:val="center"/>
          </w:tcPr>
          <w:p w14:paraId="43B20503" w14:textId="77777777" w:rsidR="00C73B84" w:rsidRPr="00986F85" w:rsidRDefault="00547BCC" w:rsidP="0015414F">
            <w:pPr>
              <w:snapToGrid w:val="0"/>
              <w:spacing w:after="0" w:line="360" w:lineRule="auto"/>
              <w:rPr>
                <w:rFonts w:eastAsia="Times New Roman;serif" w:cs="Times New Roman"/>
                <w:sz w:val="20"/>
                <w:szCs w:val="20"/>
              </w:rPr>
            </w:pPr>
            <w:r w:rsidRPr="00986F85">
              <w:rPr>
                <w:rFonts w:eastAsia="Times New Roman;serif" w:cs="Times New Roman"/>
                <w:sz w:val="20"/>
                <w:szCs w:val="20"/>
              </w:rPr>
              <w:t>Kis összeg</w:t>
            </w:r>
          </w:p>
          <w:p w14:paraId="1F771D68" w14:textId="77777777" w:rsidR="00547BCC" w:rsidRPr="00986F85" w:rsidRDefault="00547BCC" w:rsidP="0015414F">
            <w:pPr>
              <w:snapToGrid w:val="0"/>
              <w:spacing w:after="0" w:line="360" w:lineRule="auto"/>
              <w:rPr>
                <w:rFonts w:eastAsia="Times New Roman;serif" w:cs="Times New Roman"/>
                <w:sz w:val="20"/>
                <w:szCs w:val="20"/>
              </w:rPr>
            </w:pPr>
            <w:r w:rsidRPr="00986F85">
              <w:rPr>
                <w:rFonts w:eastAsia="Times New Roman;serif" w:cs="Times New Roman"/>
                <w:sz w:val="20"/>
                <w:szCs w:val="20"/>
              </w:rPr>
              <w:t>(1-50 millió)</w:t>
            </w:r>
          </w:p>
        </w:tc>
        <w:tc>
          <w:tcPr>
            <w:tcW w:w="0" w:type="auto"/>
            <w:shd w:val="clear" w:color="auto" w:fill="auto"/>
            <w:vAlign w:val="center"/>
          </w:tcPr>
          <w:p w14:paraId="37AFE60A" w14:textId="77777777" w:rsidR="00C73B84" w:rsidRPr="00986F85" w:rsidRDefault="00547BCC" w:rsidP="0015414F">
            <w:pPr>
              <w:snapToGrid w:val="0"/>
              <w:spacing w:after="0" w:line="360" w:lineRule="auto"/>
              <w:rPr>
                <w:rFonts w:eastAsia="Times New Roman;serif" w:cs="Times New Roman"/>
                <w:sz w:val="20"/>
                <w:szCs w:val="20"/>
              </w:rPr>
            </w:pPr>
            <w:r w:rsidRPr="00986F85">
              <w:rPr>
                <w:rFonts w:eastAsia="Times New Roman;serif" w:cs="Times New Roman"/>
                <w:sz w:val="20"/>
                <w:szCs w:val="20"/>
              </w:rPr>
              <w:t>Mikro és kisvállalkozások</w:t>
            </w:r>
          </w:p>
        </w:tc>
        <w:tc>
          <w:tcPr>
            <w:tcW w:w="0" w:type="auto"/>
            <w:shd w:val="clear" w:color="auto" w:fill="auto"/>
            <w:vAlign w:val="center"/>
          </w:tcPr>
          <w:p w14:paraId="7218DD81" w14:textId="77777777" w:rsidR="00C73B84" w:rsidRPr="00986F85" w:rsidRDefault="00547BCC" w:rsidP="0015414F">
            <w:pPr>
              <w:snapToGrid w:val="0"/>
              <w:spacing w:after="0" w:line="360" w:lineRule="auto"/>
              <w:rPr>
                <w:rFonts w:eastAsia="Times New Roman;serif" w:cs="Times New Roman"/>
                <w:sz w:val="20"/>
                <w:szCs w:val="20"/>
              </w:rPr>
            </w:pPr>
            <w:r w:rsidRPr="00986F85">
              <w:rPr>
                <w:rFonts w:eastAsia="Times New Roman;serif" w:cs="Times New Roman"/>
                <w:sz w:val="20"/>
                <w:szCs w:val="20"/>
              </w:rPr>
              <w:t>2007</w:t>
            </w:r>
          </w:p>
          <w:p w14:paraId="3EF68FD4" w14:textId="77777777" w:rsidR="00547BCC" w:rsidRPr="00986F85" w:rsidRDefault="00547BCC" w:rsidP="0015414F">
            <w:pPr>
              <w:snapToGrid w:val="0"/>
              <w:spacing w:after="0" w:line="360" w:lineRule="auto"/>
              <w:rPr>
                <w:rFonts w:eastAsia="Times New Roman;serif" w:cs="Times New Roman"/>
                <w:sz w:val="20"/>
                <w:szCs w:val="20"/>
              </w:rPr>
            </w:pPr>
            <w:r w:rsidRPr="00986F85">
              <w:rPr>
                <w:rFonts w:eastAsia="Times New Roman;serif" w:cs="Times New Roman"/>
                <w:sz w:val="20"/>
                <w:szCs w:val="20"/>
              </w:rPr>
              <w:t>automatikus</w:t>
            </w:r>
          </w:p>
        </w:tc>
        <w:tc>
          <w:tcPr>
            <w:tcW w:w="0" w:type="auto"/>
            <w:shd w:val="clear" w:color="auto" w:fill="auto"/>
            <w:vAlign w:val="center"/>
          </w:tcPr>
          <w:p w14:paraId="13F89C7F" w14:textId="77777777" w:rsidR="00C73B84" w:rsidRPr="00986F85" w:rsidRDefault="00547BCC" w:rsidP="0015414F">
            <w:pPr>
              <w:snapToGrid w:val="0"/>
              <w:spacing w:after="0" w:line="360" w:lineRule="auto"/>
              <w:rPr>
                <w:rFonts w:eastAsia="Times New Roman;serif" w:cs="Times New Roman"/>
                <w:sz w:val="20"/>
                <w:szCs w:val="20"/>
              </w:rPr>
            </w:pPr>
            <w:r w:rsidRPr="00986F85">
              <w:rPr>
                <w:rFonts w:eastAsia="Times New Roman;serif" w:cs="Times New Roman"/>
                <w:sz w:val="20"/>
                <w:szCs w:val="20"/>
              </w:rPr>
              <w:t xml:space="preserve">Foglalkoztatás </w:t>
            </w:r>
          </w:p>
          <w:p w14:paraId="43987DDE" w14:textId="77777777" w:rsidR="00547BCC" w:rsidRPr="00986F85" w:rsidRDefault="00547BCC" w:rsidP="0015414F">
            <w:pPr>
              <w:snapToGrid w:val="0"/>
              <w:spacing w:after="0" w:line="360" w:lineRule="auto"/>
              <w:rPr>
                <w:rFonts w:eastAsia="Times New Roman;serif" w:cs="Times New Roman"/>
                <w:sz w:val="20"/>
                <w:szCs w:val="20"/>
              </w:rPr>
            </w:pPr>
            <w:r w:rsidRPr="00986F85">
              <w:rPr>
                <w:rFonts w:eastAsia="Times New Roman;serif" w:cs="Times New Roman"/>
                <w:sz w:val="20"/>
                <w:szCs w:val="20"/>
              </w:rPr>
              <w:t>(létszámmegtartás)</w:t>
            </w:r>
          </w:p>
        </w:tc>
      </w:tr>
      <w:tr w:rsidR="00C73B84" w:rsidRPr="00986F85" w14:paraId="7B4A140D" w14:textId="77777777" w:rsidTr="0015414F">
        <w:tc>
          <w:tcPr>
            <w:tcW w:w="0" w:type="auto"/>
            <w:shd w:val="clear" w:color="auto" w:fill="auto"/>
            <w:vAlign w:val="center"/>
          </w:tcPr>
          <w:p w14:paraId="3BD0A9AC" w14:textId="77777777" w:rsidR="00C73B84" w:rsidRPr="00986F85" w:rsidRDefault="00C73B84" w:rsidP="0015414F">
            <w:pPr>
              <w:snapToGrid w:val="0"/>
              <w:spacing w:after="0" w:line="360" w:lineRule="auto"/>
              <w:rPr>
                <w:rFonts w:eastAsia="Times New Roman;serif" w:cs="Times New Roman"/>
                <w:sz w:val="20"/>
                <w:szCs w:val="20"/>
              </w:rPr>
            </w:pPr>
            <w:r w:rsidRPr="00986F85">
              <w:rPr>
                <w:rFonts w:eastAsia="Times New Roman;serif" w:cs="Times New Roman"/>
                <w:sz w:val="20"/>
                <w:szCs w:val="20"/>
              </w:rPr>
              <w:t>GOP 2.1.1./B</w:t>
            </w:r>
          </w:p>
          <w:p w14:paraId="4F09F5E3" w14:textId="77777777" w:rsidR="00693922" w:rsidRPr="00986F85" w:rsidRDefault="00693922" w:rsidP="0015414F">
            <w:pPr>
              <w:snapToGrid w:val="0"/>
              <w:spacing w:after="0" w:line="360" w:lineRule="auto"/>
              <w:rPr>
                <w:rFonts w:eastAsia="Times New Roman;serif" w:cs="Times New Roman"/>
                <w:sz w:val="20"/>
                <w:szCs w:val="20"/>
              </w:rPr>
            </w:pPr>
            <w:r w:rsidRPr="00986F85">
              <w:rPr>
                <w:rFonts w:eastAsia="Times New Roman;serif" w:cs="Times New Roman"/>
                <w:sz w:val="20"/>
                <w:szCs w:val="20"/>
              </w:rPr>
              <w:t>(KMOP 1.2.1./B)</w:t>
            </w:r>
          </w:p>
        </w:tc>
        <w:tc>
          <w:tcPr>
            <w:tcW w:w="0" w:type="auto"/>
            <w:shd w:val="clear" w:color="auto" w:fill="auto"/>
            <w:vAlign w:val="center"/>
          </w:tcPr>
          <w:p w14:paraId="4C2AED77" w14:textId="77777777" w:rsidR="00C73B84" w:rsidRPr="00986F85" w:rsidRDefault="00547BCC" w:rsidP="0015414F">
            <w:pPr>
              <w:snapToGrid w:val="0"/>
              <w:spacing w:after="0" w:line="360" w:lineRule="auto"/>
              <w:rPr>
                <w:rFonts w:eastAsia="Times New Roman;serif" w:cs="Times New Roman"/>
                <w:sz w:val="20"/>
                <w:szCs w:val="20"/>
              </w:rPr>
            </w:pPr>
            <w:r w:rsidRPr="00986F85">
              <w:rPr>
                <w:rFonts w:eastAsia="Times New Roman;serif" w:cs="Times New Roman"/>
                <w:sz w:val="20"/>
                <w:szCs w:val="20"/>
              </w:rPr>
              <w:t>Közepes nagyságrend</w:t>
            </w:r>
          </w:p>
          <w:p w14:paraId="25E4CC91" w14:textId="77777777" w:rsidR="00547BCC" w:rsidRPr="00986F85" w:rsidRDefault="00547BCC" w:rsidP="0015414F">
            <w:pPr>
              <w:snapToGrid w:val="0"/>
              <w:spacing w:after="0" w:line="360" w:lineRule="auto"/>
              <w:rPr>
                <w:rFonts w:eastAsia="Times New Roman;serif" w:cs="Times New Roman"/>
                <w:sz w:val="20"/>
                <w:szCs w:val="20"/>
              </w:rPr>
            </w:pPr>
            <w:r w:rsidRPr="00986F85">
              <w:rPr>
                <w:rFonts w:eastAsia="Times New Roman;serif" w:cs="Times New Roman"/>
                <w:sz w:val="20"/>
                <w:szCs w:val="20"/>
              </w:rPr>
              <w:t>(5-150 millió)</w:t>
            </w:r>
          </w:p>
        </w:tc>
        <w:tc>
          <w:tcPr>
            <w:tcW w:w="0" w:type="auto"/>
            <w:shd w:val="clear" w:color="auto" w:fill="auto"/>
            <w:vAlign w:val="center"/>
          </w:tcPr>
          <w:p w14:paraId="5588A473" w14:textId="77777777" w:rsidR="00C73B84" w:rsidRPr="00986F85" w:rsidRDefault="00547BCC" w:rsidP="0015414F">
            <w:pPr>
              <w:snapToGrid w:val="0"/>
              <w:spacing w:after="0" w:line="360" w:lineRule="auto"/>
              <w:rPr>
                <w:rFonts w:eastAsia="Times New Roman;serif" w:cs="Times New Roman"/>
                <w:sz w:val="20"/>
                <w:szCs w:val="20"/>
              </w:rPr>
            </w:pPr>
            <w:r w:rsidRPr="00986F85">
              <w:rPr>
                <w:rFonts w:eastAsia="Times New Roman;serif" w:cs="Times New Roman"/>
                <w:sz w:val="20"/>
                <w:szCs w:val="20"/>
              </w:rPr>
              <w:t>Mikro és KKV</w:t>
            </w:r>
          </w:p>
        </w:tc>
        <w:tc>
          <w:tcPr>
            <w:tcW w:w="0" w:type="auto"/>
            <w:shd w:val="clear" w:color="auto" w:fill="auto"/>
            <w:vAlign w:val="center"/>
          </w:tcPr>
          <w:p w14:paraId="7619BE72" w14:textId="77777777" w:rsidR="00C73B84" w:rsidRPr="00986F85" w:rsidRDefault="00547BCC" w:rsidP="0015414F">
            <w:pPr>
              <w:snapToGrid w:val="0"/>
              <w:spacing w:after="0" w:line="360" w:lineRule="auto"/>
              <w:rPr>
                <w:rFonts w:eastAsia="Times New Roman;serif" w:cs="Times New Roman"/>
                <w:sz w:val="20"/>
                <w:szCs w:val="20"/>
              </w:rPr>
            </w:pPr>
            <w:r w:rsidRPr="00986F85">
              <w:rPr>
                <w:rFonts w:eastAsia="Times New Roman;serif" w:cs="Times New Roman"/>
                <w:sz w:val="20"/>
                <w:szCs w:val="20"/>
              </w:rPr>
              <w:t>2007</w:t>
            </w:r>
          </w:p>
          <w:p w14:paraId="54AC001E" w14:textId="77777777" w:rsidR="00547BCC" w:rsidRPr="00986F85" w:rsidRDefault="00547BCC" w:rsidP="0015414F">
            <w:pPr>
              <w:snapToGrid w:val="0"/>
              <w:spacing w:after="0" w:line="360" w:lineRule="auto"/>
              <w:rPr>
                <w:rFonts w:eastAsia="Times New Roman;serif" w:cs="Times New Roman"/>
                <w:sz w:val="20"/>
                <w:szCs w:val="20"/>
              </w:rPr>
            </w:pPr>
            <w:r w:rsidRPr="00986F85">
              <w:rPr>
                <w:rFonts w:eastAsia="Times New Roman;serif" w:cs="Times New Roman"/>
                <w:sz w:val="20"/>
                <w:szCs w:val="20"/>
              </w:rPr>
              <w:t>egyedi bírálat</w:t>
            </w:r>
          </w:p>
        </w:tc>
        <w:tc>
          <w:tcPr>
            <w:tcW w:w="0" w:type="auto"/>
            <w:shd w:val="clear" w:color="auto" w:fill="auto"/>
            <w:vAlign w:val="center"/>
          </w:tcPr>
          <w:p w14:paraId="658D5D88" w14:textId="77777777" w:rsidR="00C73B84" w:rsidRPr="00986F85" w:rsidRDefault="00547BCC" w:rsidP="0015414F">
            <w:pPr>
              <w:snapToGrid w:val="0"/>
              <w:spacing w:after="0" w:line="360" w:lineRule="auto"/>
              <w:rPr>
                <w:rFonts w:eastAsia="Times New Roman;serif" w:cs="Times New Roman"/>
                <w:sz w:val="20"/>
                <w:szCs w:val="20"/>
              </w:rPr>
            </w:pPr>
            <w:r w:rsidRPr="00986F85">
              <w:rPr>
                <w:rFonts w:eastAsia="Times New Roman;serif" w:cs="Times New Roman"/>
                <w:sz w:val="20"/>
                <w:szCs w:val="20"/>
              </w:rPr>
              <w:t>Árbevétel növekedés</w:t>
            </w:r>
          </w:p>
        </w:tc>
      </w:tr>
      <w:tr w:rsidR="00C73B84" w:rsidRPr="00986F85" w14:paraId="15BC9F6A" w14:textId="77777777" w:rsidTr="0015414F">
        <w:tc>
          <w:tcPr>
            <w:tcW w:w="0" w:type="auto"/>
            <w:shd w:val="clear" w:color="auto" w:fill="auto"/>
            <w:vAlign w:val="center"/>
          </w:tcPr>
          <w:p w14:paraId="63F03B45" w14:textId="77777777" w:rsidR="00C73B84" w:rsidRPr="00986F85" w:rsidRDefault="00C73B84" w:rsidP="0015414F">
            <w:pPr>
              <w:snapToGrid w:val="0"/>
              <w:spacing w:after="0" w:line="360" w:lineRule="auto"/>
              <w:rPr>
                <w:rFonts w:eastAsia="Times New Roman;serif" w:cs="Times New Roman"/>
                <w:sz w:val="20"/>
                <w:szCs w:val="20"/>
              </w:rPr>
            </w:pPr>
            <w:r w:rsidRPr="00986F85">
              <w:rPr>
                <w:rFonts w:eastAsia="Times New Roman;serif" w:cs="Times New Roman"/>
                <w:sz w:val="20"/>
                <w:szCs w:val="20"/>
              </w:rPr>
              <w:t>GOP 2.1.1./C</w:t>
            </w:r>
          </w:p>
        </w:tc>
        <w:tc>
          <w:tcPr>
            <w:tcW w:w="0" w:type="auto"/>
            <w:shd w:val="clear" w:color="auto" w:fill="auto"/>
            <w:vAlign w:val="center"/>
          </w:tcPr>
          <w:p w14:paraId="121EAC59" w14:textId="77777777" w:rsidR="00C73B84" w:rsidRPr="00986F85" w:rsidRDefault="00547BCC" w:rsidP="0015414F">
            <w:pPr>
              <w:snapToGrid w:val="0"/>
              <w:spacing w:after="0" w:line="360" w:lineRule="auto"/>
              <w:rPr>
                <w:rFonts w:eastAsia="Times New Roman;serif" w:cs="Times New Roman"/>
                <w:sz w:val="20"/>
                <w:szCs w:val="20"/>
              </w:rPr>
            </w:pPr>
            <w:r w:rsidRPr="00986F85">
              <w:rPr>
                <w:rFonts w:eastAsia="Times New Roman;serif" w:cs="Times New Roman"/>
                <w:sz w:val="20"/>
                <w:szCs w:val="20"/>
              </w:rPr>
              <w:t>Nagy támogatási összegek</w:t>
            </w:r>
          </w:p>
          <w:p w14:paraId="3DC6837C" w14:textId="77777777" w:rsidR="00547BCC" w:rsidRPr="00986F85" w:rsidRDefault="00547BCC" w:rsidP="0015414F">
            <w:pPr>
              <w:snapToGrid w:val="0"/>
              <w:spacing w:after="0" w:line="360" w:lineRule="auto"/>
              <w:rPr>
                <w:rFonts w:eastAsia="Times New Roman;serif" w:cs="Times New Roman"/>
                <w:sz w:val="20"/>
                <w:szCs w:val="20"/>
              </w:rPr>
            </w:pPr>
            <w:r w:rsidRPr="00986F85">
              <w:rPr>
                <w:rFonts w:eastAsia="Times New Roman;serif" w:cs="Times New Roman"/>
                <w:sz w:val="20"/>
                <w:szCs w:val="20"/>
              </w:rPr>
              <w:t>(150 millió felett)</w:t>
            </w:r>
          </w:p>
        </w:tc>
        <w:tc>
          <w:tcPr>
            <w:tcW w:w="0" w:type="auto"/>
            <w:shd w:val="clear" w:color="auto" w:fill="auto"/>
            <w:vAlign w:val="center"/>
          </w:tcPr>
          <w:p w14:paraId="03AF0BE2" w14:textId="77777777" w:rsidR="00C73B84" w:rsidRPr="00986F85" w:rsidRDefault="00547BCC" w:rsidP="0015414F">
            <w:pPr>
              <w:snapToGrid w:val="0"/>
              <w:spacing w:after="0" w:line="360" w:lineRule="auto"/>
              <w:rPr>
                <w:rFonts w:eastAsia="Times New Roman;serif" w:cs="Times New Roman"/>
                <w:sz w:val="20"/>
                <w:szCs w:val="20"/>
              </w:rPr>
            </w:pPr>
            <w:r w:rsidRPr="00986F85">
              <w:rPr>
                <w:rFonts w:eastAsia="Times New Roman;serif" w:cs="Times New Roman"/>
                <w:sz w:val="20"/>
                <w:szCs w:val="20"/>
              </w:rPr>
              <w:t>KKV és nagyvállalat</w:t>
            </w:r>
          </w:p>
        </w:tc>
        <w:tc>
          <w:tcPr>
            <w:tcW w:w="0" w:type="auto"/>
            <w:shd w:val="clear" w:color="auto" w:fill="auto"/>
            <w:vAlign w:val="center"/>
          </w:tcPr>
          <w:p w14:paraId="6D679CCA" w14:textId="77777777" w:rsidR="00C73B84" w:rsidRPr="00986F85" w:rsidRDefault="00547BCC" w:rsidP="0015414F">
            <w:pPr>
              <w:snapToGrid w:val="0"/>
              <w:spacing w:after="0" w:line="360" w:lineRule="auto"/>
              <w:rPr>
                <w:rFonts w:eastAsia="Times New Roman;serif" w:cs="Times New Roman"/>
                <w:sz w:val="20"/>
                <w:szCs w:val="20"/>
              </w:rPr>
            </w:pPr>
            <w:r w:rsidRPr="00986F85">
              <w:rPr>
                <w:rFonts w:eastAsia="Times New Roman;serif" w:cs="Times New Roman"/>
                <w:sz w:val="20"/>
                <w:szCs w:val="20"/>
              </w:rPr>
              <w:t>2007</w:t>
            </w:r>
          </w:p>
          <w:p w14:paraId="3AF6DA5C" w14:textId="77777777" w:rsidR="00547BCC" w:rsidRPr="00986F85" w:rsidRDefault="00547BCC" w:rsidP="0015414F">
            <w:pPr>
              <w:snapToGrid w:val="0"/>
              <w:spacing w:after="0" w:line="360" w:lineRule="auto"/>
              <w:rPr>
                <w:rFonts w:eastAsia="Times New Roman;serif" w:cs="Times New Roman"/>
                <w:sz w:val="20"/>
                <w:szCs w:val="20"/>
              </w:rPr>
            </w:pPr>
            <w:r w:rsidRPr="00986F85">
              <w:rPr>
                <w:rFonts w:eastAsia="Times New Roman;serif" w:cs="Times New Roman"/>
                <w:sz w:val="20"/>
                <w:szCs w:val="20"/>
              </w:rPr>
              <w:t>egyedi bírálat (kiemelt eljárásrend)</w:t>
            </w:r>
          </w:p>
        </w:tc>
        <w:tc>
          <w:tcPr>
            <w:tcW w:w="0" w:type="auto"/>
            <w:shd w:val="clear" w:color="auto" w:fill="auto"/>
            <w:vAlign w:val="center"/>
          </w:tcPr>
          <w:p w14:paraId="2B23C155" w14:textId="77777777" w:rsidR="00C73B84" w:rsidRPr="00986F85" w:rsidRDefault="00547BCC" w:rsidP="0015414F">
            <w:pPr>
              <w:snapToGrid w:val="0"/>
              <w:spacing w:after="0" w:line="360" w:lineRule="auto"/>
              <w:rPr>
                <w:rFonts w:eastAsia="Times New Roman;serif" w:cs="Times New Roman"/>
                <w:sz w:val="20"/>
                <w:szCs w:val="20"/>
              </w:rPr>
            </w:pPr>
            <w:r w:rsidRPr="00986F85">
              <w:rPr>
                <w:rFonts w:eastAsia="Times New Roman;serif" w:cs="Times New Roman"/>
                <w:sz w:val="20"/>
                <w:szCs w:val="20"/>
              </w:rPr>
              <w:t>Foglalkoztatás és árbevétel növekedés</w:t>
            </w:r>
          </w:p>
        </w:tc>
      </w:tr>
      <w:tr w:rsidR="00C73B84" w:rsidRPr="00986F85" w14:paraId="429D4EC7" w14:textId="77777777" w:rsidTr="0015414F">
        <w:tc>
          <w:tcPr>
            <w:tcW w:w="0" w:type="auto"/>
            <w:shd w:val="clear" w:color="auto" w:fill="auto"/>
            <w:vAlign w:val="center"/>
          </w:tcPr>
          <w:p w14:paraId="003C6E91" w14:textId="77777777" w:rsidR="00C73B84" w:rsidRPr="00986F85" w:rsidRDefault="00C73B84" w:rsidP="0015414F">
            <w:pPr>
              <w:snapToGrid w:val="0"/>
              <w:spacing w:after="0" w:line="360" w:lineRule="auto"/>
              <w:rPr>
                <w:rFonts w:eastAsia="Times New Roman;serif" w:cs="Times New Roman"/>
                <w:sz w:val="20"/>
                <w:szCs w:val="20"/>
              </w:rPr>
            </w:pPr>
            <w:r w:rsidRPr="00986F85">
              <w:rPr>
                <w:rFonts w:eastAsia="Times New Roman;serif" w:cs="Times New Roman"/>
                <w:sz w:val="20"/>
                <w:szCs w:val="20"/>
              </w:rPr>
              <w:t>GOP 2.1.1./M</w:t>
            </w:r>
          </w:p>
          <w:p w14:paraId="296A67F9" w14:textId="77777777" w:rsidR="00693922" w:rsidRPr="00986F85" w:rsidRDefault="00693922" w:rsidP="0015414F">
            <w:pPr>
              <w:snapToGrid w:val="0"/>
              <w:spacing w:after="0" w:line="360" w:lineRule="auto"/>
              <w:rPr>
                <w:rFonts w:eastAsia="Times New Roman;serif" w:cs="Times New Roman"/>
                <w:sz w:val="20"/>
                <w:szCs w:val="20"/>
              </w:rPr>
            </w:pPr>
            <w:r w:rsidRPr="00986F85">
              <w:rPr>
                <w:rFonts w:eastAsia="Times New Roman;serif" w:cs="Times New Roman"/>
                <w:sz w:val="20"/>
                <w:szCs w:val="20"/>
              </w:rPr>
              <w:t>(KMOP 1.2.1./M)</w:t>
            </w:r>
          </w:p>
        </w:tc>
        <w:tc>
          <w:tcPr>
            <w:tcW w:w="0" w:type="auto"/>
            <w:shd w:val="clear" w:color="auto" w:fill="auto"/>
            <w:vAlign w:val="center"/>
          </w:tcPr>
          <w:p w14:paraId="7223973E" w14:textId="77777777" w:rsidR="00C73B84" w:rsidRPr="00986F85" w:rsidRDefault="00547BCC" w:rsidP="0015414F">
            <w:pPr>
              <w:snapToGrid w:val="0"/>
              <w:spacing w:after="0" w:line="360" w:lineRule="auto"/>
              <w:rPr>
                <w:rFonts w:eastAsia="Times New Roman;serif" w:cs="Times New Roman"/>
                <w:sz w:val="20"/>
                <w:szCs w:val="20"/>
              </w:rPr>
            </w:pPr>
            <w:r w:rsidRPr="00986F85">
              <w:rPr>
                <w:rFonts w:eastAsia="Times New Roman;serif" w:cs="Times New Roman"/>
                <w:sz w:val="20"/>
                <w:szCs w:val="20"/>
              </w:rPr>
              <w:t>Mikrohitellel kombinált összegek (min. 1 milló)</w:t>
            </w:r>
          </w:p>
        </w:tc>
        <w:tc>
          <w:tcPr>
            <w:tcW w:w="0" w:type="auto"/>
            <w:shd w:val="clear" w:color="auto" w:fill="auto"/>
            <w:vAlign w:val="center"/>
          </w:tcPr>
          <w:p w14:paraId="5A6E214E" w14:textId="77777777" w:rsidR="00C73B84" w:rsidRPr="00986F85" w:rsidRDefault="00547BCC" w:rsidP="0015414F">
            <w:pPr>
              <w:snapToGrid w:val="0"/>
              <w:spacing w:after="0" w:line="360" w:lineRule="auto"/>
              <w:rPr>
                <w:rFonts w:eastAsia="Times New Roman;serif" w:cs="Times New Roman"/>
                <w:sz w:val="20"/>
                <w:szCs w:val="20"/>
              </w:rPr>
            </w:pPr>
            <w:r w:rsidRPr="00986F85">
              <w:rPr>
                <w:rFonts w:eastAsia="Times New Roman;serif" w:cs="Times New Roman"/>
                <w:sz w:val="20"/>
                <w:szCs w:val="20"/>
              </w:rPr>
              <w:t>Mikro és KKV</w:t>
            </w:r>
          </w:p>
        </w:tc>
        <w:tc>
          <w:tcPr>
            <w:tcW w:w="0" w:type="auto"/>
            <w:shd w:val="clear" w:color="auto" w:fill="auto"/>
            <w:vAlign w:val="center"/>
          </w:tcPr>
          <w:p w14:paraId="4E0089DF" w14:textId="77777777" w:rsidR="00C73B84" w:rsidRPr="00986F85" w:rsidRDefault="00547BCC" w:rsidP="0015414F">
            <w:pPr>
              <w:snapToGrid w:val="0"/>
              <w:spacing w:after="0" w:line="360" w:lineRule="auto"/>
              <w:rPr>
                <w:rFonts w:eastAsia="Times New Roman;serif" w:cs="Times New Roman"/>
                <w:sz w:val="20"/>
                <w:szCs w:val="20"/>
              </w:rPr>
            </w:pPr>
            <w:r w:rsidRPr="00986F85">
              <w:rPr>
                <w:rFonts w:eastAsia="Times New Roman;serif" w:cs="Times New Roman"/>
                <w:sz w:val="20"/>
                <w:szCs w:val="20"/>
              </w:rPr>
              <w:t>2011</w:t>
            </w:r>
          </w:p>
          <w:p w14:paraId="05B6165E" w14:textId="77777777" w:rsidR="00547BCC" w:rsidRPr="00986F85" w:rsidRDefault="00547BCC" w:rsidP="0015414F">
            <w:pPr>
              <w:snapToGrid w:val="0"/>
              <w:spacing w:after="0" w:line="360" w:lineRule="auto"/>
              <w:rPr>
                <w:rFonts w:eastAsia="Times New Roman;serif" w:cs="Times New Roman"/>
                <w:sz w:val="20"/>
                <w:szCs w:val="20"/>
              </w:rPr>
            </w:pPr>
            <w:r w:rsidRPr="00986F85">
              <w:rPr>
                <w:rFonts w:eastAsia="Times New Roman;serif" w:cs="Times New Roman"/>
                <w:sz w:val="20"/>
                <w:szCs w:val="20"/>
              </w:rPr>
              <w:t>egyedi bírálat</w:t>
            </w:r>
          </w:p>
        </w:tc>
        <w:tc>
          <w:tcPr>
            <w:tcW w:w="0" w:type="auto"/>
            <w:shd w:val="clear" w:color="auto" w:fill="auto"/>
            <w:vAlign w:val="center"/>
          </w:tcPr>
          <w:p w14:paraId="3584CC45" w14:textId="77777777" w:rsidR="00C73B84" w:rsidRPr="00986F85" w:rsidRDefault="00547BCC" w:rsidP="0015414F">
            <w:pPr>
              <w:snapToGrid w:val="0"/>
              <w:spacing w:after="0" w:line="360" w:lineRule="auto"/>
              <w:rPr>
                <w:rFonts w:eastAsia="Times New Roman;serif" w:cs="Times New Roman"/>
                <w:sz w:val="20"/>
                <w:szCs w:val="20"/>
              </w:rPr>
            </w:pPr>
            <w:r w:rsidRPr="00986F85">
              <w:rPr>
                <w:rFonts w:eastAsia="Times New Roman;serif" w:cs="Times New Roman"/>
                <w:sz w:val="20"/>
                <w:szCs w:val="20"/>
              </w:rPr>
              <w:t>Árbevétel növekedés</w:t>
            </w:r>
          </w:p>
        </w:tc>
      </w:tr>
    </w:tbl>
    <w:p w14:paraId="27E40EB9" w14:textId="77777777" w:rsidR="00C73B84" w:rsidRPr="00986F85" w:rsidRDefault="00C73B84" w:rsidP="00B04415">
      <w:pPr>
        <w:snapToGrid w:val="0"/>
        <w:spacing w:after="0" w:line="360" w:lineRule="auto"/>
        <w:jc w:val="both"/>
        <w:rPr>
          <w:rFonts w:eastAsia="Times New Roman;serif" w:cs="Times New Roman"/>
          <w:i/>
          <w:szCs w:val="24"/>
        </w:rPr>
      </w:pPr>
      <w:r w:rsidRPr="00986F85">
        <w:rPr>
          <w:rFonts w:eastAsia="Times New Roman;serif" w:cs="Times New Roman"/>
          <w:i/>
          <w:szCs w:val="24"/>
        </w:rPr>
        <w:t>Forrás: GOP pályázati kiírások, 2007-2011</w:t>
      </w:r>
    </w:p>
    <w:p w14:paraId="73158E4B" w14:textId="77777777" w:rsidR="00C966D0" w:rsidRPr="00986F85" w:rsidRDefault="00C966D0" w:rsidP="00B04415">
      <w:pPr>
        <w:snapToGrid w:val="0"/>
        <w:spacing w:after="0" w:line="360" w:lineRule="auto"/>
        <w:jc w:val="both"/>
        <w:rPr>
          <w:rFonts w:eastAsia="Times New Roman;serif" w:cs="Times New Roman"/>
          <w:szCs w:val="24"/>
        </w:rPr>
      </w:pPr>
    </w:p>
    <w:p w14:paraId="1D00D134" w14:textId="77777777" w:rsidR="00D54C16" w:rsidRPr="00986F85" w:rsidRDefault="00D54C16" w:rsidP="00B04415">
      <w:pPr>
        <w:snapToGrid w:val="0"/>
        <w:spacing w:after="0" w:line="360" w:lineRule="auto"/>
        <w:jc w:val="both"/>
        <w:rPr>
          <w:rFonts w:eastAsia="Times New Roman;serif" w:cs="Times New Roman"/>
          <w:szCs w:val="24"/>
        </w:rPr>
      </w:pPr>
      <w:r w:rsidRPr="00986F85">
        <w:rPr>
          <w:rFonts w:eastAsia="Times New Roman;serif" w:cs="Times New Roman"/>
          <w:szCs w:val="24"/>
        </w:rPr>
        <w:t>Az elérhető</w:t>
      </w:r>
      <w:r w:rsidRPr="00986F85">
        <w:rPr>
          <w:rFonts w:eastAsia="Liberation Serif;Times New Roma" w:cs="Times New Roman"/>
          <w:szCs w:val="24"/>
        </w:rPr>
        <w:t xml:space="preserve"> </w:t>
      </w:r>
      <w:r w:rsidRPr="00986F85">
        <w:rPr>
          <w:rFonts w:eastAsia="Times New Roman;serif" w:cs="Times New Roman"/>
          <w:szCs w:val="24"/>
        </w:rPr>
        <w:t>támogatások</w:t>
      </w:r>
      <w:r w:rsidRPr="00986F85">
        <w:rPr>
          <w:rFonts w:eastAsia="Liberation Serif;Times New Roma" w:cs="Times New Roman"/>
          <w:szCs w:val="24"/>
        </w:rPr>
        <w:t xml:space="preserve"> </w:t>
      </w:r>
      <w:r w:rsidRPr="00986F85">
        <w:rPr>
          <w:rFonts w:eastAsia="Times New Roman;serif" w:cs="Times New Roman"/>
          <w:szCs w:val="24"/>
        </w:rPr>
        <w:t>összege</w:t>
      </w:r>
      <w:r w:rsidRPr="00986F85">
        <w:rPr>
          <w:rFonts w:eastAsia="Liberation Serif;Times New Roma" w:cs="Times New Roman"/>
          <w:szCs w:val="24"/>
        </w:rPr>
        <w:t xml:space="preserve"> változó</w:t>
      </w:r>
      <w:r w:rsidR="00C966D0" w:rsidRPr="00986F85">
        <w:rPr>
          <w:rFonts w:eastAsia="Liberation Serif;Times New Roma" w:cs="Times New Roman"/>
          <w:szCs w:val="24"/>
        </w:rPr>
        <w:t>, az általunk mélyebben vizsgált A konstrukció esetében alacsony összegekkel nyitott a program</w:t>
      </w:r>
      <w:r w:rsidRPr="00986F85">
        <w:rPr>
          <w:rFonts w:eastAsia="Liberation Serif;Times New Roma" w:cs="Times New Roman"/>
          <w:szCs w:val="24"/>
        </w:rPr>
        <w:t xml:space="preserve"> (többnyire </w:t>
      </w:r>
      <w:r w:rsidRPr="00986F85">
        <w:rPr>
          <w:rFonts w:eastAsia="Times New Roman;serif" w:cs="Times New Roman"/>
          <w:szCs w:val="24"/>
        </w:rPr>
        <w:t>1</w:t>
      </w:r>
      <w:r w:rsidRPr="00986F85">
        <w:rPr>
          <w:rFonts w:eastAsia="Liberation Serif;Times New Roma" w:cs="Times New Roman"/>
          <w:szCs w:val="24"/>
        </w:rPr>
        <w:t xml:space="preserve"> </w:t>
      </w:r>
      <w:r w:rsidRPr="00986F85">
        <w:rPr>
          <w:rFonts w:eastAsia="Times New Roman;serif" w:cs="Times New Roman"/>
          <w:szCs w:val="24"/>
        </w:rPr>
        <w:t>és</w:t>
      </w:r>
      <w:r w:rsidRPr="00986F85">
        <w:rPr>
          <w:rFonts w:eastAsia="Liberation Serif;Times New Roma" w:cs="Times New Roman"/>
          <w:szCs w:val="24"/>
        </w:rPr>
        <w:t xml:space="preserve"> </w:t>
      </w:r>
      <w:r w:rsidRPr="00986F85">
        <w:rPr>
          <w:rFonts w:eastAsia="Times New Roman;serif" w:cs="Times New Roman"/>
          <w:szCs w:val="24"/>
        </w:rPr>
        <w:t>25</w:t>
      </w:r>
      <w:r w:rsidRPr="00986F85">
        <w:rPr>
          <w:rFonts w:eastAsia="Liberation Serif;Times New Roma" w:cs="Times New Roman"/>
          <w:szCs w:val="24"/>
        </w:rPr>
        <w:t xml:space="preserve"> </w:t>
      </w:r>
      <w:r w:rsidRPr="00986F85">
        <w:rPr>
          <w:rFonts w:eastAsia="Times New Roman;serif" w:cs="Times New Roman"/>
          <w:szCs w:val="24"/>
        </w:rPr>
        <w:t>millió</w:t>
      </w:r>
      <w:r w:rsidRPr="00986F85">
        <w:rPr>
          <w:rFonts w:eastAsia="Liberation Serif;Times New Roma" w:cs="Times New Roman"/>
          <w:szCs w:val="24"/>
        </w:rPr>
        <w:t xml:space="preserve"> </w:t>
      </w:r>
      <w:r w:rsidRPr="00986F85">
        <w:rPr>
          <w:rFonts w:eastAsia="Times New Roman;serif" w:cs="Times New Roman"/>
          <w:szCs w:val="24"/>
        </w:rPr>
        <w:t>forint</w:t>
      </w:r>
      <w:r w:rsidRPr="00986F85">
        <w:rPr>
          <w:rFonts w:eastAsia="Liberation Serif;Times New Roma" w:cs="Times New Roman"/>
          <w:szCs w:val="24"/>
        </w:rPr>
        <w:t xml:space="preserve"> között</w:t>
      </w:r>
      <w:r w:rsidR="00C966D0" w:rsidRPr="00986F85">
        <w:rPr>
          <w:rFonts w:eastAsia="Liberation Serif;Times New Roma" w:cs="Times New Roman"/>
          <w:szCs w:val="24"/>
        </w:rPr>
        <w:t>i</w:t>
      </w:r>
      <w:r w:rsidRPr="00986F85">
        <w:rPr>
          <w:rFonts w:eastAsia="Liberation Serif;Times New Roma" w:cs="Times New Roman"/>
          <w:szCs w:val="24"/>
        </w:rPr>
        <w:t xml:space="preserve"> </w:t>
      </w:r>
      <w:r w:rsidR="00C966D0" w:rsidRPr="00986F85">
        <w:rPr>
          <w:rFonts w:eastAsia="Liberation Serif;Times New Roma" w:cs="Times New Roman"/>
          <w:szCs w:val="24"/>
        </w:rPr>
        <w:t xml:space="preserve">támogatások 2007-ben), majd később megnövelték a maximálisan elérhető támogatások összegét. A támogatási összeg </w:t>
      </w:r>
      <w:r w:rsidRPr="00986F85">
        <w:rPr>
          <w:rFonts w:eastAsia="Liberation Serif;Times New Roma" w:cs="Times New Roman"/>
          <w:szCs w:val="24"/>
        </w:rPr>
        <w:t>az előírások szerint</w:t>
      </w:r>
      <w:r w:rsidR="00C966D0" w:rsidRPr="00986F85">
        <w:rPr>
          <w:rFonts w:eastAsia="Liberation Serif;Times New Roma" w:cs="Times New Roman"/>
          <w:szCs w:val="24"/>
        </w:rPr>
        <w:t>,</w:t>
      </w:r>
      <w:r w:rsidRPr="00986F85">
        <w:rPr>
          <w:rFonts w:eastAsia="Liberation Serif;Times New Roma" w:cs="Times New Roman"/>
          <w:szCs w:val="24"/>
        </w:rPr>
        <w:t xml:space="preserve"> </w:t>
      </w:r>
      <w:r w:rsidR="00C966D0" w:rsidRPr="00986F85">
        <w:rPr>
          <w:rFonts w:eastAsia="Times New Roman;serif" w:cs="Times New Roman"/>
          <w:szCs w:val="24"/>
        </w:rPr>
        <w:t>régióktól</w:t>
      </w:r>
      <w:r w:rsidR="00C966D0" w:rsidRPr="00986F85">
        <w:rPr>
          <w:rFonts w:eastAsia="Liberation Serif;Times New Roma" w:cs="Times New Roman"/>
          <w:szCs w:val="24"/>
        </w:rPr>
        <w:t xml:space="preserve"> </w:t>
      </w:r>
      <w:r w:rsidR="00C966D0" w:rsidRPr="00986F85">
        <w:rPr>
          <w:rFonts w:eastAsia="Times New Roman;serif" w:cs="Times New Roman"/>
          <w:szCs w:val="24"/>
        </w:rPr>
        <w:t>függően</w:t>
      </w:r>
      <w:r w:rsidR="00C966D0" w:rsidRPr="00986F85">
        <w:rPr>
          <w:rFonts w:eastAsia="Liberation Serif;Times New Roma" w:cs="Times New Roman"/>
          <w:szCs w:val="24"/>
        </w:rPr>
        <w:t xml:space="preserve"> </w:t>
      </w:r>
      <w:r w:rsidRPr="00986F85">
        <w:rPr>
          <w:rFonts w:eastAsia="Times New Roman;serif" w:cs="Times New Roman"/>
          <w:szCs w:val="24"/>
        </w:rPr>
        <w:t>a</w:t>
      </w:r>
      <w:r w:rsidRPr="00986F85">
        <w:rPr>
          <w:rFonts w:eastAsia="Liberation Serif;Times New Roma" w:cs="Times New Roman"/>
          <w:szCs w:val="24"/>
        </w:rPr>
        <w:t xml:space="preserve"> </w:t>
      </w:r>
      <w:r w:rsidRPr="00986F85">
        <w:rPr>
          <w:rFonts w:eastAsia="Times New Roman;serif" w:cs="Times New Roman"/>
          <w:szCs w:val="24"/>
        </w:rPr>
        <w:t>teljes</w:t>
      </w:r>
      <w:r w:rsidRPr="00986F85">
        <w:rPr>
          <w:rFonts w:eastAsia="Liberation Serif;Times New Roma" w:cs="Times New Roman"/>
          <w:szCs w:val="24"/>
        </w:rPr>
        <w:t xml:space="preserve"> </w:t>
      </w:r>
      <w:r w:rsidRPr="00986F85">
        <w:rPr>
          <w:rFonts w:eastAsia="Times New Roman;serif" w:cs="Times New Roman"/>
          <w:szCs w:val="24"/>
        </w:rPr>
        <w:t>beruházás</w:t>
      </w:r>
      <w:r w:rsidRPr="00986F85">
        <w:rPr>
          <w:rFonts w:eastAsia="Liberation Serif;Times New Roma" w:cs="Times New Roman"/>
          <w:szCs w:val="24"/>
        </w:rPr>
        <w:t xml:space="preserve"> </w:t>
      </w:r>
      <w:r w:rsidRPr="00986F85">
        <w:rPr>
          <w:rFonts w:eastAsia="Times New Roman;serif" w:cs="Times New Roman"/>
          <w:szCs w:val="24"/>
        </w:rPr>
        <w:t>50,</w:t>
      </w:r>
      <w:r w:rsidRPr="00986F85">
        <w:rPr>
          <w:rFonts w:eastAsia="Liberation Serif;Times New Roma" w:cs="Times New Roman"/>
          <w:szCs w:val="24"/>
        </w:rPr>
        <w:t xml:space="preserve"> </w:t>
      </w:r>
      <w:r w:rsidRPr="00986F85">
        <w:rPr>
          <w:rFonts w:eastAsia="Times New Roman;serif" w:cs="Times New Roman"/>
          <w:szCs w:val="24"/>
        </w:rPr>
        <w:lastRenderedPageBreak/>
        <w:t>40,</w:t>
      </w:r>
      <w:r w:rsidRPr="00986F85">
        <w:rPr>
          <w:rFonts w:eastAsia="Liberation Serif;Times New Roma" w:cs="Times New Roman"/>
          <w:szCs w:val="24"/>
        </w:rPr>
        <w:t xml:space="preserve"> </w:t>
      </w:r>
      <w:r w:rsidRPr="00986F85">
        <w:rPr>
          <w:rFonts w:eastAsia="Times New Roman;serif" w:cs="Times New Roman"/>
          <w:szCs w:val="24"/>
        </w:rPr>
        <w:t>vagy</w:t>
      </w:r>
      <w:r w:rsidRPr="00986F85">
        <w:rPr>
          <w:rFonts w:eastAsia="Liberation Serif;Times New Roma" w:cs="Times New Roman"/>
          <w:szCs w:val="24"/>
        </w:rPr>
        <w:t xml:space="preserve"> </w:t>
      </w:r>
      <w:r w:rsidRPr="00986F85">
        <w:rPr>
          <w:rFonts w:eastAsia="Times New Roman;serif" w:cs="Times New Roman"/>
          <w:szCs w:val="24"/>
        </w:rPr>
        <w:t>35% alatt</w:t>
      </w:r>
      <w:r w:rsidRPr="00986F85">
        <w:rPr>
          <w:rFonts w:eastAsia="Liberation Serif;Times New Roma" w:cs="Times New Roman"/>
          <w:szCs w:val="24"/>
        </w:rPr>
        <w:t xml:space="preserve">i </w:t>
      </w:r>
      <w:r w:rsidR="00C966D0" w:rsidRPr="00986F85">
        <w:rPr>
          <w:rFonts w:eastAsia="Liberation Serif;Times New Roma" w:cs="Times New Roman"/>
          <w:szCs w:val="24"/>
        </w:rPr>
        <w:t>arányában jár</w:t>
      </w:r>
      <w:r w:rsidRPr="00986F85">
        <w:rPr>
          <w:rFonts w:eastAsia="Times New Roman;serif" w:cs="Times New Roman"/>
          <w:szCs w:val="24"/>
        </w:rPr>
        <w:t>.</w:t>
      </w:r>
      <w:r w:rsidRPr="00986F85">
        <w:rPr>
          <w:rFonts w:eastAsia="Liberation Serif;Times New Roma" w:cs="Times New Roman"/>
          <w:szCs w:val="24"/>
        </w:rPr>
        <w:t xml:space="preserve"> </w:t>
      </w:r>
      <w:r w:rsidRPr="00986F85">
        <w:rPr>
          <w:rFonts w:eastAsia="Times New Roman;serif" w:cs="Times New Roman"/>
          <w:szCs w:val="24"/>
        </w:rPr>
        <w:t>A</w:t>
      </w:r>
      <w:r w:rsidRPr="00986F85">
        <w:rPr>
          <w:rFonts w:eastAsia="Liberation Serif;Times New Roma" w:cs="Times New Roman"/>
          <w:szCs w:val="24"/>
        </w:rPr>
        <w:t xml:space="preserve"> </w:t>
      </w:r>
      <w:r w:rsidRPr="00986F85">
        <w:rPr>
          <w:rFonts w:eastAsia="Times New Roman;serif" w:cs="Times New Roman"/>
          <w:szCs w:val="24"/>
        </w:rPr>
        <w:t>támogatható</w:t>
      </w:r>
      <w:r w:rsidRPr="00986F85">
        <w:rPr>
          <w:rFonts w:eastAsia="Liberation Serif;Times New Roma" w:cs="Times New Roman"/>
          <w:szCs w:val="24"/>
        </w:rPr>
        <w:t xml:space="preserve"> </w:t>
      </w:r>
      <w:r w:rsidRPr="00986F85">
        <w:rPr>
          <w:rFonts w:eastAsia="Times New Roman;serif" w:cs="Times New Roman"/>
          <w:szCs w:val="24"/>
        </w:rPr>
        <w:t>tevékenységek</w:t>
      </w:r>
      <w:r w:rsidRPr="00986F85">
        <w:rPr>
          <w:rFonts w:eastAsia="Liberation Serif;Times New Roma" w:cs="Times New Roman"/>
          <w:szCs w:val="24"/>
        </w:rPr>
        <w:t xml:space="preserve"> </w:t>
      </w:r>
      <w:r w:rsidRPr="00986F85">
        <w:rPr>
          <w:rFonts w:eastAsia="Times New Roman;serif" w:cs="Times New Roman"/>
          <w:szCs w:val="24"/>
        </w:rPr>
        <w:t>köre</w:t>
      </w:r>
      <w:r w:rsidRPr="00986F85">
        <w:rPr>
          <w:rFonts w:eastAsia="Liberation Serif;Times New Roma" w:cs="Times New Roman"/>
          <w:szCs w:val="24"/>
        </w:rPr>
        <w:t xml:space="preserve"> </w:t>
      </w:r>
      <w:r w:rsidRPr="00986F85">
        <w:rPr>
          <w:rFonts w:eastAsia="Times New Roman;serif" w:cs="Times New Roman"/>
          <w:szCs w:val="24"/>
        </w:rPr>
        <w:t>felöleli</w:t>
      </w:r>
      <w:r w:rsidRPr="00986F85">
        <w:rPr>
          <w:rFonts w:eastAsia="Liberation Serif;Times New Roma" w:cs="Times New Roman"/>
          <w:szCs w:val="24"/>
        </w:rPr>
        <w:t xml:space="preserve"> </w:t>
      </w:r>
      <w:r w:rsidRPr="00986F85">
        <w:rPr>
          <w:rFonts w:eastAsia="Times New Roman;serif" w:cs="Times New Roman"/>
          <w:szCs w:val="24"/>
        </w:rPr>
        <w:t>az</w:t>
      </w:r>
      <w:r w:rsidRPr="00986F85">
        <w:rPr>
          <w:rFonts w:eastAsia="Liberation Serif;Times New Roma" w:cs="Times New Roman"/>
          <w:szCs w:val="24"/>
        </w:rPr>
        <w:t xml:space="preserve"> </w:t>
      </w:r>
      <w:r w:rsidRPr="00986F85">
        <w:rPr>
          <w:rFonts w:eastAsia="Times New Roman;serif" w:cs="Times New Roman"/>
          <w:szCs w:val="24"/>
        </w:rPr>
        <w:t>eszközbeszerzést,</w:t>
      </w:r>
      <w:r w:rsidRPr="00986F85">
        <w:rPr>
          <w:rFonts w:eastAsia="Liberation Serif;Times New Roma" w:cs="Times New Roman"/>
          <w:szCs w:val="24"/>
        </w:rPr>
        <w:t xml:space="preserve"> </w:t>
      </w:r>
      <w:r w:rsidRPr="00986F85">
        <w:rPr>
          <w:rFonts w:eastAsia="Times New Roman;serif" w:cs="Times New Roman"/>
          <w:szCs w:val="24"/>
        </w:rPr>
        <w:t>információs</w:t>
      </w:r>
      <w:r w:rsidRPr="00986F85">
        <w:rPr>
          <w:rFonts w:eastAsia="Liberation Serif;Times New Roma" w:cs="Times New Roman"/>
          <w:szCs w:val="24"/>
        </w:rPr>
        <w:t xml:space="preserve"> </w:t>
      </w:r>
      <w:r w:rsidRPr="00986F85">
        <w:rPr>
          <w:rFonts w:eastAsia="Times New Roman;serif" w:cs="Times New Roman"/>
          <w:szCs w:val="24"/>
        </w:rPr>
        <w:t>technológia-fejlesztést</w:t>
      </w:r>
      <w:r w:rsidRPr="00986F85">
        <w:rPr>
          <w:rFonts w:eastAsia="Liberation Serif;Times New Roma" w:cs="Times New Roman"/>
          <w:szCs w:val="24"/>
        </w:rPr>
        <w:t xml:space="preserve"> </w:t>
      </w:r>
      <w:r w:rsidRPr="00986F85">
        <w:rPr>
          <w:rFonts w:eastAsia="Times New Roman;serif" w:cs="Times New Roman"/>
          <w:szCs w:val="24"/>
        </w:rPr>
        <w:t>(hardver,</w:t>
      </w:r>
      <w:r w:rsidRPr="00986F85">
        <w:rPr>
          <w:rFonts w:eastAsia="Liberation Serif;Times New Roma" w:cs="Times New Roman"/>
          <w:szCs w:val="24"/>
        </w:rPr>
        <w:t xml:space="preserve"> </w:t>
      </w:r>
      <w:r w:rsidRPr="00986F85">
        <w:rPr>
          <w:rFonts w:eastAsia="Times New Roman;serif" w:cs="Times New Roman"/>
          <w:szCs w:val="24"/>
        </w:rPr>
        <w:t>szoftver,</w:t>
      </w:r>
      <w:r w:rsidRPr="00986F85">
        <w:rPr>
          <w:rFonts w:eastAsia="Liberation Serif;Times New Roma" w:cs="Times New Roman"/>
          <w:szCs w:val="24"/>
        </w:rPr>
        <w:t xml:space="preserve"> </w:t>
      </w:r>
      <w:r w:rsidRPr="00986F85">
        <w:rPr>
          <w:rFonts w:eastAsia="Times New Roman;serif" w:cs="Times New Roman"/>
          <w:szCs w:val="24"/>
        </w:rPr>
        <w:t>domain</w:t>
      </w:r>
      <w:r w:rsidRPr="00986F85">
        <w:rPr>
          <w:rFonts w:eastAsia="Liberation Serif;Times New Roma" w:cs="Times New Roman"/>
          <w:szCs w:val="24"/>
        </w:rPr>
        <w:t xml:space="preserve"> </w:t>
      </w:r>
      <w:r w:rsidRPr="00986F85">
        <w:rPr>
          <w:rFonts w:eastAsia="Times New Roman;serif" w:cs="Times New Roman"/>
          <w:szCs w:val="24"/>
        </w:rPr>
        <w:t>név</w:t>
      </w:r>
      <w:r w:rsidRPr="00986F85">
        <w:rPr>
          <w:rFonts w:eastAsia="Liberation Serif;Times New Roma" w:cs="Times New Roman"/>
          <w:szCs w:val="24"/>
        </w:rPr>
        <w:t xml:space="preserve"> </w:t>
      </w:r>
      <w:r w:rsidRPr="00986F85">
        <w:rPr>
          <w:rFonts w:eastAsia="Times New Roman;serif" w:cs="Times New Roman"/>
          <w:szCs w:val="24"/>
        </w:rPr>
        <w:t>regisztráció</w:t>
      </w:r>
      <w:r w:rsidRPr="00986F85">
        <w:rPr>
          <w:rFonts w:eastAsia="Liberation Serif;Times New Roma" w:cs="Times New Roman"/>
          <w:szCs w:val="24"/>
        </w:rPr>
        <w:t xml:space="preserve"> </w:t>
      </w:r>
      <w:r w:rsidRPr="00986F85">
        <w:rPr>
          <w:rFonts w:eastAsia="Times New Roman;serif" w:cs="Times New Roman"/>
          <w:szCs w:val="24"/>
        </w:rPr>
        <w:t>és</w:t>
      </w:r>
      <w:r w:rsidRPr="00986F85">
        <w:rPr>
          <w:rFonts w:eastAsia="Liberation Serif;Times New Roma" w:cs="Times New Roman"/>
          <w:szCs w:val="24"/>
        </w:rPr>
        <w:t xml:space="preserve"> </w:t>
      </w:r>
      <w:r w:rsidRPr="00986F85">
        <w:rPr>
          <w:rFonts w:eastAsia="Times New Roman;serif" w:cs="Times New Roman"/>
          <w:szCs w:val="24"/>
        </w:rPr>
        <w:t>a</w:t>
      </w:r>
      <w:r w:rsidRPr="00986F85">
        <w:rPr>
          <w:rFonts w:eastAsia="Liberation Serif;Times New Roma" w:cs="Times New Roman"/>
          <w:szCs w:val="24"/>
        </w:rPr>
        <w:t xml:space="preserve"> </w:t>
      </w:r>
      <w:r w:rsidRPr="00986F85">
        <w:rPr>
          <w:rFonts w:eastAsia="Times New Roman;serif" w:cs="Times New Roman"/>
          <w:szCs w:val="24"/>
        </w:rPr>
        <w:t>hozzá</w:t>
      </w:r>
      <w:r w:rsidRPr="00986F85">
        <w:rPr>
          <w:rFonts w:eastAsia="Liberation Serif;Times New Roma" w:cs="Times New Roman"/>
          <w:szCs w:val="24"/>
        </w:rPr>
        <w:t xml:space="preserve"> </w:t>
      </w:r>
      <w:r w:rsidRPr="00986F85">
        <w:rPr>
          <w:rFonts w:eastAsia="Times New Roman;serif" w:cs="Times New Roman"/>
          <w:szCs w:val="24"/>
        </w:rPr>
        <w:t>tartozó</w:t>
      </w:r>
      <w:r w:rsidRPr="00986F85">
        <w:rPr>
          <w:rFonts w:eastAsia="Liberation Serif;Times New Roma" w:cs="Times New Roman"/>
          <w:szCs w:val="24"/>
        </w:rPr>
        <w:t xml:space="preserve"> </w:t>
      </w:r>
      <w:r w:rsidRPr="00986F85">
        <w:rPr>
          <w:rFonts w:eastAsia="Times New Roman;serif" w:cs="Times New Roman"/>
          <w:szCs w:val="24"/>
        </w:rPr>
        <w:t>webtárhely</w:t>
      </w:r>
      <w:r w:rsidRPr="00986F85">
        <w:rPr>
          <w:rFonts w:eastAsia="Liberation Serif;Times New Roma" w:cs="Times New Roman"/>
          <w:szCs w:val="24"/>
        </w:rPr>
        <w:t xml:space="preserve"> </w:t>
      </w:r>
      <w:r w:rsidRPr="00986F85">
        <w:rPr>
          <w:rFonts w:eastAsia="Times New Roman;serif" w:cs="Times New Roman"/>
          <w:szCs w:val="24"/>
        </w:rPr>
        <w:t>vagy</w:t>
      </w:r>
      <w:r w:rsidRPr="00986F85">
        <w:rPr>
          <w:rFonts w:eastAsia="Liberation Serif;Times New Roma" w:cs="Times New Roman"/>
          <w:szCs w:val="24"/>
        </w:rPr>
        <w:t xml:space="preserve"> </w:t>
      </w:r>
      <w:r w:rsidRPr="00986F85">
        <w:rPr>
          <w:rFonts w:eastAsia="Times New Roman;serif" w:cs="Times New Roman"/>
          <w:szCs w:val="24"/>
        </w:rPr>
        <w:t>honlapkészítés),</w:t>
      </w:r>
      <w:r w:rsidRPr="00986F85">
        <w:rPr>
          <w:rFonts w:eastAsia="Liberation Serif;Times New Roma" w:cs="Times New Roman"/>
          <w:szCs w:val="24"/>
        </w:rPr>
        <w:t xml:space="preserve"> </w:t>
      </w:r>
      <w:r w:rsidRPr="00986F85">
        <w:rPr>
          <w:rFonts w:eastAsia="Times New Roman;serif" w:cs="Times New Roman"/>
          <w:szCs w:val="24"/>
        </w:rPr>
        <w:t>valamint</w:t>
      </w:r>
      <w:r w:rsidRPr="00986F85">
        <w:rPr>
          <w:rFonts w:eastAsia="Liberation Serif;Times New Roma" w:cs="Times New Roman"/>
          <w:szCs w:val="24"/>
        </w:rPr>
        <w:t xml:space="preserve"> </w:t>
      </w:r>
      <w:r w:rsidRPr="00986F85">
        <w:rPr>
          <w:rFonts w:eastAsia="Times New Roman;serif" w:cs="Times New Roman"/>
          <w:szCs w:val="24"/>
        </w:rPr>
        <w:t>minőség-,</w:t>
      </w:r>
      <w:r w:rsidRPr="00986F85">
        <w:rPr>
          <w:rFonts w:eastAsia="Liberation Serif;Times New Roma" w:cs="Times New Roman"/>
          <w:szCs w:val="24"/>
        </w:rPr>
        <w:t xml:space="preserve"> </w:t>
      </w:r>
      <w:r w:rsidRPr="00986F85">
        <w:rPr>
          <w:rFonts w:eastAsia="Times New Roman;serif" w:cs="Times New Roman"/>
          <w:szCs w:val="24"/>
        </w:rPr>
        <w:t>környezet-</w:t>
      </w:r>
      <w:r w:rsidRPr="00986F85">
        <w:rPr>
          <w:rFonts w:eastAsia="Liberation Serif;Times New Roma" w:cs="Times New Roman"/>
          <w:szCs w:val="24"/>
        </w:rPr>
        <w:t xml:space="preserve"> </w:t>
      </w:r>
      <w:r w:rsidRPr="00986F85">
        <w:rPr>
          <w:rFonts w:eastAsia="Times New Roman;serif" w:cs="Times New Roman"/>
          <w:szCs w:val="24"/>
        </w:rPr>
        <w:t>és</w:t>
      </w:r>
      <w:r w:rsidRPr="00986F85">
        <w:rPr>
          <w:rFonts w:eastAsia="Liberation Serif;Times New Roma" w:cs="Times New Roman"/>
          <w:szCs w:val="24"/>
        </w:rPr>
        <w:t xml:space="preserve"> </w:t>
      </w:r>
      <w:r w:rsidRPr="00986F85">
        <w:rPr>
          <w:rFonts w:eastAsia="Times New Roman;serif" w:cs="Times New Roman"/>
          <w:szCs w:val="24"/>
        </w:rPr>
        <w:t>egyéb</w:t>
      </w:r>
      <w:r w:rsidRPr="00986F85">
        <w:rPr>
          <w:rFonts w:eastAsia="Liberation Serif;Times New Roma" w:cs="Times New Roman"/>
          <w:szCs w:val="24"/>
        </w:rPr>
        <w:t xml:space="preserve"> </w:t>
      </w:r>
      <w:r w:rsidRPr="00986F85">
        <w:rPr>
          <w:rFonts w:eastAsia="Times New Roman;serif" w:cs="Times New Roman"/>
          <w:szCs w:val="24"/>
        </w:rPr>
        <w:t>irányítási,</w:t>
      </w:r>
      <w:r w:rsidR="00121D52" w:rsidRPr="00986F85">
        <w:rPr>
          <w:rFonts w:eastAsia="Times New Roman;serif" w:cs="Times New Roman"/>
          <w:szCs w:val="24"/>
        </w:rPr>
        <w:t xml:space="preserve"> </w:t>
      </w:r>
      <w:r w:rsidRPr="00986F85">
        <w:rPr>
          <w:rFonts w:eastAsia="Times New Roman;serif" w:cs="Times New Roman"/>
          <w:szCs w:val="24"/>
        </w:rPr>
        <w:t>szabványok</w:t>
      </w:r>
      <w:r w:rsidRPr="00986F85">
        <w:rPr>
          <w:rFonts w:eastAsia="Liberation Serif;Times New Roma" w:cs="Times New Roman"/>
          <w:szCs w:val="24"/>
        </w:rPr>
        <w:t xml:space="preserve"> </w:t>
      </w:r>
      <w:r w:rsidR="00121D52" w:rsidRPr="00986F85">
        <w:rPr>
          <w:rFonts w:eastAsia="Times New Roman;serif" w:cs="Times New Roman"/>
          <w:szCs w:val="24"/>
        </w:rPr>
        <w:t>bevezetését</w:t>
      </w:r>
      <w:r w:rsidRPr="00986F85">
        <w:rPr>
          <w:rFonts w:eastAsia="Liberation Serif;Times New Roma" w:cs="Times New Roman"/>
          <w:szCs w:val="24"/>
        </w:rPr>
        <w:t xml:space="preserve"> </w:t>
      </w:r>
      <w:r w:rsidRPr="00986F85">
        <w:rPr>
          <w:rFonts w:eastAsia="Times New Roman;serif" w:cs="Times New Roman"/>
          <w:szCs w:val="24"/>
        </w:rPr>
        <w:t>és</w:t>
      </w:r>
      <w:r w:rsidRPr="00986F85">
        <w:rPr>
          <w:rFonts w:eastAsia="Liberation Serif;Times New Roma" w:cs="Times New Roman"/>
          <w:szCs w:val="24"/>
        </w:rPr>
        <w:t xml:space="preserve"> </w:t>
      </w:r>
      <w:r w:rsidRPr="00986F85">
        <w:rPr>
          <w:rFonts w:eastAsia="Times New Roman;serif" w:cs="Times New Roman"/>
          <w:szCs w:val="24"/>
        </w:rPr>
        <w:t>tanúsíttatását.</w:t>
      </w:r>
    </w:p>
    <w:p w14:paraId="43667867" w14:textId="77777777" w:rsidR="00A62E4C" w:rsidRPr="00986F85" w:rsidRDefault="00A62E4C" w:rsidP="00B04415">
      <w:pPr>
        <w:snapToGrid w:val="0"/>
        <w:spacing w:after="0" w:line="360" w:lineRule="auto"/>
        <w:jc w:val="both"/>
        <w:rPr>
          <w:rFonts w:eastAsia="Times New Roman;serif" w:cs="Times New Roman"/>
          <w:szCs w:val="24"/>
        </w:rPr>
      </w:pPr>
    </w:p>
    <w:p w14:paraId="4D25F051" w14:textId="77777777" w:rsidR="00DA14F7" w:rsidRPr="00986F85" w:rsidRDefault="0076036B" w:rsidP="00B04415">
      <w:pPr>
        <w:pStyle w:val="Cmsor2"/>
        <w:spacing w:before="0" w:after="0" w:line="360" w:lineRule="auto"/>
        <w:jc w:val="both"/>
        <w:rPr>
          <w:rFonts w:ascii="Myriad Pro" w:hAnsi="Myriad Pro"/>
          <w:szCs w:val="24"/>
        </w:rPr>
      </w:pPr>
      <w:bookmarkStart w:id="9" w:name="_Toc230854307"/>
      <w:r w:rsidRPr="00986F85">
        <w:rPr>
          <w:rFonts w:ascii="Myriad Pro" w:hAnsi="Myriad Pro"/>
          <w:szCs w:val="24"/>
        </w:rPr>
        <w:t>VIZSGÁLATI KÉRDÉSEK</w:t>
      </w:r>
      <w:bookmarkEnd w:id="9"/>
    </w:p>
    <w:p w14:paraId="438138A7" w14:textId="77777777" w:rsidR="005D4E59" w:rsidRPr="00986F85" w:rsidRDefault="00632DC0" w:rsidP="004C7C8B">
      <w:pPr>
        <w:spacing w:after="0" w:line="360" w:lineRule="auto"/>
        <w:jc w:val="both"/>
        <w:rPr>
          <w:rFonts w:cs="Times New Roman"/>
          <w:szCs w:val="24"/>
        </w:rPr>
      </w:pPr>
      <w:r w:rsidRPr="00986F85">
        <w:rPr>
          <w:rFonts w:cs="Times New Roman"/>
          <w:szCs w:val="24"/>
        </w:rPr>
        <w:t xml:space="preserve">A </w:t>
      </w:r>
      <w:r w:rsidR="000607B7" w:rsidRPr="00986F85">
        <w:rPr>
          <w:rFonts w:cs="Times New Roman"/>
          <w:szCs w:val="24"/>
        </w:rPr>
        <w:t>hatás</w:t>
      </w:r>
      <w:r w:rsidRPr="00986F85">
        <w:rPr>
          <w:rFonts w:cs="Times New Roman"/>
          <w:szCs w:val="24"/>
        </w:rPr>
        <w:t>vizsgálat alapvető feladata a KKV-kra célzott komplex vállalati fejlesztések vállalati növekedésre gyakorolt hatásának becslése – azaz, annak vizsgálata, hogy a támogatott vállalatok jobb teljesítményt nyújtanak-e, mint amilyet támogatás hiányában nyújtottak volna. Becslések során ezt a tényellentétes állítást olyan vállalatok teljesítményének összehasonlításával közelítjük, melyek vállalati ado</w:t>
      </w:r>
      <w:r w:rsidR="004C7C8B" w:rsidRPr="00986F85">
        <w:rPr>
          <w:rFonts w:cs="Times New Roman"/>
          <w:szCs w:val="24"/>
        </w:rPr>
        <w:t>ttságaikban leginkább hasonulítnak egymáshoz, ám egy részük kapott támogatást, másik részük nem (pontosabban, jelen esetben nem pályázott, vagy pályázott, de nem nyert – erről bővebben, lásd II. Fejezet).</w:t>
      </w:r>
      <w:r w:rsidRPr="00986F85">
        <w:rPr>
          <w:rFonts w:cs="Times New Roman"/>
          <w:szCs w:val="24"/>
        </w:rPr>
        <w:t xml:space="preserve"> </w:t>
      </w:r>
      <w:r w:rsidR="005D4E59" w:rsidRPr="00986F85">
        <w:rPr>
          <w:rFonts w:cs="Times New Roman"/>
          <w:szCs w:val="24"/>
        </w:rPr>
        <w:t>A leíró elemzés a nyertes vállalatok pályázati szokásainak és a különböző O</w:t>
      </w:r>
      <w:r w:rsidR="00C7168A" w:rsidRPr="00986F85">
        <w:rPr>
          <w:rFonts w:cs="Times New Roman"/>
          <w:szCs w:val="24"/>
        </w:rPr>
        <w:t xml:space="preserve">peratív </w:t>
      </w:r>
      <w:r w:rsidR="005D4E59" w:rsidRPr="00986F85">
        <w:rPr>
          <w:rFonts w:cs="Times New Roman"/>
          <w:szCs w:val="24"/>
        </w:rPr>
        <w:t>P</w:t>
      </w:r>
      <w:r w:rsidR="00C7168A" w:rsidRPr="00986F85">
        <w:rPr>
          <w:rFonts w:cs="Times New Roman"/>
          <w:szCs w:val="24"/>
        </w:rPr>
        <w:t>rogramok (továbbiakban: OP</w:t>
      </w:r>
      <w:r w:rsidR="005D4E59" w:rsidRPr="00986F85">
        <w:rPr>
          <w:rFonts w:cs="Times New Roman"/>
          <w:szCs w:val="24"/>
        </w:rPr>
        <w:t>-k</w:t>
      </w:r>
      <w:r w:rsidR="00C7168A" w:rsidRPr="00986F85">
        <w:rPr>
          <w:rFonts w:cs="Times New Roman"/>
          <w:szCs w:val="24"/>
        </w:rPr>
        <w:t>)</w:t>
      </w:r>
      <w:r w:rsidR="005D4E59" w:rsidRPr="00986F85">
        <w:rPr>
          <w:rFonts w:cs="Times New Roman"/>
          <w:szCs w:val="24"/>
        </w:rPr>
        <w:t xml:space="preserve"> vállalati szinten kimutatható kapcsolódási pontjainak feltárására irányul.</w:t>
      </w:r>
    </w:p>
    <w:p w14:paraId="4F6747B8" w14:textId="77777777" w:rsidR="00632DC0" w:rsidRPr="00986F85" w:rsidRDefault="00632DC0" w:rsidP="00B04415">
      <w:pPr>
        <w:spacing w:after="0" w:line="360" w:lineRule="auto"/>
        <w:jc w:val="both"/>
        <w:rPr>
          <w:rFonts w:cs="Times New Roman"/>
          <w:szCs w:val="24"/>
        </w:rPr>
      </w:pPr>
    </w:p>
    <w:p w14:paraId="48372AA5" w14:textId="77777777" w:rsidR="00632DC0" w:rsidRPr="00986F85" w:rsidRDefault="00632DC0" w:rsidP="00B04415">
      <w:pPr>
        <w:spacing w:after="0" w:line="360" w:lineRule="auto"/>
        <w:jc w:val="both"/>
        <w:rPr>
          <w:rFonts w:cs="Times New Roman"/>
          <w:szCs w:val="24"/>
        </w:rPr>
      </w:pPr>
      <w:r w:rsidRPr="00986F85">
        <w:rPr>
          <w:rFonts w:cs="Times New Roman"/>
          <w:szCs w:val="24"/>
        </w:rPr>
        <w:t>A vizsgálat fókusza: GOP 2.1.1. és KMOP 1.2.1. pályázati kiírásokra pá</w:t>
      </w:r>
      <w:r w:rsidR="00B406A3" w:rsidRPr="00986F85">
        <w:rPr>
          <w:rFonts w:cs="Times New Roman"/>
          <w:szCs w:val="24"/>
        </w:rPr>
        <w:t>lyázó (nyertes</w:t>
      </w:r>
      <w:r w:rsidRPr="00986F85">
        <w:rPr>
          <w:rFonts w:cs="Times New Roman"/>
          <w:szCs w:val="24"/>
        </w:rPr>
        <w:t>) vállalatok, illetve pályázókhoz hasonló vállal</w:t>
      </w:r>
      <w:r w:rsidR="00B406A3" w:rsidRPr="00986F85">
        <w:rPr>
          <w:rFonts w:cs="Times New Roman"/>
          <w:szCs w:val="24"/>
        </w:rPr>
        <w:t>ati jellemzőkkel bíró nem pályá</w:t>
      </w:r>
      <w:r w:rsidRPr="00986F85">
        <w:rPr>
          <w:rFonts w:cs="Times New Roman"/>
          <w:szCs w:val="24"/>
        </w:rPr>
        <w:t>zó vállalatok</w:t>
      </w:r>
      <w:r w:rsidR="00B406A3" w:rsidRPr="00986F85">
        <w:rPr>
          <w:rFonts w:cs="Times New Roman"/>
          <w:szCs w:val="24"/>
        </w:rPr>
        <w:t xml:space="preserve">. </w:t>
      </w:r>
      <w:r w:rsidRPr="00986F85">
        <w:rPr>
          <w:rFonts w:cs="Times New Roman"/>
          <w:szCs w:val="24"/>
        </w:rPr>
        <w:t>A vizsgálat időhorizontja: 2007-2011</w:t>
      </w:r>
      <w:r w:rsidR="00B406A3" w:rsidRPr="00986F85">
        <w:rPr>
          <w:rFonts w:cs="Times New Roman"/>
          <w:szCs w:val="24"/>
        </w:rPr>
        <w:t xml:space="preserve">, </w:t>
      </w:r>
      <w:r w:rsidR="005D4E59" w:rsidRPr="00986F85">
        <w:rPr>
          <w:rFonts w:cs="Times New Roman"/>
          <w:szCs w:val="24"/>
        </w:rPr>
        <w:t xml:space="preserve">a hatásvizsgálat esetében </w:t>
      </w:r>
      <w:r w:rsidR="00B137A3" w:rsidRPr="00986F85">
        <w:rPr>
          <w:rFonts w:cs="Times New Roman"/>
          <w:szCs w:val="24"/>
        </w:rPr>
        <w:t>kiemelten a 2007</w:t>
      </w:r>
      <w:r w:rsidR="00B406A3" w:rsidRPr="00986F85">
        <w:rPr>
          <w:rFonts w:cs="Times New Roman"/>
          <w:szCs w:val="24"/>
        </w:rPr>
        <w:t>-2009-es időszakban nyertes pályázatok.</w:t>
      </w:r>
    </w:p>
    <w:p w14:paraId="076BDCC1" w14:textId="77777777" w:rsidR="00B406A3" w:rsidRPr="00986F85" w:rsidRDefault="00B406A3" w:rsidP="00B04415">
      <w:pPr>
        <w:spacing w:after="0" w:line="360" w:lineRule="auto"/>
        <w:jc w:val="both"/>
        <w:rPr>
          <w:rFonts w:cs="Times New Roman"/>
          <w:szCs w:val="24"/>
        </w:rPr>
      </w:pPr>
    </w:p>
    <w:p w14:paraId="50007F4D" w14:textId="77777777" w:rsidR="00D74727" w:rsidRPr="00986F85" w:rsidRDefault="00B406A3" w:rsidP="00B04415">
      <w:pPr>
        <w:spacing w:after="0" w:line="360" w:lineRule="auto"/>
        <w:jc w:val="both"/>
        <w:rPr>
          <w:rFonts w:cs="Times New Roman"/>
          <w:szCs w:val="24"/>
        </w:rPr>
      </w:pPr>
      <w:r w:rsidRPr="00986F85">
        <w:rPr>
          <w:rFonts w:cs="Times New Roman"/>
          <w:szCs w:val="24"/>
        </w:rPr>
        <w:t xml:space="preserve">A vizsgálati kérdéseink a következők: </w:t>
      </w:r>
    </w:p>
    <w:p w14:paraId="3E2086BD" w14:textId="77777777" w:rsidR="00D74727" w:rsidRPr="00986F85" w:rsidRDefault="00D74727" w:rsidP="00B04415">
      <w:pPr>
        <w:numPr>
          <w:ilvl w:val="0"/>
          <w:numId w:val="33"/>
        </w:numPr>
        <w:snapToGrid w:val="0"/>
        <w:spacing w:after="0" w:line="360" w:lineRule="auto"/>
        <w:jc w:val="both"/>
        <w:rPr>
          <w:rFonts w:eastAsia="Times New Roman" w:cs="Times New Roman"/>
          <w:b/>
          <w:i/>
          <w:szCs w:val="24"/>
        </w:rPr>
      </w:pPr>
      <w:r w:rsidRPr="00986F85">
        <w:rPr>
          <w:rFonts w:cs="Times New Roman"/>
          <w:b/>
          <w:i/>
          <w:szCs w:val="24"/>
        </w:rPr>
        <w:t>Milyen</w:t>
      </w:r>
      <w:r w:rsidRPr="00986F85">
        <w:rPr>
          <w:rFonts w:eastAsia="Times New Roman" w:cs="Times New Roman"/>
          <w:b/>
          <w:i/>
          <w:szCs w:val="24"/>
        </w:rPr>
        <w:t xml:space="preserve"> </w:t>
      </w:r>
      <w:r w:rsidRPr="00986F85">
        <w:rPr>
          <w:rFonts w:cs="Times New Roman"/>
          <w:b/>
          <w:i/>
          <w:szCs w:val="24"/>
        </w:rPr>
        <w:t>stratégiai</w:t>
      </w:r>
      <w:r w:rsidRPr="00986F85">
        <w:rPr>
          <w:rFonts w:eastAsia="Times New Roman" w:cs="Times New Roman"/>
          <w:b/>
          <w:i/>
          <w:szCs w:val="24"/>
        </w:rPr>
        <w:t xml:space="preserve"> </w:t>
      </w:r>
      <w:r w:rsidRPr="00986F85">
        <w:rPr>
          <w:rFonts w:cs="Times New Roman"/>
          <w:b/>
          <w:i/>
          <w:szCs w:val="24"/>
        </w:rPr>
        <w:t>célok</w:t>
      </w:r>
      <w:r w:rsidRPr="00986F85">
        <w:rPr>
          <w:rFonts w:eastAsia="Times New Roman" w:cs="Times New Roman"/>
          <w:b/>
          <w:i/>
          <w:szCs w:val="24"/>
        </w:rPr>
        <w:t xml:space="preserve"> </w:t>
      </w:r>
      <w:r w:rsidRPr="00986F85">
        <w:rPr>
          <w:rFonts w:cs="Times New Roman"/>
          <w:b/>
          <w:i/>
          <w:szCs w:val="24"/>
        </w:rPr>
        <w:t>és</w:t>
      </w:r>
      <w:r w:rsidRPr="00986F85">
        <w:rPr>
          <w:rFonts w:eastAsia="Times New Roman" w:cs="Times New Roman"/>
          <w:b/>
          <w:i/>
          <w:szCs w:val="24"/>
        </w:rPr>
        <w:t xml:space="preserve"> </w:t>
      </w:r>
      <w:r w:rsidRPr="00986F85">
        <w:rPr>
          <w:rFonts w:cs="Times New Roman"/>
          <w:b/>
          <w:i/>
          <w:szCs w:val="24"/>
        </w:rPr>
        <w:t>szempontok</w:t>
      </w:r>
      <w:r w:rsidRPr="00986F85">
        <w:rPr>
          <w:rFonts w:eastAsia="Times New Roman" w:cs="Times New Roman"/>
          <w:b/>
          <w:i/>
          <w:szCs w:val="24"/>
        </w:rPr>
        <w:t xml:space="preserve"> </w:t>
      </w:r>
      <w:r w:rsidRPr="00986F85">
        <w:rPr>
          <w:rFonts w:cs="Times New Roman"/>
          <w:b/>
          <w:i/>
          <w:szCs w:val="24"/>
        </w:rPr>
        <w:t>vezérlik</w:t>
      </w:r>
      <w:r w:rsidRPr="00986F85">
        <w:rPr>
          <w:rFonts w:eastAsia="Times New Roman" w:cs="Times New Roman"/>
          <w:b/>
          <w:i/>
          <w:szCs w:val="24"/>
        </w:rPr>
        <w:t xml:space="preserve"> </w:t>
      </w:r>
      <w:r w:rsidRPr="00986F85">
        <w:rPr>
          <w:rFonts w:cs="Times New Roman"/>
          <w:b/>
          <w:i/>
          <w:szCs w:val="24"/>
        </w:rPr>
        <w:t>az</w:t>
      </w:r>
      <w:r w:rsidRPr="00986F85">
        <w:rPr>
          <w:rFonts w:eastAsia="Times New Roman" w:cs="Times New Roman"/>
          <w:b/>
          <w:i/>
          <w:szCs w:val="24"/>
        </w:rPr>
        <w:t xml:space="preserve"> </w:t>
      </w:r>
      <w:r w:rsidRPr="00986F85">
        <w:rPr>
          <w:rFonts w:cs="Times New Roman"/>
          <w:b/>
          <w:i/>
          <w:szCs w:val="24"/>
        </w:rPr>
        <w:t>intézkedést?</w:t>
      </w:r>
      <w:r w:rsidRPr="00986F85">
        <w:rPr>
          <w:rFonts w:eastAsia="Times New Roman" w:cs="Times New Roman"/>
          <w:b/>
          <w:i/>
          <w:szCs w:val="24"/>
        </w:rPr>
        <w:t xml:space="preserve"> </w:t>
      </w:r>
    </w:p>
    <w:p w14:paraId="00DDCB5E" w14:textId="77777777" w:rsidR="00D74727" w:rsidRPr="00986F85" w:rsidRDefault="00D74727" w:rsidP="00B04415">
      <w:pPr>
        <w:numPr>
          <w:ilvl w:val="0"/>
          <w:numId w:val="33"/>
        </w:numPr>
        <w:spacing w:after="0" w:line="360" w:lineRule="auto"/>
        <w:jc w:val="both"/>
        <w:rPr>
          <w:rFonts w:cs="Times New Roman"/>
          <w:b/>
          <w:i/>
          <w:szCs w:val="24"/>
        </w:rPr>
      </w:pPr>
      <w:r w:rsidRPr="00986F85">
        <w:rPr>
          <w:rFonts w:cs="Times New Roman"/>
          <w:b/>
          <w:i/>
          <w:szCs w:val="24"/>
        </w:rPr>
        <w:t xml:space="preserve">Melyek a korábbi hatásvizsgálatok tapasztalatai? </w:t>
      </w:r>
    </w:p>
    <w:p w14:paraId="57CF8C4B" w14:textId="77777777" w:rsidR="0044243A" w:rsidRPr="00986F85" w:rsidRDefault="0044243A" w:rsidP="00B04415">
      <w:pPr>
        <w:numPr>
          <w:ilvl w:val="0"/>
          <w:numId w:val="33"/>
        </w:numPr>
        <w:spacing w:after="0" w:line="360" w:lineRule="auto"/>
        <w:jc w:val="both"/>
        <w:rPr>
          <w:rFonts w:cs="Times New Roman"/>
          <w:b/>
          <w:i/>
          <w:szCs w:val="24"/>
        </w:rPr>
      </w:pPr>
      <w:r w:rsidRPr="00986F85">
        <w:rPr>
          <w:rFonts w:cs="Times New Roman"/>
          <w:b/>
          <w:i/>
          <w:szCs w:val="24"/>
        </w:rPr>
        <w:t>Mi jellemzi a hazai vállalkozások teljesíményét és foglalkoztatási potenciálját a vizsgálat időszakban (2006-2011)?</w:t>
      </w:r>
    </w:p>
    <w:p w14:paraId="50460D76" w14:textId="77777777" w:rsidR="00116B70" w:rsidRPr="00986F85" w:rsidRDefault="0044243A" w:rsidP="00B04415">
      <w:pPr>
        <w:numPr>
          <w:ilvl w:val="0"/>
          <w:numId w:val="33"/>
        </w:numPr>
        <w:spacing w:after="0" w:line="360" w:lineRule="auto"/>
        <w:jc w:val="both"/>
        <w:rPr>
          <w:rFonts w:cs="Times New Roman"/>
          <w:b/>
          <w:i/>
          <w:szCs w:val="24"/>
        </w:rPr>
      </w:pPr>
      <w:r w:rsidRPr="00986F85">
        <w:rPr>
          <w:rFonts w:cs="Times New Roman"/>
          <w:b/>
          <w:i/>
          <w:szCs w:val="24"/>
        </w:rPr>
        <w:t>Megfigyelhető-e törés a vállalati eredménymutatókban és a foglalkoztatásban a 2008-as gazdasági válságot követően?</w:t>
      </w:r>
    </w:p>
    <w:p w14:paraId="2A7F429B" w14:textId="77777777" w:rsidR="00A323F6" w:rsidRPr="00986F85" w:rsidRDefault="00A323F6" w:rsidP="00B04415">
      <w:pPr>
        <w:numPr>
          <w:ilvl w:val="0"/>
          <w:numId w:val="33"/>
        </w:numPr>
        <w:snapToGrid w:val="0"/>
        <w:spacing w:after="0" w:line="360" w:lineRule="auto"/>
        <w:jc w:val="both"/>
        <w:rPr>
          <w:rFonts w:eastAsia="Times New Roman" w:cs="Times New Roman"/>
          <w:b/>
          <w:i/>
          <w:szCs w:val="24"/>
        </w:rPr>
      </w:pPr>
      <w:r w:rsidRPr="00986F85">
        <w:rPr>
          <w:rFonts w:eastAsia="Times New Roman" w:cs="Times New Roman"/>
          <w:b/>
          <w:i/>
          <w:szCs w:val="24"/>
        </w:rPr>
        <w:lastRenderedPageBreak/>
        <w:t>Kik jelentkeztek és kik nyertek a</w:t>
      </w:r>
      <w:r w:rsidR="0044243A" w:rsidRPr="00986F85">
        <w:rPr>
          <w:rFonts w:eastAsia="Times New Roman" w:cs="Times New Roman"/>
          <w:b/>
          <w:i/>
          <w:szCs w:val="24"/>
        </w:rPr>
        <w:t>z érintett GOP és KMOP</w:t>
      </w:r>
      <w:r w:rsidRPr="00986F85">
        <w:rPr>
          <w:rFonts w:eastAsia="Times New Roman" w:cs="Times New Roman"/>
          <w:b/>
          <w:i/>
          <w:szCs w:val="24"/>
        </w:rPr>
        <w:t xml:space="preserve"> kiírásokon 2007-2011 között? </w:t>
      </w:r>
    </w:p>
    <w:p w14:paraId="6F2B0CDF" w14:textId="77777777" w:rsidR="00116B70" w:rsidRPr="00986F85" w:rsidRDefault="00A323F6" w:rsidP="00B04415">
      <w:pPr>
        <w:numPr>
          <w:ilvl w:val="0"/>
          <w:numId w:val="33"/>
        </w:numPr>
        <w:spacing w:after="0" w:line="360" w:lineRule="auto"/>
        <w:jc w:val="both"/>
        <w:rPr>
          <w:rFonts w:cs="Times New Roman"/>
          <w:b/>
          <w:i/>
          <w:szCs w:val="24"/>
        </w:rPr>
      </w:pPr>
      <w:r w:rsidRPr="00986F85">
        <w:rPr>
          <w:rFonts w:cs="Times New Roman"/>
          <w:b/>
          <w:i/>
          <w:szCs w:val="24"/>
        </w:rPr>
        <w:t xml:space="preserve">Mi jellemzi a </w:t>
      </w:r>
      <w:r w:rsidR="0044243A" w:rsidRPr="00986F85">
        <w:rPr>
          <w:rFonts w:cs="Times New Roman"/>
          <w:b/>
          <w:i/>
          <w:szCs w:val="24"/>
        </w:rPr>
        <w:t xml:space="preserve">nyertes </w:t>
      </w:r>
      <w:r w:rsidRPr="00986F85">
        <w:rPr>
          <w:rFonts w:cs="Times New Roman"/>
          <w:b/>
          <w:i/>
          <w:szCs w:val="24"/>
        </w:rPr>
        <w:t>pályázó vállalkozásokat?</w:t>
      </w:r>
    </w:p>
    <w:p w14:paraId="6199BBAC" w14:textId="77777777" w:rsidR="00A323F6" w:rsidRPr="00986F85" w:rsidRDefault="00116B70" w:rsidP="00B04415">
      <w:pPr>
        <w:numPr>
          <w:ilvl w:val="0"/>
          <w:numId w:val="33"/>
        </w:numPr>
        <w:spacing w:after="0" w:line="360" w:lineRule="auto"/>
        <w:jc w:val="both"/>
        <w:rPr>
          <w:rFonts w:cs="Times New Roman"/>
          <w:b/>
          <w:i/>
          <w:szCs w:val="24"/>
        </w:rPr>
      </w:pPr>
      <w:r w:rsidRPr="00986F85">
        <w:rPr>
          <w:rFonts w:cs="Times New Roman"/>
          <w:b/>
          <w:i/>
          <w:szCs w:val="24"/>
        </w:rPr>
        <w:t xml:space="preserve">A vizsgált intézkedések megfeleltek-e a kormányzati KKV-fejlesztési stratégiai céloknak / a vonatkozó nemzetközi ajánlásoknak?   </w:t>
      </w:r>
      <w:r w:rsidR="00A323F6" w:rsidRPr="00986F85">
        <w:rPr>
          <w:rFonts w:cs="Times New Roman"/>
          <w:b/>
          <w:i/>
          <w:szCs w:val="24"/>
        </w:rPr>
        <w:t xml:space="preserve"> </w:t>
      </w:r>
    </w:p>
    <w:p w14:paraId="61C1AEA4" w14:textId="77777777" w:rsidR="00D74727" w:rsidRPr="00986F85" w:rsidRDefault="00A323F6" w:rsidP="00B04415">
      <w:pPr>
        <w:numPr>
          <w:ilvl w:val="0"/>
          <w:numId w:val="33"/>
        </w:numPr>
        <w:spacing w:after="0" w:line="360" w:lineRule="auto"/>
        <w:jc w:val="both"/>
        <w:rPr>
          <w:rFonts w:cs="Times New Roman"/>
          <w:b/>
          <w:i/>
          <w:szCs w:val="24"/>
        </w:rPr>
      </w:pPr>
      <w:r w:rsidRPr="00986F85">
        <w:rPr>
          <w:rFonts w:cs="Times New Roman"/>
          <w:b/>
          <w:i/>
          <w:szCs w:val="24"/>
        </w:rPr>
        <w:t>Milyen</w:t>
      </w:r>
      <w:r w:rsidRPr="00986F85">
        <w:rPr>
          <w:rFonts w:eastAsia="Times New Roman" w:cs="Times New Roman"/>
          <w:b/>
          <w:i/>
          <w:szCs w:val="24"/>
        </w:rPr>
        <w:t xml:space="preserve"> </w:t>
      </w:r>
      <w:r w:rsidRPr="00986F85">
        <w:rPr>
          <w:rFonts w:cs="Times New Roman"/>
          <w:b/>
          <w:i/>
          <w:szCs w:val="24"/>
        </w:rPr>
        <w:t>eredményekre</w:t>
      </w:r>
      <w:r w:rsidRPr="00986F85">
        <w:rPr>
          <w:rFonts w:eastAsia="Times New Roman" w:cs="Times New Roman"/>
          <w:b/>
          <w:i/>
          <w:szCs w:val="24"/>
        </w:rPr>
        <w:t xml:space="preserve"> </w:t>
      </w:r>
      <w:r w:rsidRPr="00986F85">
        <w:rPr>
          <w:rFonts w:cs="Times New Roman"/>
          <w:b/>
          <w:i/>
          <w:szCs w:val="24"/>
        </w:rPr>
        <w:t>vezetett</w:t>
      </w:r>
      <w:r w:rsidRPr="00986F85">
        <w:rPr>
          <w:rFonts w:eastAsia="Times New Roman" w:cs="Times New Roman"/>
          <w:b/>
          <w:i/>
          <w:szCs w:val="24"/>
        </w:rPr>
        <w:t xml:space="preserve"> </w:t>
      </w:r>
      <w:r w:rsidRPr="00986F85">
        <w:rPr>
          <w:rFonts w:cs="Times New Roman"/>
          <w:b/>
          <w:i/>
          <w:szCs w:val="24"/>
        </w:rPr>
        <w:t>az</w:t>
      </w:r>
      <w:r w:rsidRPr="00986F85">
        <w:rPr>
          <w:rFonts w:eastAsia="Times New Roman" w:cs="Times New Roman"/>
          <w:b/>
          <w:i/>
          <w:szCs w:val="24"/>
        </w:rPr>
        <w:t xml:space="preserve"> </w:t>
      </w:r>
      <w:r w:rsidRPr="00986F85">
        <w:rPr>
          <w:rFonts w:cs="Times New Roman"/>
          <w:b/>
          <w:i/>
          <w:szCs w:val="24"/>
        </w:rPr>
        <w:t>intézkedés? Mi volt a támogatás hatása a nyertes vállalkozások esetében?</w:t>
      </w:r>
    </w:p>
    <w:p w14:paraId="5E55BEC4" w14:textId="77777777" w:rsidR="00D201CD" w:rsidRPr="00986F85" w:rsidRDefault="00D201CD" w:rsidP="00B04415">
      <w:pPr>
        <w:numPr>
          <w:ilvl w:val="0"/>
          <w:numId w:val="33"/>
        </w:numPr>
        <w:snapToGrid w:val="0"/>
        <w:spacing w:after="0" w:line="360" w:lineRule="auto"/>
        <w:jc w:val="both"/>
        <w:rPr>
          <w:rFonts w:cs="Times New Roman"/>
          <w:b/>
          <w:i/>
          <w:szCs w:val="24"/>
        </w:rPr>
      </w:pPr>
      <w:r w:rsidRPr="00986F85">
        <w:rPr>
          <w:rFonts w:cs="Times New Roman"/>
          <w:b/>
          <w:i/>
          <w:szCs w:val="24"/>
        </w:rPr>
        <w:t>Mi</w:t>
      </w:r>
      <w:r w:rsidRPr="00986F85">
        <w:rPr>
          <w:rFonts w:eastAsia="Times New Roman" w:cs="Times New Roman"/>
          <w:b/>
          <w:i/>
          <w:szCs w:val="24"/>
        </w:rPr>
        <w:t xml:space="preserve"> </w:t>
      </w:r>
      <w:r w:rsidR="00B406A3" w:rsidRPr="00986F85">
        <w:rPr>
          <w:rFonts w:cs="Times New Roman"/>
          <w:b/>
          <w:i/>
          <w:szCs w:val="24"/>
        </w:rPr>
        <w:t xml:space="preserve">korlátozza az érintett intézkedések teljes korű hatásvizsgálatát </w:t>
      </w:r>
      <w:r w:rsidRPr="00986F85">
        <w:rPr>
          <w:rFonts w:cs="Times New Roman"/>
          <w:b/>
          <w:i/>
          <w:szCs w:val="24"/>
        </w:rPr>
        <w:t>(adathiány,</w:t>
      </w:r>
      <w:r w:rsidRPr="00986F85">
        <w:rPr>
          <w:rFonts w:eastAsia="Times New Roman" w:cs="Times New Roman"/>
          <w:b/>
          <w:i/>
          <w:szCs w:val="24"/>
        </w:rPr>
        <w:t xml:space="preserve"> </w:t>
      </w:r>
      <w:r w:rsidRPr="00986F85">
        <w:rPr>
          <w:rFonts w:cs="Times New Roman"/>
          <w:b/>
          <w:i/>
          <w:szCs w:val="24"/>
        </w:rPr>
        <w:t>adatbázis</w:t>
      </w:r>
      <w:r w:rsidRPr="00986F85">
        <w:rPr>
          <w:rFonts w:eastAsia="Times New Roman" w:cs="Times New Roman"/>
          <w:b/>
          <w:i/>
          <w:szCs w:val="24"/>
        </w:rPr>
        <w:t xml:space="preserve"> </w:t>
      </w:r>
      <w:r w:rsidRPr="00986F85">
        <w:rPr>
          <w:rFonts w:cs="Times New Roman"/>
          <w:b/>
          <w:i/>
          <w:szCs w:val="24"/>
        </w:rPr>
        <w:t>probléma,</w:t>
      </w:r>
      <w:r w:rsidRPr="00986F85">
        <w:rPr>
          <w:rFonts w:eastAsia="Times New Roman" w:cs="Times New Roman"/>
          <w:b/>
          <w:i/>
          <w:szCs w:val="24"/>
        </w:rPr>
        <w:t xml:space="preserve"> </w:t>
      </w:r>
      <w:r w:rsidRPr="00986F85">
        <w:rPr>
          <w:rFonts w:cs="Times New Roman"/>
          <w:b/>
          <w:i/>
          <w:szCs w:val="24"/>
        </w:rPr>
        <w:t>adatösszekapcsolási</w:t>
      </w:r>
      <w:r w:rsidRPr="00986F85">
        <w:rPr>
          <w:rFonts w:eastAsia="Times New Roman" w:cs="Times New Roman"/>
          <w:b/>
          <w:i/>
          <w:szCs w:val="24"/>
        </w:rPr>
        <w:t xml:space="preserve"> </w:t>
      </w:r>
      <w:r w:rsidRPr="00986F85">
        <w:rPr>
          <w:rFonts w:cs="Times New Roman"/>
          <w:b/>
          <w:i/>
          <w:szCs w:val="24"/>
        </w:rPr>
        <w:t>probléma)?</w:t>
      </w:r>
      <w:r w:rsidR="00B406A3" w:rsidRPr="00986F85">
        <w:rPr>
          <w:rFonts w:cs="Times New Roman"/>
          <w:b/>
          <w:i/>
          <w:szCs w:val="24"/>
        </w:rPr>
        <w:t xml:space="preserve"> </w:t>
      </w:r>
      <w:r w:rsidRPr="00986F85">
        <w:rPr>
          <w:rFonts w:cs="Times New Roman"/>
          <w:b/>
          <w:i/>
          <w:szCs w:val="24"/>
        </w:rPr>
        <w:t>Hogyan</w:t>
      </w:r>
      <w:r w:rsidRPr="00986F85">
        <w:rPr>
          <w:rFonts w:eastAsia="Times New Roman" w:cs="Times New Roman"/>
          <w:b/>
          <w:i/>
          <w:szCs w:val="24"/>
        </w:rPr>
        <w:t xml:space="preserve"> </w:t>
      </w:r>
      <w:r w:rsidRPr="00986F85">
        <w:rPr>
          <w:rFonts w:cs="Times New Roman"/>
          <w:b/>
          <w:i/>
          <w:szCs w:val="24"/>
        </w:rPr>
        <w:t>oldhatók</w:t>
      </w:r>
      <w:r w:rsidRPr="00986F85">
        <w:rPr>
          <w:rFonts w:eastAsia="Times New Roman" w:cs="Times New Roman"/>
          <w:b/>
          <w:i/>
          <w:szCs w:val="24"/>
        </w:rPr>
        <w:t xml:space="preserve"> </w:t>
      </w:r>
      <w:r w:rsidR="00B137A3" w:rsidRPr="00986F85">
        <w:rPr>
          <w:rFonts w:eastAsia="Times New Roman" w:cs="Times New Roman"/>
          <w:b/>
          <w:i/>
          <w:szCs w:val="24"/>
        </w:rPr>
        <w:t xml:space="preserve">fel </w:t>
      </w:r>
      <w:r w:rsidRPr="00986F85">
        <w:rPr>
          <w:rFonts w:cs="Times New Roman"/>
          <w:b/>
          <w:i/>
          <w:szCs w:val="24"/>
        </w:rPr>
        <w:t>ezek</w:t>
      </w:r>
      <w:r w:rsidRPr="00986F85">
        <w:rPr>
          <w:rFonts w:eastAsia="Times New Roman" w:cs="Times New Roman"/>
          <w:b/>
          <w:i/>
          <w:szCs w:val="24"/>
        </w:rPr>
        <w:t xml:space="preserve"> </w:t>
      </w:r>
      <w:r w:rsidRPr="00986F85">
        <w:rPr>
          <w:rFonts w:cs="Times New Roman"/>
          <w:b/>
          <w:i/>
          <w:szCs w:val="24"/>
        </w:rPr>
        <w:t>a</w:t>
      </w:r>
      <w:r w:rsidRPr="00986F85">
        <w:rPr>
          <w:rFonts w:eastAsia="Times New Roman" w:cs="Times New Roman"/>
          <w:b/>
          <w:i/>
          <w:szCs w:val="24"/>
        </w:rPr>
        <w:t xml:space="preserve"> </w:t>
      </w:r>
      <w:r w:rsidRPr="00986F85">
        <w:rPr>
          <w:rFonts w:cs="Times New Roman"/>
          <w:b/>
          <w:i/>
          <w:szCs w:val="24"/>
        </w:rPr>
        <w:t>korlátozások?</w:t>
      </w:r>
      <w:r w:rsidRPr="00986F85">
        <w:rPr>
          <w:rFonts w:eastAsia="Times New Roman" w:cs="Times New Roman"/>
          <w:b/>
          <w:i/>
          <w:szCs w:val="24"/>
        </w:rPr>
        <w:t xml:space="preserve"> </w:t>
      </w:r>
    </w:p>
    <w:p w14:paraId="1A844257" w14:textId="77777777" w:rsidR="00D201CD" w:rsidRPr="00986F85" w:rsidRDefault="00D201CD" w:rsidP="00B04415">
      <w:pPr>
        <w:numPr>
          <w:ilvl w:val="0"/>
          <w:numId w:val="33"/>
        </w:numPr>
        <w:spacing w:after="0" w:line="360" w:lineRule="auto"/>
        <w:jc w:val="both"/>
        <w:rPr>
          <w:rFonts w:cs="Times New Roman"/>
          <w:b/>
          <w:i/>
          <w:szCs w:val="24"/>
        </w:rPr>
      </w:pPr>
      <w:r w:rsidRPr="00986F85">
        <w:rPr>
          <w:rFonts w:cs="Times New Roman"/>
          <w:b/>
          <w:i/>
          <w:szCs w:val="24"/>
        </w:rPr>
        <w:t>Milyen</w:t>
      </w:r>
      <w:r w:rsidRPr="00986F85">
        <w:rPr>
          <w:rFonts w:eastAsia="Times New Roman" w:cs="Times New Roman"/>
          <w:b/>
          <w:i/>
          <w:szCs w:val="24"/>
        </w:rPr>
        <w:t xml:space="preserve"> </w:t>
      </w:r>
      <w:r w:rsidRPr="00986F85">
        <w:rPr>
          <w:rFonts w:cs="Times New Roman"/>
          <w:b/>
          <w:i/>
          <w:szCs w:val="24"/>
        </w:rPr>
        <w:t>javítások,</w:t>
      </w:r>
      <w:r w:rsidRPr="00986F85">
        <w:rPr>
          <w:rFonts w:eastAsia="Times New Roman" w:cs="Times New Roman"/>
          <w:b/>
          <w:i/>
          <w:szCs w:val="24"/>
        </w:rPr>
        <w:t xml:space="preserve"> </w:t>
      </w:r>
      <w:r w:rsidRPr="00986F85">
        <w:rPr>
          <w:rFonts w:cs="Times New Roman"/>
          <w:b/>
          <w:i/>
          <w:szCs w:val="24"/>
        </w:rPr>
        <w:t>finomítások javasoltak: az</w:t>
      </w:r>
      <w:r w:rsidRPr="00986F85">
        <w:rPr>
          <w:rFonts w:eastAsia="Times New Roman" w:cs="Times New Roman"/>
          <w:b/>
          <w:i/>
          <w:szCs w:val="24"/>
        </w:rPr>
        <w:t xml:space="preserve"> </w:t>
      </w:r>
      <w:r w:rsidRPr="00986F85">
        <w:rPr>
          <w:rFonts w:cs="Times New Roman"/>
          <w:b/>
          <w:i/>
          <w:szCs w:val="24"/>
        </w:rPr>
        <w:t>(EMIR, egyéb kormányzati) adatgyűjtés,</w:t>
      </w:r>
      <w:r w:rsidRPr="00986F85">
        <w:rPr>
          <w:rFonts w:eastAsia="Times New Roman" w:cs="Times New Roman"/>
          <w:b/>
          <w:i/>
          <w:szCs w:val="24"/>
        </w:rPr>
        <w:t xml:space="preserve"> </w:t>
      </w:r>
      <w:r w:rsidRPr="00986F85">
        <w:rPr>
          <w:rFonts w:cs="Times New Roman"/>
          <w:b/>
          <w:i/>
          <w:szCs w:val="24"/>
        </w:rPr>
        <w:t>adatfeldolgozás,</w:t>
      </w:r>
      <w:r w:rsidRPr="00986F85">
        <w:rPr>
          <w:rFonts w:eastAsia="Times New Roman" w:cs="Times New Roman"/>
          <w:b/>
          <w:i/>
          <w:szCs w:val="24"/>
        </w:rPr>
        <w:t xml:space="preserve"> </w:t>
      </w:r>
      <w:r w:rsidRPr="00986F85">
        <w:rPr>
          <w:rFonts w:cs="Times New Roman"/>
          <w:b/>
          <w:i/>
          <w:szCs w:val="24"/>
        </w:rPr>
        <w:t>érint</w:t>
      </w:r>
      <w:r w:rsidR="00B406A3" w:rsidRPr="00986F85">
        <w:rPr>
          <w:rFonts w:cs="Times New Roman"/>
          <w:b/>
          <w:i/>
          <w:szCs w:val="24"/>
        </w:rPr>
        <w:t>e</w:t>
      </w:r>
      <w:r w:rsidRPr="00986F85">
        <w:rPr>
          <w:rFonts w:cs="Times New Roman"/>
          <w:b/>
          <w:i/>
          <w:szCs w:val="24"/>
        </w:rPr>
        <w:t>tt</w:t>
      </w:r>
      <w:r w:rsidRPr="00986F85">
        <w:rPr>
          <w:rFonts w:eastAsia="Times New Roman" w:cs="Times New Roman"/>
          <w:b/>
          <w:i/>
          <w:szCs w:val="24"/>
        </w:rPr>
        <w:t xml:space="preserve"> </w:t>
      </w:r>
      <w:r w:rsidRPr="00986F85">
        <w:rPr>
          <w:rFonts w:cs="Times New Roman"/>
          <w:b/>
          <w:i/>
          <w:szCs w:val="24"/>
        </w:rPr>
        <w:t>adatbázisok</w:t>
      </w:r>
      <w:r w:rsidRPr="00986F85">
        <w:rPr>
          <w:rFonts w:eastAsia="Times New Roman" w:cs="Times New Roman"/>
          <w:b/>
          <w:i/>
          <w:szCs w:val="24"/>
        </w:rPr>
        <w:t xml:space="preserve"> </w:t>
      </w:r>
      <w:r w:rsidRPr="00986F85">
        <w:rPr>
          <w:rFonts w:cs="Times New Roman"/>
          <w:b/>
          <w:i/>
          <w:szCs w:val="24"/>
        </w:rPr>
        <w:t>fejlesztése</w:t>
      </w:r>
      <w:r w:rsidRPr="00986F85">
        <w:rPr>
          <w:rFonts w:eastAsia="Times New Roman" w:cs="Times New Roman"/>
          <w:b/>
          <w:i/>
          <w:szCs w:val="24"/>
        </w:rPr>
        <w:t xml:space="preserve"> </w:t>
      </w:r>
      <w:r w:rsidRPr="00986F85">
        <w:rPr>
          <w:rFonts w:cs="Times New Roman"/>
          <w:b/>
          <w:i/>
          <w:szCs w:val="24"/>
        </w:rPr>
        <w:t>során?</w:t>
      </w:r>
    </w:p>
    <w:p w14:paraId="5EF1D4FA" w14:textId="77777777" w:rsidR="003A0D3C" w:rsidRPr="00986F85" w:rsidRDefault="003A0D3C" w:rsidP="00B04415">
      <w:pPr>
        <w:numPr>
          <w:ilvl w:val="0"/>
          <w:numId w:val="33"/>
        </w:numPr>
        <w:spacing w:after="0" w:line="360" w:lineRule="auto"/>
        <w:jc w:val="both"/>
        <w:rPr>
          <w:rFonts w:cs="Times New Roman"/>
          <w:b/>
          <w:i/>
          <w:szCs w:val="24"/>
        </w:rPr>
      </w:pPr>
      <w:r w:rsidRPr="00986F85">
        <w:rPr>
          <w:rFonts w:cs="Times New Roman"/>
          <w:b/>
          <w:i/>
          <w:szCs w:val="24"/>
        </w:rPr>
        <w:t>A</w:t>
      </w:r>
      <w:r w:rsidRPr="00986F85">
        <w:rPr>
          <w:rFonts w:eastAsia="Times New Roman" w:cs="Times New Roman"/>
          <w:b/>
          <w:i/>
          <w:szCs w:val="24"/>
        </w:rPr>
        <w:t xml:space="preserve"> </w:t>
      </w:r>
      <w:r w:rsidRPr="00986F85">
        <w:rPr>
          <w:rFonts w:cs="Times New Roman"/>
          <w:b/>
          <w:i/>
          <w:szCs w:val="24"/>
        </w:rPr>
        <w:t>hatásvizsgálat</w:t>
      </w:r>
      <w:r w:rsidRPr="00986F85">
        <w:rPr>
          <w:rFonts w:eastAsia="Times New Roman" w:cs="Times New Roman"/>
          <w:b/>
          <w:i/>
          <w:szCs w:val="24"/>
        </w:rPr>
        <w:t xml:space="preserve"> </w:t>
      </w:r>
      <w:r w:rsidRPr="00986F85">
        <w:rPr>
          <w:rFonts w:cs="Times New Roman"/>
          <w:b/>
          <w:i/>
          <w:szCs w:val="24"/>
        </w:rPr>
        <w:t>eredményei</w:t>
      </w:r>
      <w:r w:rsidRPr="00986F85">
        <w:rPr>
          <w:rFonts w:eastAsia="Times New Roman" w:cs="Times New Roman"/>
          <w:b/>
          <w:i/>
          <w:szCs w:val="24"/>
        </w:rPr>
        <w:t xml:space="preserve"> </w:t>
      </w:r>
      <w:r w:rsidRPr="00986F85">
        <w:rPr>
          <w:rFonts w:cs="Times New Roman"/>
          <w:b/>
          <w:i/>
          <w:szCs w:val="24"/>
        </w:rPr>
        <w:t>hogyan</w:t>
      </w:r>
      <w:r w:rsidRPr="00986F85">
        <w:rPr>
          <w:rFonts w:eastAsia="Times New Roman" w:cs="Times New Roman"/>
          <w:b/>
          <w:i/>
          <w:szCs w:val="24"/>
        </w:rPr>
        <w:t xml:space="preserve"> </w:t>
      </w:r>
      <w:r w:rsidRPr="00986F85">
        <w:rPr>
          <w:rFonts w:cs="Times New Roman"/>
          <w:b/>
          <w:i/>
          <w:szCs w:val="24"/>
        </w:rPr>
        <w:t>csatolhatók</w:t>
      </w:r>
      <w:r w:rsidRPr="00986F85">
        <w:rPr>
          <w:rFonts w:eastAsia="Times New Roman" w:cs="Times New Roman"/>
          <w:b/>
          <w:i/>
          <w:szCs w:val="24"/>
        </w:rPr>
        <w:t xml:space="preserve"> </w:t>
      </w:r>
      <w:r w:rsidRPr="00986F85">
        <w:rPr>
          <w:rFonts w:cs="Times New Roman"/>
          <w:b/>
          <w:i/>
          <w:szCs w:val="24"/>
        </w:rPr>
        <w:t>vissza</w:t>
      </w:r>
      <w:r w:rsidRPr="00986F85">
        <w:rPr>
          <w:rFonts w:eastAsia="Times New Roman" w:cs="Times New Roman"/>
          <w:b/>
          <w:i/>
          <w:szCs w:val="24"/>
        </w:rPr>
        <w:t xml:space="preserve"> </w:t>
      </w:r>
      <w:r w:rsidRPr="00986F85">
        <w:rPr>
          <w:rFonts w:cs="Times New Roman"/>
          <w:b/>
          <w:i/>
          <w:szCs w:val="24"/>
        </w:rPr>
        <w:t>a</w:t>
      </w:r>
      <w:r w:rsidRPr="00986F85">
        <w:rPr>
          <w:rFonts w:eastAsia="Times New Roman" w:cs="Times New Roman"/>
          <w:b/>
          <w:i/>
          <w:szCs w:val="24"/>
        </w:rPr>
        <w:t xml:space="preserve"> </w:t>
      </w:r>
      <w:r w:rsidRPr="00986F85">
        <w:rPr>
          <w:rFonts w:cs="Times New Roman"/>
          <w:b/>
          <w:i/>
          <w:szCs w:val="24"/>
        </w:rPr>
        <w:t>program-végrehajtás</w:t>
      </w:r>
      <w:r w:rsidRPr="00986F85">
        <w:rPr>
          <w:rFonts w:eastAsia="Times New Roman" w:cs="Times New Roman"/>
          <w:b/>
          <w:i/>
          <w:szCs w:val="24"/>
        </w:rPr>
        <w:t xml:space="preserve"> </w:t>
      </w:r>
      <w:r w:rsidRPr="00986F85">
        <w:rPr>
          <w:rFonts w:cs="Times New Roman"/>
          <w:b/>
          <w:i/>
          <w:szCs w:val="24"/>
        </w:rPr>
        <w:t>szintjére,</w:t>
      </w:r>
      <w:r w:rsidRPr="00986F85">
        <w:rPr>
          <w:rFonts w:eastAsia="Times New Roman" w:cs="Times New Roman"/>
          <w:b/>
          <w:i/>
          <w:szCs w:val="24"/>
        </w:rPr>
        <w:t xml:space="preserve"> </w:t>
      </w:r>
      <w:r w:rsidRPr="00986F85">
        <w:rPr>
          <w:rFonts w:cs="Times New Roman"/>
          <w:b/>
          <w:i/>
          <w:szCs w:val="24"/>
        </w:rPr>
        <w:t>a</w:t>
      </w:r>
      <w:r w:rsidRPr="00986F85">
        <w:rPr>
          <w:rFonts w:eastAsia="Times New Roman" w:cs="Times New Roman"/>
          <w:b/>
          <w:i/>
          <w:szCs w:val="24"/>
        </w:rPr>
        <w:t xml:space="preserve"> </w:t>
      </w:r>
      <w:r w:rsidRPr="00986F85">
        <w:rPr>
          <w:rFonts w:cs="Times New Roman"/>
          <w:b/>
          <w:i/>
          <w:szCs w:val="24"/>
        </w:rPr>
        <w:t>2014-2020.</w:t>
      </w:r>
      <w:r w:rsidRPr="00986F85">
        <w:rPr>
          <w:rFonts w:eastAsia="Times New Roman" w:cs="Times New Roman"/>
          <w:b/>
          <w:i/>
          <w:szCs w:val="24"/>
        </w:rPr>
        <w:t xml:space="preserve"> </w:t>
      </w:r>
      <w:r w:rsidRPr="00986F85">
        <w:rPr>
          <w:rFonts w:cs="Times New Roman"/>
          <w:b/>
          <w:i/>
          <w:szCs w:val="24"/>
        </w:rPr>
        <w:t>stratégiai</w:t>
      </w:r>
      <w:r w:rsidRPr="00986F85">
        <w:rPr>
          <w:rFonts w:eastAsia="Times New Roman" w:cs="Times New Roman"/>
          <w:b/>
          <w:i/>
          <w:szCs w:val="24"/>
        </w:rPr>
        <w:t xml:space="preserve"> </w:t>
      </w:r>
      <w:r w:rsidRPr="00986F85">
        <w:rPr>
          <w:rFonts w:cs="Times New Roman"/>
          <w:b/>
          <w:i/>
          <w:szCs w:val="24"/>
        </w:rPr>
        <w:t>időszak</w:t>
      </w:r>
      <w:r w:rsidRPr="00986F85">
        <w:rPr>
          <w:rFonts w:eastAsia="Times New Roman" w:cs="Times New Roman"/>
          <w:b/>
          <w:i/>
          <w:szCs w:val="24"/>
        </w:rPr>
        <w:t xml:space="preserve"> </w:t>
      </w:r>
      <w:r w:rsidRPr="00986F85">
        <w:rPr>
          <w:rFonts w:cs="Times New Roman"/>
          <w:b/>
          <w:i/>
          <w:szCs w:val="24"/>
        </w:rPr>
        <w:t>tervezésébe?</w:t>
      </w:r>
    </w:p>
    <w:p w14:paraId="7E845EB2" w14:textId="77777777" w:rsidR="002A7ADF" w:rsidRPr="00986F85" w:rsidRDefault="002A7ADF" w:rsidP="00B04415">
      <w:pPr>
        <w:pStyle w:val="Szvegtrzs"/>
        <w:spacing w:after="0" w:line="360" w:lineRule="auto"/>
        <w:jc w:val="both"/>
        <w:rPr>
          <w:rFonts w:cs="Times New Roman"/>
          <w:szCs w:val="24"/>
        </w:rPr>
      </w:pPr>
    </w:p>
    <w:p w14:paraId="3731D7BD" w14:textId="77777777" w:rsidR="0076036B" w:rsidRPr="00986F85" w:rsidRDefault="009B1EC7" w:rsidP="00B04415">
      <w:pPr>
        <w:pStyle w:val="Cmsor2"/>
        <w:spacing w:before="0" w:after="0" w:line="360" w:lineRule="auto"/>
        <w:jc w:val="both"/>
        <w:rPr>
          <w:rFonts w:ascii="Myriad Pro" w:hAnsi="Myriad Pro"/>
          <w:szCs w:val="24"/>
        </w:rPr>
      </w:pPr>
      <w:bookmarkStart w:id="10" w:name="_Toc230854308"/>
      <w:r w:rsidRPr="00986F85">
        <w:rPr>
          <w:rFonts w:ascii="Myriad Pro" w:hAnsi="Myriad Pro"/>
          <w:szCs w:val="24"/>
        </w:rPr>
        <w:t xml:space="preserve">VIZSGÁLAT MENETE, </w:t>
      </w:r>
      <w:r w:rsidR="0076036B" w:rsidRPr="00986F85">
        <w:rPr>
          <w:rFonts w:ascii="Myriad Pro" w:hAnsi="Myriad Pro"/>
          <w:szCs w:val="24"/>
        </w:rPr>
        <w:t>ALKALMAZOTT MÓDSZERTAN</w:t>
      </w:r>
      <w:bookmarkEnd w:id="10"/>
    </w:p>
    <w:p w14:paraId="0E2E37EB" w14:textId="77777777" w:rsidR="00D12C3D" w:rsidRPr="00986F85" w:rsidRDefault="00DB3B5F" w:rsidP="00B04415">
      <w:pPr>
        <w:autoSpaceDE w:val="0"/>
        <w:snapToGrid w:val="0"/>
        <w:spacing w:after="0" w:line="360" w:lineRule="auto"/>
        <w:jc w:val="both"/>
        <w:rPr>
          <w:rFonts w:cs="Times New Roman"/>
          <w:szCs w:val="24"/>
        </w:rPr>
      </w:pPr>
      <w:r w:rsidRPr="00986F85">
        <w:rPr>
          <w:rFonts w:cs="Times New Roman"/>
          <w:szCs w:val="24"/>
        </w:rPr>
        <w:t>A projekt során az alábbi fázisok mentén haladtunk: v</w:t>
      </w:r>
      <w:r w:rsidR="00D12C3D" w:rsidRPr="00986F85">
        <w:rPr>
          <w:rFonts w:cs="Times New Roman"/>
          <w:szCs w:val="24"/>
        </w:rPr>
        <w:t>izsgálat</w:t>
      </w:r>
      <w:r w:rsidR="00D12C3D" w:rsidRPr="00986F85">
        <w:rPr>
          <w:rFonts w:eastAsia="Times New Roman" w:cs="Times New Roman"/>
          <w:szCs w:val="24"/>
        </w:rPr>
        <w:t xml:space="preserve"> </w:t>
      </w:r>
      <w:r w:rsidR="00D12C3D" w:rsidRPr="00986F85">
        <w:rPr>
          <w:rFonts w:cs="Times New Roman"/>
          <w:szCs w:val="24"/>
        </w:rPr>
        <w:t>megalapozása</w:t>
      </w:r>
      <w:r w:rsidRPr="00986F85">
        <w:rPr>
          <w:rFonts w:cs="Times New Roman"/>
          <w:szCs w:val="24"/>
        </w:rPr>
        <w:t xml:space="preserve">, </w:t>
      </w:r>
      <w:r w:rsidR="00F96F6E" w:rsidRPr="00986F85">
        <w:rPr>
          <w:rFonts w:cs="Times New Roman"/>
          <w:szCs w:val="24"/>
        </w:rPr>
        <w:t xml:space="preserve"> átfogó </w:t>
      </w:r>
      <w:r w:rsidRPr="00986F85">
        <w:rPr>
          <w:rFonts w:cs="Times New Roman"/>
          <w:szCs w:val="24"/>
        </w:rPr>
        <w:t>elemzés, ökonometriai hatás</w:t>
      </w:r>
      <w:r w:rsidR="00D12C3D" w:rsidRPr="00986F85">
        <w:rPr>
          <w:rFonts w:cs="Times New Roman"/>
          <w:szCs w:val="24"/>
        </w:rPr>
        <w:t>vizsgálat</w:t>
      </w:r>
      <w:r w:rsidRPr="00986F85">
        <w:rPr>
          <w:rFonts w:cs="Times New Roman"/>
          <w:szCs w:val="24"/>
        </w:rPr>
        <w:t>, m</w:t>
      </w:r>
      <w:r w:rsidR="00D12C3D" w:rsidRPr="00986F85">
        <w:rPr>
          <w:rFonts w:cs="Times New Roman"/>
          <w:szCs w:val="24"/>
        </w:rPr>
        <w:t>ódszertani</w:t>
      </w:r>
      <w:r w:rsidR="00D12C3D" w:rsidRPr="00986F85">
        <w:rPr>
          <w:rFonts w:eastAsia="Times New Roman" w:cs="Times New Roman"/>
          <w:szCs w:val="24"/>
        </w:rPr>
        <w:t xml:space="preserve"> </w:t>
      </w:r>
      <w:r w:rsidR="00D12C3D" w:rsidRPr="00986F85">
        <w:rPr>
          <w:rFonts w:cs="Times New Roman"/>
          <w:szCs w:val="24"/>
        </w:rPr>
        <w:t>javaslatok</w:t>
      </w:r>
      <w:r w:rsidRPr="00986F85">
        <w:rPr>
          <w:rFonts w:cs="Times New Roman"/>
          <w:szCs w:val="24"/>
        </w:rPr>
        <w:t>, s</w:t>
      </w:r>
      <w:r w:rsidR="00D12C3D" w:rsidRPr="00986F85">
        <w:rPr>
          <w:rFonts w:cs="Times New Roman"/>
          <w:szCs w:val="24"/>
        </w:rPr>
        <w:t>zakmai</w:t>
      </w:r>
      <w:r w:rsidR="00D12C3D" w:rsidRPr="00986F85">
        <w:rPr>
          <w:rFonts w:eastAsia="Times New Roman" w:cs="Times New Roman"/>
          <w:szCs w:val="24"/>
        </w:rPr>
        <w:t xml:space="preserve"> </w:t>
      </w:r>
      <w:r w:rsidR="00D12C3D" w:rsidRPr="00986F85">
        <w:rPr>
          <w:rFonts w:cs="Times New Roman"/>
          <w:szCs w:val="24"/>
        </w:rPr>
        <w:t>konzultáció</w:t>
      </w:r>
      <w:r w:rsidRPr="00986F85">
        <w:rPr>
          <w:rFonts w:cs="Times New Roman"/>
          <w:szCs w:val="24"/>
        </w:rPr>
        <w:t>.</w:t>
      </w:r>
    </w:p>
    <w:p w14:paraId="1E23E613" w14:textId="77777777" w:rsidR="00D12C3D" w:rsidRPr="00986F85" w:rsidRDefault="00D12C3D" w:rsidP="00B04415">
      <w:pPr>
        <w:pStyle w:val="Szvegtrzs"/>
        <w:spacing w:after="0" w:line="360" w:lineRule="auto"/>
        <w:jc w:val="both"/>
        <w:rPr>
          <w:rFonts w:cs="Times New Roman"/>
          <w:szCs w:val="24"/>
        </w:rPr>
      </w:pPr>
    </w:p>
    <w:p w14:paraId="623E271D" w14:textId="77777777" w:rsidR="00A323F6" w:rsidRPr="00986F85" w:rsidRDefault="00DB3B5F" w:rsidP="00B04415">
      <w:pPr>
        <w:spacing w:after="0" w:line="360" w:lineRule="auto"/>
        <w:jc w:val="both"/>
        <w:rPr>
          <w:rFonts w:cs="Times New Roman"/>
          <w:szCs w:val="24"/>
        </w:rPr>
      </w:pPr>
      <w:r w:rsidRPr="00986F85">
        <w:rPr>
          <w:rFonts w:cs="Times New Roman"/>
          <w:szCs w:val="24"/>
        </w:rPr>
        <w:t>A vizsgálat megalapozása során</w:t>
      </w:r>
      <w:r w:rsidR="00A323F6" w:rsidRPr="00986F85">
        <w:rPr>
          <w:rFonts w:cs="Times New Roman"/>
          <w:szCs w:val="24"/>
        </w:rPr>
        <w:t xml:space="preserve">: </w:t>
      </w:r>
    </w:p>
    <w:p w14:paraId="056F76EE" w14:textId="77777777" w:rsidR="00A323F6" w:rsidRPr="00986F85" w:rsidRDefault="00DB3B5F" w:rsidP="00B04415">
      <w:pPr>
        <w:numPr>
          <w:ilvl w:val="0"/>
          <w:numId w:val="14"/>
        </w:numPr>
        <w:spacing w:after="0" w:line="360" w:lineRule="auto"/>
        <w:jc w:val="both"/>
        <w:rPr>
          <w:rFonts w:cs="Times New Roman"/>
          <w:szCs w:val="24"/>
        </w:rPr>
      </w:pPr>
      <w:r w:rsidRPr="00986F85">
        <w:rPr>
          <w:rFonts w:cs="Times New Roman"/>
          <w:szCs w:val="24"/>
        </w:rPr>
        <w:t>elvégezt</w:t>
      </w:r>
      <w:r w:rsidR="00A323F6" w:rsidRPr="00986F85">
        <w:rPr>
          <w:rFonts w:cs="Times New Roman"/>
          <w:szCs w:val="24"/>
        </w:rPr>
        <w:t>ük a vo</w:t>
      </w:r>
      <w:r w:rsidRPr="00986F85">
        <w:rPr>
          <w:rFonts w:cs="Times New Roman"/>
          <w:szCs w:val="24"/>
        </w:rPr>
        <w:t>natkozó</w:t>
      </w:r>
      <w:r w:rsidR="00A323F6" w:rsidRPr="00986F85">
        <w:rPr>
          <w:rFonts w:cs="Times New Roman"/>
          <w:szCs w:val="24"/>
        </w:rPr>
        <w:t>, hazai stratégiai és program-dokumentumok elemzését (</w:t>
      </w:r>
      <w:r w:rsidRPr="00986F85">
        <w:rPr>
          <w:rFonts w:cs="Times New Roman"/>
          <w:szCs w:val="24"/>
        </w:rPr>
        <w:t xml:space="preserve">OP, akcióterv, pályázati kiírások - </w:t>
      </w:r>
      <w:r w:rsidR="00A323F6" w:rsidRPr="00986F85">
        <w:rPr>
          <w:rFonts w:cs="Times New Roman"/>
          <w:szCs w:val="24"/>
        </w:rPr>
        <w:t xml:space="preserve">célok, prioritások, indikátorok </w:t>
      </w:r>
      <w:r w:rsidRPr="00986F85">
        <w:rPr>
          <w:rFonts w:cs="Times New Roman"/>
          <w:szCs w:val="24"/>
        </w:rPr>
        <w:t>elemzése</w:t>
      </w:r>
      <w:r w:rsidR="00A323F6" w:rsidRPr="00986F85">
        <w:rPr>
          <w:rFonts w:cs="Times New Roman"/>
          <w:szCs w:val="24"/>
        </w:rPr>
        <w:t>)</w:t>
      </w:r>
    </w:p>
    <w:p w14:paraId="20323173" w14:textId="77777777" w:rsidR="00DB3B5F" w:rsidRPr="00986F85" w:rsidRDefault="00DB3B5F" w:rsidP="00B04415">
      <w:pPr>
        <w:numPr>
          <w:ilvl w:val="0"/>
          <w:numId w:val="14"/>
        </w:numPr>
        <w:spacing w:after="0" w:line="360" w:lineRule="auto"/>
        <w:jc w:val="both"/>
        <w:rPr>
          <w:rFonts w:cs="Times New Roman"/>
          <w:szCs w:val="24"/>
        </w:rPr>
      </w:pPr>
      <w:r w:rsidRPr="00986F85">
        <w:rPr>
          <w:rFonts w:cs="Times New Roman"/>
          <w:szCs w:val="24"/>
        </w:rPr>
        <w:t>összefoglalt</w:t>
      </w:r>
      <w:r w:rsidR="00A323F6" w:rsidRPr="00986F85">
        <w:rPr>
          <w:rFonts w:cs="Times New Roman"/>
          <w:szCs w:val="24"/>
        </w:rPr>
        <w:t xml:space="preserve">uk a vonatkozó szakirodalom elméleti és empirikus eredményeit, </w:t>
      </w:r>
    </w:p>
    <w:p w14:paraId="409FC9F7" w14:textId="77777777" w:rsidR="00A323F6" w:rsidRPr="00986F85" w:rsidRDefault="00DB3B5F" w:rsidP="00B04415">
      <w:pPr>
        <w:numPr>
          <w:ilvl w:val="0"/>
          <w:numId w:val="14"/>
        </w:numPr>
        <w:spacing w:after="0" w:line="360" w:lineRule="auto"/>
        <w:jc w:val="both"/>
        <w:rPr>
          <w:rFonts w:cs="Times New Roman"/>
          <w:szCs w:val="24"/>
        </w:rPr>
      </w:pPr>
      <w:r w:rsidRPr="00986F85">
        <w:rPr>
          <w:rFonts w:cs="Times New Roman"/>
          <w:szCs w:val="24"/>
        </w:rPr>
        <w:t>megítélt</w:t>
      </w:r>
      <w:r w:rsidR="00A323F6" w:rsidRPr="00986F85">
        <w:rPr>
          <w:rFonts w:cs="Times New Roman"/>
          <w:szCs w:val="24"/>
        </w:rPr>
        <w:t xml:space="preserve">ük </w:t>
      </w:r>
      <w:r w:rsidRPr="00986F85">
        <w:rPr>
          <w:rFonts w:cs="Times New Roman"/>
          <w:szCs w:val="24"/>
        </w:rPr>
        <w:t xml:space="preserve">ezek </w:t>
      </w:r>
      <w:r w:rsidR="00A323F6" w:rsidRPr="00986F85">
        <w:rPr>
          <w:rFonts w:cs="Times New Roman"/>
          <w:szCs w:val="24"/>
        </w:rPr>
        <w:t>visszacsatolásának és érvényesülésének mértékét</w:t>
      </w:r>
      <w:r w:rsidRPr="00986F85">
        <w:rPr>
          <w:rFonts w:cs="Times New Roman"/>
          <w:szCs w:val="24"/>
        </w:rPr>
        <w:t>, valamint az ezt korlátozó tényezőket,</w:t>
      </w:r>
    </w:p>
    <w:p w14:paraId="4D13E39E" w14:textId="77777777" w:rsidR="00A323F6" w:rsidRPr="00986F85" w:rsidRDefault="00DB3B5F" w:rsidP="00B04415">
      <w:pPr>
        <w:numPr>
          <w:ilvl w:val="0"/>
          <w:numId w:val="14"/>
        </w:numPr>
        <w:spacing w:after="0" w:line="360" w:lineRule="auto"/>
        <w:jc w:val="both"/>
        <w:rPr>
          <w:rFonts w:cs="Times New Roman"/>
          <w:szCs w:val="24"/>
        </w:rPr>
      </w:pPr>
      <w:r w:rsidRPr="00986F85">
        <w:rPr>
          <w:rFonts w:cs="Times New Roman"/>
          <w:szCs w:val="24"/>
        </w:rPr>
        <w:t>indítványozt</w:t>
      </w:r>
      <w:r w:rsidR="00A323F6" w:rsidRPr="00986F85">
        <w:rPr>
          <w:rFonts w:cs="Times New Roman"/>
          <w:szCs w:val="24"/>
        </w:rPr>
        <w:t xml:space="preserve">uk a kapcsolódó adminisztratív és hatósági adatbázisok beszerzését,  </w:t>
      </w:r>
    </w:p>
    <w:p w14:paraId="0F100AE7" w14:textId="77777777" w:rsidR="00A323F6" w:rsidRPr="00986F85" w:rsidRDefault="00DB3B5F" w:rsidP="00B04415">
      <w:pPr>
        <w:numPr>
          <w:ilvl w:val="0"/>
          <w:numId w:val="14"/>
        </w:numPr>
        <w:spacing w:after="0" w:line="360" w:lineRule="auto"/>
        <w:jc w:val="both"/>
        <w:rPr>
          <w:rFonts w:cs="Times New Roman"/>
          <w:szCs w:val="24"/>
        </w:rPr>
      </w:pPr>
      <w:r w:rsidRPr="00986F85">
        <w:rPr>
          <w:rFonts w:cs="Times New Roman"/>
          <w:szCs w:val="24"/>
        </w:rPr>
        <w:t xml:space="preserve">megtisztítottuk a </w:t>
      </w:r>
      <w:r w:rsidR="00A323F6" w:rsidRPr="00986F85">
        <w:rPr>
          <w:rFonts w:cs="Times New Roman"/>
          <w:szCs w:val="24"/>
        </w:rPr>
        <w:t>kapcsolt adatbázist</w:t>
      </w:r>
      <w:r w:rsidRPr="00986F85">
        <w:rPr>
          <w:rFonts w:cs="Times New Roman"/>
          <w:szCs w:val="24"/>
        </w:rPr>
        <w:t>,</w:t>
      </w:r>
      <w:r w:rsidR="00954D7C" w:rsidRPr="00986F85">
        <w:rPr>
          <w:rFonts w:cs="Times New Roman"/>
          <w:szCs w:val="24"/>
        </w:rPr>
        <w:t xml:space="preserve"> és </w:t>
      </w:r>
      <w:r w:rsidR="00A323F6" w:rsidRPr="00986F85">
        <w:rPr>
          <w:rFonts w:cs="Times New Roman"/>
          <w:szCs w:val="24"/>
        </w:rPr>
        <w:t>leíró statisztikai elemzést készít</w:t>
      </w:r>
      <w:r w:rsidR="00954D7C" w:rsidRPr="00986F85">
        <w:rPr>
          <w:rFonts w:cs="Times New Roman"/>
          <w:szCs w:val="24"/>
        </w:rPr>
        <w:t>ett</w:t>
      </w:r>
      <w:r w:rsidR="00A323F6" w:rsidRPr="00986F85">
        <w:rPr>
          <w:rFonts w:cs="Times New Roman"/>
          <w:szCs w:val="24"/>
        </w:rPr>
        <w:t>ünk az anonim vállalati adat</w:t>
      </w:r>
      <w:r w:rsidR="00954D7C" w:rsidRPr="00986F85">
        <w:rPr>
          <w:rFonts w:cs="Times New Roman"/>
          <w:szCs w:val="24"/>
        </w:rPr>
        <w:t>okon, végül</w:t>
      </w:r>
    </w:p>
    <w:p w14:paraId="757F05F9" w14:textId="77777777" w:rsidR="00A323F6" w:rsidRPr="00986F85" w:rsidRDefault="00A323F6" w:rsidP="00B04415">
      <w:pPr>
        <w:numPr>
          <w:ilvl w:val="0"/>
          <w:numId w:val="14"/>
        </w:numPr>
        <w:spacing w:after="0" w:line="360" w:lineRule="auto"/>
        <w:jc w:val="both"/>
        <w:rPr>
          <w:rFonts w:cs="Times New Roman"/>
          <w:szCs w:val="24"/>
        </w:rPr>
      </w:pPr>
      <w:r w:rsidRPr="00986F85">
        <w:rPr>
          <w:rFonts w:cs="Times New Roman"/>
          <w:szCs w:val="24"/>
        </w:rPr>
        <w:lastRenderedPageBreak/>
        <w:t xml:space="preserve">szakértői műhely (NFÜ bevonásával) </w:t>
      </w:r>
      <w:r w:rsidR="00C4011A" w:rsidRPr="00986F85">
        <w:rPr>
          <w:rFonts w:cs="Times New Roman"/>
          <w:szCs w:val="24"/>
        </w:rPr>
        <w:t xml:space="preserve">keretében megvitatattuk a köztes eredményeket. </w:t>
      </w:r>
    </w:p>
    <w:p w14:paraId="25151B4B" w14:textId="77777777" w:rsidR="005B6AA0" w:rsidRPr="00986F85" w:rsidRDefault="005B6AA0" w:rsidP="00B04415">
      <w:pPr>
        <w:spacing w:after="0" w:line="360" w:lineRule="auto"/>
        <w:jc w:val="both"/>
        <w:rPr>
          <w:rFonts w:cs="Times New Roman"/>
          <w:szCs w:val="24"/>
        </w:rPr>
      </w:pPr>
    </w:p>
    <w:p w14:paraId="35C4CD36" w14:textId="77777777" w:rsidR="009A68E7" w:rsidRPr="00986F85" w:rsidRDefault="00F96F6E" w:rsidP="00B04415">
      <w:pPr>
        <w:spacing w:after="0" w:line="360" w:lineRule="auto"/>
        <w:jc w:val="both"/>
        <w:rPr>
          <w:rFonts w:cs="Times New Roman"/>
          <w:szCs w:val="24"/>
        </w:rPr>
      </w:pPr>
      <w:r w:rsidRPr="00986F85">
        <w:rPr>
          <w:rFonts w:cs="Times New Roman"/>
          <w:szCs w:val="24"/>
        </w:rPr>
        <w:t>Ezt követően átfogó elemzést készítettünk a nyertes pályázókat és a kontrol</w:t>
      </w:r>
      <w:r w:rsidR="00370E86" w:rsidRPr="00986F85">
        <w:rPr>
          <w:rFonts w:cs="Times New Roman"/>
          <w:szCs w:val="24"/>
        </w:rPr>
        <w:t>l</w:t>
      </w:r>
      <w:r w:rsidRPr="00986F85">
        <w:rPr>
          <w:rFonts w:cs="Times New Roman"/>
          <w:szCs w:val="24"/>
        </w:rPr>
        <w:t xml:space="preserve"> </w:t>
      </w:r>
      <w:r w:rsidR="00287F28" w:rsidRPr="00986F85">
        <w:rPr>
          <w:rFonts w:cs="Times New Roman"/>
          <w:szCs w:val="24"/>
        </w:rPr>
        <w:t xml:space="preserve">(azaz, a nem pályázók és nem nyertesek) </w:t>
      </w:r>
      <w:r w:rsidRPr="00986F85">
        <w:rPr>
          <w:rFonts w:cs="Times New Roman"/>
          <w:szCs w:val="24"/>
        </w:rPr>
        <w:t>adatbázis</w:t>
      </w:r>
      <w:r w:rsidR="00287F28" w:rsidRPr="00986F85">
        <w:rPr>
          <w:rFonts w:cs="Times New Roman"/>
          <w:szCs w:val="24"/>
        </w:rPr>
        <w:t>á</w:t>
      </w:r>
      <w:r w:rsidRPr="00986F85">
        <w:rPr>
          <w:rFonts w:cs="Times New Roman"/>
          <w:szCs w:val="24"/>
        </w:rPr>
        <w:t xml:space="preserve">ban található vállalkozások jelenlegi és múltbeli gazdasági teljesítményét, vállalati jellemzőit – kiemelten területi és ágazati bontásban kimutatható varianciáit illetően. </w:t>
      </w:r>
      <w:r w:rsidR="00780FEA" w:rsidRPr="00986F85">
        <w:rPr>
          <w:rFonts w:cs="Times New Roman"/>
          <w:szCs w:val="24"/>
        </w:rPr>
        <w:t>A</w:t>
      </w:r>
      <w:r w:rsidR="00496741" w:rsidRPr="00986F85">
        <w:rPr>
          <w:rFonts w:cs="Times New Roman"/>
          <w:szCs w:val="24"/>
        </w:rPr>
        <w:t xml:space="preserve"> leíró </w:t>
      </w:r>
      <w:r w:rsidRPr="00986F85">
        <w:rPr>
          <w:rFonts w:cs="Times New Roman"/>
          <w:szCs w:val="24"/>
        </w:rPr>
        <w:t xml:space="preserve">statisztikákat készítettünk </w:t>
      </w:r>
      <w:r w:rsidR="00496741" w:rsidRPr="00986F85">
        <w:rPr>
          <w:rFonts w:cs="Times New Roman"/>
          <w:szCs w:val="24"/>
        </w:rPr>
        <w:t>a GOP</w:t>
      </w:r>
      <w:r w:rsidRPr="00986F85">
        <w:rPr>
          <w:rFonts w:cs="Times New Roman"/>
          <w:szCs w:val="24"/>
        </w:rPr>
        <w:t>2.1.1.</w:t>
      </w:r>
      <w:r w:rsidR="00EE5EE0" w:rsidRPr="00986F85">
        <w:rPr>
          <w:rFonts w:cs="Times New Roman"/>
          <w:szCs w:val="24"/>
        </w:rPr>
        <w:t xml:space="preserve"> és a KMOP 1.2.1.</w:t>
      </w:r>
      <w:r w:rsidRPr="00986F85">
        <w:rPr>
          <w:rFonts w:cs="Times New Roman"/>
          <w:szCs w:val="24"/>
        </w:rPr>
        <w:t xml:space="preserve"> intézkedés</w:t>
      </w:r>
      <w:r w:rsidR="00EE5EE0" w:rsidRPr="00986F85">
        <w:rPr>
          <w:rFonts w:cs="Times New Roman"/>
          <w:szCs w:val="24"/>
        </w:rPr>
        <w:t>ek</w:t>
      </w:r>
      <w:r w:rsidR="00780FEA" w:rsidRPr="00986F85">
        <w:rPr>
          <w:rFonts w:cs="Times New Roman"/>
          <w:szCs w:val="24"/>
        </w:rPr>
        <w:t xml:space="preserve"> célcsoport</w:t>
      </w:r>
      <w:r w:rsidR="00EE5EE0" w:rsidRPr="00986F85">
        <w:rPr>
          <w:rFonts w:cs="Times New Roman"/>
          <w:szCs w:val="24"/>
        </w:rPr>
        <w:t>jairól</w:t>
      </w:r>
      <w:r w:rsidRPr="00986F85">
        <w:rPr>
          <w:rFonts w:cs="Times New Roman"/>
          <w:szCs w:val="24"/>
        </w:rPr>
        <w:t xml:space="preserve"> </w:t>
      </w:r>
      <w:r w:rsidR="00496741" w:rsidRPr="00986F85">
        <w:rPr>
          <w:rFonts w:cs="Times New Roman"/>
          <w:szCs w:val="24"/>
        </w:rPr>
        <w:t xml:space="preserve">és </w:t>
      </w:r>
      <w:r w:rsidRPr="00986F85">
        <w:rPr>
          <w:rFonts w:cs="Times New Roman"/>
          <w:szCs w:val="24"/>
        </w:rPr>
        <w:t xml:space="preserve">ezen belül is a </w:t>
      </w:r>
      <w:r w:rsidR="00496741" w:rsidRPr="00986F85">
        <w:rPr>
          <w:rFonts w:cs="Times New Roman"/>
          <w:szCs w:val="24"/>
        </w:rPr>
        <w:t>nyertes pályázók</w:t>
      </w:r>
      <w:r w:rsidR="00EE5EE0" w:rsidRPr="00986F85">
        <w:rPr>
          <w:rFonts w:cs="Times New Roman"/>
          <w:szCs w:val="24"/>
        </w:rPr>
        <w:t>ról</w:t>
      </w:r>
      <w:r w:rsidR="00496741" w:rsidRPr="00986F85">
        <w:rPr>
          <w:rFonts w:cs="Times New Roman"/>
          <w:szCs w:val="24"/>
        </w:rPr>
        <w:t xml:space="preserve"> </w:t>
      </w:r>
      <w:r w:rsidR="00780FEA" w:rsidRPr="00986F85">
        <w:rPr>
          <w:rFonts w:cs="Times New Roman"/>
          <w:szCs w:val="24"/>
        </w:rPr>
        <w:t xml:space="preserve">alábbi </w:t>
      </w:r>
      <w:r w:rsidR="00EE5EE0" w:rsidRPr="00986F85">
        <w:rPr>
          <w:rFonts w:cs="Times New Roman"/>
          <w:szCs w:val="24"/>
        </w:rPr>
        <w:t>szempontok szerint</w:t>
      </w:r>
      <w:r w:rsidR="00B93BFD" w:rsidRPr="00986F85">
        <w:rPr>
          <w:rFonts w:cs="Times New Roman"/>
          <w:szCs w:val="24"/>
        </w:rPr>
        <w:t xml:space="preserve">. </w:t>
      </w:r>
    </w:p>
    <w:p w14:paraId="5A015699" w14:textId="77777777" w:rsidR="00A152C2" w:rsidRPr="00986F85" w:rsidRDefault="005657E8" w:rsidP="00A152C2">
      <w:pPr>
        <w:pStyle w:val="Kpalrs"/>
        <w:keepNext/>
      </w:pPr>
      <w:fldSimple w:instr=" SEQ táblázat \* ARABIC ">
        <w:bookmarkStart w:id="11" w:name="_Toc230854347"/>
        <w:r w:rsidR="00255252" w:rsidRPr="00986F85">
          <w:rPr>
            <w:noProof/>
          </w:rPr>
          <w:t>2</w:t>
        </w:r>
      </w:fldSimple>
      <w:r w:rsidR="00A152C2" w:rsidRPr="00986F85">
        <w:t>. táblázat:</w:t>
      </w:r>
      <w:r w:rsidR="00A152C2" w:rsidRPr="00986F85">
        <w:rPr>
          <w:rFonts w:cs="Times New Roman"/>
        </w:rPr>
        <w:t xml:space="preserve"> Leíró elemzés fő szempontjai</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496741" w:rsidRPr="00986F85" w14:paraId="51F268D2" w14:textId="77777777" w:rsidTr="0015414F">
        <w:tc>
          <w:tcPr>
            <w:tcW w:w="4644" w:type="dxa"/>
            <w:shd w:val="clear" w:color="auto" w:fill="B10000"/>
            <w:vAlign w:val="center"/>
          </w:tcPr>
          <w:p w14:paraId="00641E74" w14:textId="77777777" w:rsidR="00496741" w:rsidRPr="00986F85" w:rsidRDefault="00496741" w:rsidP="0015414F">
            <w:pPr>
              <w:spacing w:after="0" w:line="360" w:lineRule="auto"/>
              <w:jc w:val="center"/>
              <w:rPr>
                <w:rFonts w:cs="Times New Roman"/>
                <w:b/>
                <w:szCs w:val="24"/>
              </w:rPr>
            </w:pPr>
            <w:r w:rsidRPr="00986F85">
              <w:rPr>
                <w:rFonts w:cs="Times New Roman"/>
                <w:b/>
                <w:szCs w:val="24"/>
              </w:rPr>
              <w:t>Kezelt csoport – nyertes pályázók</w:t>
            </w:r>
          </w:p>
          <w:p w14:paraId="1BF0E6B7" w14:textId="77777777" w:rsidR="00496741" w:rsidRPr="00986F85" w:rsidRDefault="00496741" w:rsidP="0015414F">
            <w:pPr>
              <w:spacing w:after="0" w:line="360" w:lineRule="auto"/>
              <w:jc w:val="center"/>
              <w:rPr>
                <w:rFonts w:cs="Times New Roman"/>
                <w:b/>
                <w:szCs w:val="24"/>
              </w:rPr>
            </w:pPr>
          </w:p>
        </w:tc>
        <w:tc>
          <w:tcPr>
            <w:tcW w:w="4644" w:type="dxa"/>
            <w:shd w:val="clear" w:color="auto" w:fill="B10000"/>
            <w:vAlign w:val="center"/>
          </w:tcPr>
          <w:p w14:paraId="03CFB228" w14:textId="77777777" w:rsidR="00496741" w:rsidRPr="00986F85" w:rsidRDefault="00062379" w:rsidP="0015414F">
            <w:pPr>
              <w:spacing w:after="0" w:line="360" w:lineRule="auto"/>
              <w:jc w:val="center"/>
              <w:rPr>
                <w:rFonts w:cs="Times New Roman"/>
                <w:b/>
                <w:szCs w:val="24"/>
              </w:rPr>
            </w:pPr>
            <w:r w:rsidRPr="00986F85">
              <w:rPr>
                <w:rFonts w:cs="Times New Roman"/>
                <w:b/>
                <w:szCs w:val="24"/>
              </w:rPr>
              <w:t>Kontroll</w:t>
            </w:r>
            <w:r w:rsidR="00496741" w:rsidRPr="00986F85">
              <w:rPr>
                <w:rFonts w:cs="Times New Roman"/>
                <w:b/>
                <w:szCs w:val="24"/>
              </w:rPr>
              <w:t xml:space="preserve"> csoport</w:t>
            </w:r>
            <w:r w:rsidR="002457FA" w:rsidRPr="00986F85">
              <w:rPr>
                <w:rFonts w:cs="Times New Roman"/>
                <w:b/>
                <w:szCs w:val="24"/>
              </w:rPr>
              <w:t xml:space="preserve"> – nem nyertesek, nem pályázók</w:t>
            </w:r>
          </w:p>
        </w:tc>
      </w:tr>
      <w:tr w:rsidR="00496741" w:rsidRPr="00986F85" w14:paraId="7C78A87A" w14:textId="77777777" w:rsidTr="0015414F">
        <w:tc>
          <w:tcPr>
            <w:tcW w:w="4644" w:type="dxa"/>
            <w:shd w:val="clear" w:color="auto" w:fill="auto"/>
            <w:vAlign w:val="center"/>
          </w:tcPr>
          <w:p w14:paraId="5BAC1448" w14:textId="77777777" w:rsidR="006A3D01" w:rsidRPr="00986F85" w:rsidRDefault="006A3D01" w:rsidP="0015414F">
            <w:pPr>
              <w:numPr>
                <w:ilvl w:val="0"/>
                <w:numId w:val="14"/>
              </w:numPr>
              <w:spacing w:after="0" w:line="360" w:lineRule="auto"/>
              <w:rPr>
                <w:rFonts w:cs="Times New Roman"/>
                <w:szCs w:val="24"/>
              </w:rPr>
            </w:pPr>
            <w:r w:rsidRPr="00986F85">
              <w:rPr>
                <w:rFonts w:cs="Times New Roman"/>
                <w:szCs w:val="24"/>
              </w:rPr>
              <w:t>területi  és ágazati megoszlása</w:t>
            </w:r>
          </w:p>
          <w:p w14:paraId="7392FFBF" w14:textId="77777777" w:rsidR="006A3D01" w:rsidRPr="00986F85" w:rsidRDefault="006A3D01" w:rsidP="0015414F">
            <w:pPr>
              <w:numPr>
                <w:ilvl w:val="0"/>
                <w:numId w:val="14"/>
              </w:numPr>
              <w:spacing w:after="0" w:line="360" w:lineRule="auto"/>
              <w:rPr>
                <w:rFonts w:cs="Times New Roman"/>
                <w:szCs w:val="24"/>
              </w:rPr>
            </w:pPr>
            <w:r w:rsidRPr="00986F85">
              <w:rPr>
                <w:rFonts w:cs="Times New Roman"/>
                <w:szCs w:val="24"/>
              </w:rPr>
              <w:t>vállalati életciklusa</w:t>
            </w:r>
          </w:p>
          <w:p w14:paraId="696A2A4F" w14:textId="77777777" w:rsidR="00496741" w:rsidRPr="00986F85" w:rsidRDefault="00F96F6E" w:rsidP="001C06A3">
            <w:pPr>
              <w:numPr>
                <w:ilvl w:val="0"/>
                <w:numId w:val="14"/>
              </w:numPr>
              <w:spacing w:after="0" w:line="360" w:lineRule="auto"/>
              <w:rPr>
                <w:rFonts w:cs="Times New Roman"/>
                <w:szCs w:val="24"/>
              </w:rPr>
            </w:pPr>
            <w:r w:rsidRPr="00986F85">
              <w:rPr>
                <w:rFonts w:cs="Times New Roman"/>
                <w:szCs w:val="24"/>
              </w:rPr>
              <w:t xml:space="preserve">eredményessége </w:t>
            </w:r>
          </w:p>
        </w:tc>
        <w:tc>
          <w:tcPr>
            <w:tcW w:w="4644" w:type="dxa"/>
            <w:shd w:val="clear" w:color="auto" w:fill="auto"/>
            <w:vAlign w:val="center"/>
          </w:tcPr>
          <w:p w14:paraId="28E61681" w14:textId="77777777" w:rsidR="006A3D01" w:rsidRPr="00986F85" w:rsidRDefault="006A3D01" w:rsidP="0015414F">
            <w:pPr>
              <w:numPr>
                <w:ilvl w:val="0"/>
                <w:numId w:val="14"/>
              </w:numPr>
              <w:spacing w:after="0" w:line="360" w:lineRule="auto"/>
              <w:rPr>
                <w:rFonts w:cs="Times New Roman"/>
                <w:szCs w:val="24"/>
              </w:rPr>
            </w:pPr>
            <w:r w:rsidRPr="00986F85">
              <w:rPr>
                <w:rFonts w:cs="Times New Roman"/>
                <w:szCs w:val="24"/>
              </w:rPr>
              <w:t>területi  és ágazati megoszlása</w:t>
            </w:r>
          </w:p>
          <w:p w14:paraId="1DFA2BBB" w14:textId="77777777" w:rsidR="006A3D01" w:rsidRPr="00986F85" w:rsidRDefault="006A3D01" w:rsidP="0015414F">
            <w:pPr>
              <w:numPr>
                <w:ilvl w:val="0"/>
                <w:numId w:val="14"/>
              </w:numPr>
              <w:spacing w:after="0" w:line="360" w:lineRule="auto"/>
              <w:rPr>
                <w:rFonts w:cs="Times New Roman"/>
                <w:szCs w:val="24"/>
              </w:rPr>
            </w:pPr>
            <w:r w:rsidRPr="00986F85">
              <w:rPr>
                <w:rFonts w:cs="Times New Roman"/>
                <w:szCs w:val="24"/>
              </w:rPr>
              <w:t>vállalati életciklusa</w:t>
            </w:r>
          </w:p>
          <w:p w14:paraId="216C68BF" w14:textId="77777777" w:rsidR="006A3D01" w:rsidRPr="00986F85" w:rsidRDefault="00F96F6E" w:rsidP="0015414F">
            <w:pPr>
              <w:numPr>
                <w:ilvl w:val="0"/>
                <w:numId w:val="14"/>
              </w:numPr>
              <w:spacing w:after="0" w:line="360" w:lineRule="auto"/>
              <w:rPr>
                <w:rFonts w:cs="Times New Roman"/>
                <w:szCs w:val="24"/>
              </w:rPr>
            </w:pPr>
            <w:r w:rsidRPr="00986F85">
              <w:rPr>
                <w:rFonts w:cs="Times New Roman"/>
                <w:szCs w:val="24"/>
              </w:rPr>
              <w:t xml:space="preserve">eredményessége </w:t>
            </w:r>
          </w:p>
          <w:p w14:paraId="56FB299F" w14:textId="77777777" w:rsidR="00496741" w:rsidRPr="00986F85" w:rsidRDefault="00346E48" w:rsidP="0015414F">
            <w:pPr>
              <w:numPr>
                <w:ilvl w:val="0"/>
                <w:numId w:val="14"/>
              </w:numPr>
              <w:spacing w:after="0" w:line="360" w:lineRule="auto"/>
              <w:rPr>
                <w:rFonts w:cs="Times New Roman"/>
                <w:szCs w:val="24"/>
              </w:rPr>
            </w:pPr>
            <w:r w:rsidRPr="00986F85">
              <w:rPr>
                <w:rFonts w:cs="Times New Roman"/>
                <w:szCs w:val="24"/>
              </w:rPr>
              <w:t xml:space="preserve">múltbeli teljesítménye, kiemelten a </w:t>
            </w:r>
            <w:r w:rsidR="006A3D01" w:rsidRPr="00986F85">
              <w:rPr>
                <w:rFonts w:cs="Times New Roman"/>
                <w:szCs w:val="24"/>
              </w:rPr>
              <w:t>2008</w:t>
            </w:r>
            <w:r w:rsidRPr="00986F85">
              <w:rPr>
                <w:rFonts w:cs="Times New Roman"/>
                <w:szCs w:val="24"/>
              </w:rPr>
              <w:t xml:space="preserve">. évi </w:t>
            </w:r>
            <w:r w:rsidR="006A3D01" w:rsidRPr="00986F85">
              <w:rPr>
                <w:rFonts w:cs="Times New Roman"/>
                <w:szCs w:val="24"/>
              </w:rPr>
              <w:t>válság</w:t>
            </w:r>
            <w:r w:rsidRPr="00986F85">
              <w:rPr>
                <w:rFonts w:cs="Times New Roman"/>
                <w:szCs w:val="24"/>
              </w:rPr>
              <w:t>ot követően</w:t>
            </w:r>
          </w:p>
        </w:tc>
      </w:tr>
    </w:tbl>
    <w:p w14:paraId="3BE449DB" w14:textId="77777777" w:rsidR="003D0561" w:rsidRPr="00986F85" w:rsidRDefault="003D0561" w:rsidP="00B04415">
      <w:pPr>
        <w:spacing w:after="0" w:line="360" w:lineRule="auto"/>
        <w:jc w:val="both"/>
        <w:rPr>
          <w:rFonts w:cs="Times New Roman"/>
          <w:szCs w:val="24"/>
        </w:rPr>
      </w:pPr>
    </w:p>
    <w:p w14:paraId="3FF22203" w14:textId="77777777" w:rsidR="004A7E48" w:rsidRPr="00986F85" w:rsidRDefault="003D0561" w:rsidP="00B04415">
      <w:pPr>
        <w:spacing w:after="0" w:line="360" w:lineRule="auto"/>
        <w:jc w:val="both"/>
        <w:rPr>
          <w:rFonts w:cs="Times New Roman"/>
          <w:szCs w:val="24"/>
        </w:rPr>
      </w:pPr>
      <w:r w:rsidRPr="00986F85">
        <w:rPr>
          <w:rFonts w:cs="Times New Roman"/>
          <w:szCs w:val="24"/>
        </w:rPr>
        <w:t>Mint ahogy az előzetes egyeztetéseken jeleztük, a teljes körű hatásvizsgálat szempontjából l</w:t>
      </w:r>
      <w:r w:rsidR="004A7E48" w:rsidRPr="00986F85">
        <w:rPr>
          <w:rFonts w:cs="Times New Roman"/>
          <w:szCs w:val="24"/>
        </w:rPr>
        <w:t>ényeges, hogy a</w:t>
      </w:r>
      <w:r w:rsidRPr="00986F85">
        <w:rPr>
          <w:rFonts w:cs="Times New Roman"/>
          <w:szCs w:val="24"/>
        </w:rPr>
        <w:t xml:space="preserve"> vállalati </w:t>
      </w:r>
      <w:r w:rsidR="004A7E48" w:rsidRPr="00986F85">
        <w:rPr>
          <w:rFonts w:cs="Times New Roman"/>
          <w:szCs w:val="24"/>
        </w:rPr>
        <w:t>adatbázis</w:t>
      </w:r>
      <w:r w:rsidRPr="00986F85">
        <w:rPr>
          <w:rFonts w:cs="Times New Roman"/>
          <w:szCs w:val="24"/>
        </w:rPr>
        <w:t xml:space="preserve">ok tartalmazzák: </w:t>
      </w:r>
    </w:p>
    <w:p w14:paraId="470FA38F" w14:textId="77777777" w:rsidR="00283486" w:rsidRPr="00986F85" w:rsidRDefault="00283486" w:rsidP="00B04415">
      <w:pPr>
        <w:numPr>
          <w:ilvl w:val="0"/>
          <w:numId w:val="14"/>
        </w:numPr>
        <w:spacing w:after="0" w:line="360" w:lineRule="auto"/>
        <w:jc w:val="both"/>
        <w:rPr>
          <w:rFonts w:cs="Times New Roman"/>
          <w:szCs w:val="24"/>
        </w:rPr>
      </w:pPr>
      <w:r w:rsidRPr="00986F85">
        <w:rPr>
          <w:rFonts w:cs="Times New Roman"/>
          <w:szCs w:val="24"/>
        </w:rPr>
        <w:t>mind a nyertes, mind a nem nyertes pályázókat</w:t>
      </w:r>
    </w:p>
    <w:p w14:paraId="3E026FF4" w14:textId="77777777" w:rsidR="004A7E48" w:rsidRPr="00986F85" w:rsidRDefault="004A7E48" w:rsidP="00B04415">
      <w:pPr>
        <w:numPr>
          <w:ilvl w:val="0"/>
          <w:numId w:val="14"/>
        </w:numPr>
        <w:spacing w:after="0" w:line="360" w:lineRule="auto"/>
        <w:jc w:val="both"/>
        <w:rPr>
          <w:rFonts w:cs="Times New Roman"/>
          <w:szCs w:val="24"/>
        </w:rPr>
      </w:pPr>
      <w:r w:rsidRPr="00986F85">
        <w:rPr>
          <w:rFonts w:cs="Times New Roman"/>
          <w:szCs w:val="24"/>
        </w:rPr>
        <w:t>az érintett vállalatok (min.kétszámjegyű mélységű) iparági besorolását</w:t>
      </w:r>
    </w:p>
    <w:p w14:paraId="7E8DB6A8" w14:textId="77777777" w:rsidR="004A7E48" w:rsidRPr="00986F85" w:rsidRDefault="004A7E48" w:rsidP="00B04415">
      <w:pPr>
        <w:numPr>
          <w:ilvl w:val="0"/>
          <w:numId w:val="14"/>
        </w:numPr>
        <w:spacing w:after="0" w:line="360" w:lineRule="auto"/>
        <w:jc w:val="both"/>
        <w:rPr>
          <w:rFonts w:cs="Times New Roman"/>
          <w:szCs w:val="24"/>
        </w:rPr>
      </w:pPr>
      <w:r w:rsidRPr="00986F85">
        <w:rPr>
          <w:rFonts w:cs="Times New Roman"/>
          <w:szCs w:val="24"/>
        </w:rPr>
        <w:t>foglalkoztatotti létszámát</w:t>
      </w:r>
    </w:p>
    <w:p w14:paraId="1DA55520" w14:textId="77777777" w:rsidR="00283486" w:rsidRPr="00986F85" w:rsidRDefault="00283486" w:rsidP="00B04415">
      <w:pPr>
        <w:numPr>
          <w:ilvl w:val="0"/>
          <w:numId w:val="14"/>
        </w:numPr>
        <w:spacing w:after="0" w:line="360" w:lineRule="auto"/>
        <w:jc w:val="both"/>
        <w:rPr>
          <w:rFonts w:cs="Times New Roman"/>
          <w:szCs w:val="24"/>
        </w:rPr>
      </w:pPr>
      <w:r w:rsidRPr="00986F85">
        <w:rPr>
          <w:rFonts w:cs="Times New Roman"/>
          <w:szCs w:val="24"/>
        </w:rPr>
        <w:t>kistérségi besorolását (székhely szerint)</w:t>
      </w:r>
    </w:p>
    <w:p w14:paraId="6ABF7D78" w14:textId="77777777" w:rsidR="004A7E48" w:rsidRPr="00986F85" w:rsidRDefault="004A7E48" w:rsidP="00B04415">
      <w:pPr>
        <w:numPr>
          <w:ilvl w:val="0"/>
          <w:numId w:val="14"/>
        </w:numPr>
        <w:spacing w:after="0" w:line="360" w:lineRule="auto"/>
        <w:jc w:val="both"/>
        <w:rPr>
          <w:rFonts w:cs="Times New Roman"/>
          <w:szCs w:val="24"/>
        </w:rPr>
      </w:pPr>
      <w:r w:rsidRPr="00986F85">
        <w:rPr>
          <w:rFonts w:cs="Times New Roman"/>
          <w:szCs w:val="24"/>
        </w:rPr>
        <w:t xml:space="preserve">a vállalatok legfontosabb mérleg- és eredménykimutatás adatait (értékesítés, állóeszközök, adózás előtti és adózott eredmény, bér- és anyagköltség), továbbá </w:t>
      </w:r>
    </w:p>
    <w:p w14:paraId="4F3D646C" w14:textId="77777777" w:rsidR="004A7E48" w:rsidRPr="00986F85" w:rsidRDefault="004A7E48" w:rsidP="00B04415">
      <w:pPr>
        <w:numPr>
          <w:ilvl w:val="0"/>
          <w:numId w:val="14"/>
        </w:numPr>
        <w:spacing w:after="0" w:line="360" w:lineRule="auto"/>
        <w:jc w:val="both"/>
        <w:rPr>
          <w:rFonts w:cs="Times New Roman"/>
          <w:szCs w:val="24"/>
        </w:rPr>
      </w:pPr>
      <w:r w:rsidRPr="00986F85">
        <w:rPr>
          <w:rFonts w:cs="Times New Roman"/>
          <w:szCs w:val="24"/>
        </w:rPr>
        <w:t>néhány évet a támogatás előtti időszakból is</w:t>
      </w:r>
      <w:r w:rsidR="001C1890" w:rsidRPr="00986F85">
        <w:rPr>
          <w:rFonts w:cs="Times New Roman"/>
          <w:szCs w:val="24"/>
        </w:rPr>
        <w:t xml:space="preserve">, </w:t>
      </w:r>
      <w:r w:rsidRPr="00986F85">
        <w:rPr>
          <w:rFonts w:cs="Times New Roman"/>
          <w:szCs w:val="24"/>
        </w:rPr>
        <w:t>lehetőleg 2005-ig</w:t>
      </w:r>
      <w:r w:rsidR="001C1890" w:rsidRPr="00986F85">
        <w:rPr>
          <w:rFonts w:cs="Times New Roman"/>
          <w:szCs w:val="24"/>
        </w:rPr>
        <w:t>, de ideális esetben 2002-ig visszamenően</w:t>
      </w:r>
      <w:r w:rsidRPr="00986F85">
        <w:rPr>
          <w:rFonts w:cs="Times New Roman"/>
          <w:szCs w:val="24"/>
        </w:rPr>
        <w:t>.</w:t>
      </w:r>
    </w:p>
    <w:p w14:paraId="0142586F" w14:textId="77777777" w:rsidR="001C1890" w:rsidRPr="00986F85" w:rsidRDefault="00912749" w:rsidP="00B04415">
      <w:pPr>
        <w:spacing w:after="0" w:line="360" w:lineRule="auto"/>
        <w:jc w:val="both"/>
        <w:rPr>
          <w:rFonts w:cs="Times New Roman"/>
          <w:szCs w:val="24"/>
        </w:rPr>
      </w:pPr>
      <w:r w:rsidRPr="00986F85">
        <w:rPr>
          <w:rFonts w:cs="Times New Roman"/>
          <w:szCs w:val="24"/>
        </w:rPr>
        <w:lastRenderedPageBreak/>
        <w:t xml:space="preserve">A fenti kritériumok közül több nem teljesült a rendelkezésünkre bocsátott adatbázisok esetében, ezen adathiányosságokra </w:t>
      </w:r>
      <w:r w:rsidR="00714427" w:rsidRPr="00986F85">
        <w:rPr>
          <w:rFonts w:cs="Times New Roman"/>
          <w:szCs w:val="24"/>
        </w:rPr>
        <w:t xml:space="preserve">és az ebből fakadó korlátozott elemzési lehetőségekre </w:t>
      </w:r>
      <w:r w:rsidRPr="00986F85">
        <w:rPr>
          <w:rFonts w:cs="Times New Roman"/>
          <w:szCs w:val="24"/>
        </w:rPr>
        <w:t>szintén kitérünk a következő fejezetben.</w:t>
      </w:r>
    </w:p>
    <w:p w14:paraId="69473B97" w14:textId="77777777" w:rsidR="008070B6" w:rsidRPr="00986F85" w:rsidRDefault="00B93BFD" w:rsidP="00B04415">
      <w:pPr>
        <w:snapToGrid w:val="0"/>
        <w:spacing w:after="0" w:line="360" w:lineRule="auto"/>
        <w:jc w:val="both"/>
        <w:rPr>
          <w:rFonts w:eastAsia="Times New Roman" w:cs="Times New Roman"/>
          <w:szCs w:val="24"/>
        </w:rPr>
      </w:pPr>
      <w:r w:rsidRPr="00986F85">
        <w:rPr>
          <w:rFonts w:cs="Times New Roman"/>
          <w:szCs w:val="24"/>
        </w:rPr>
        <w:t>Végül, de nem utolsó sorban</w:t>
      </w:r>
      <w:r w:rsidR="008070B6" w:rsidRPr="00986F85">
        <w:rPr>
          <w:rFonts w:cs="Times New Roman"/>
          <w:szCs w:val="24"/>
        </w:rPr>
        <w:t>:</w:t>
      </w:r>
      <w:r w:rsidR="008070B6" w:rsidRPr="00986F85">
        <w:rPr>
          <w:rFonts w:eastAsia="Times New Roman" w:cs="Times New Roman"/>
          <w:szCs w:val="24"/>
        </w:rPr>
        <w:t xml:space="preserve"> </w:t>
      </w:r>
    </w:p>
    <w:p w14:paraId="6CC60292" w14:textId="77777777" w:rsidR="008070B6" w:rsidRPr="00986F85" w:rsidRDefault="00B93BFD" w:rsidP="00B04415">
      <w:pPr>
        <w:numPr>
          <w:ilvl w:val="0"/>
          <w:numId w:val="14"/>
        </w:numPr>
        <w:spacing w:after="0" w:line="360" w:lineRule="auto"/>
        <w:jc w:val="both"/>
        <w:rPr>
          <w:rFonts w:cs="Times New Roman"/>
          <w:szCs w:val="24"/>
        </w:rPr>
      </w:pPr>
      <w:r w:rsidRPr="00986F85">
        <w:rPr>
          <w:rFonts w:cs="Times New Roman"/>
          <w:szCs w:val="24"/>
        </w:rPr>
        <w:t>rendszerezt</w:t>
      </w:r>
      <w:r w:rsidR="008070B6" w:rsidRPr="00986F85">
        <w:rPr>
          <w:rFonts w:cs="Times New Roman"/>
          <w:szCs w:val="24"/>
        </w:rPr>
        <w:t xml:space="preserve">ük a hatásvizsgálat során fellépő módszertani kihívásokat és problémákat </w:t>
      </w:r>
    </w:p>
    <w:p w14:paraId="035D83DE" w14:textId="77777777" w:rsidR="008070B6" w:rsidRPr="00986F85" w:rsidRDefault="008070B6" w:rsidP="00B04415">
      <w:pPr>
        <w:numPr>
          <w:ilvl w:val="0"/>
          <w:numId w:val="14"/>
        </w:numPr>
        <w:spacing w:after="0" w:line="360" w:lineRule="auto"/>
        <w:jc w:val="both"/>
        <w:rPr>
          <w:rFonts w:cs="Times New Roman"/>
          <w:szCs w:val="24"/>
        </w:rPr>
      </w:pPr>
      <w:r w:rsidRPr="00986F85">
        <w:rPr>
          <w:rFonts w:cs="Times New Roman"/>
          <w:szCs w:val="24"/>
        </w:rPr>
        <w:t>szakértői műhelyt tart</w:t>
      </w:r>
      <w:r w:rsidR="00B93BFD" w:rsidRPr="00986F85">
        <w:rPr>
          <w:rFonts w:cs="Times New Roman"/>
          <w:szCs w:val="24"/>
        </w:rPr>
        <w:t>ott</w:t>
      </w:r>
      <w:r w:rsidRPr="00986F85">
        <w:rPr>
          <w:rFonts w:cs="Times New Roman"/>
          <w:szCs w:val="24"/>
        </w:rPr>
        <w:t xml:space="preserve">unk az esetleges adatgyűjtési, -hozzáférési és  </w:t>
      </w:r>
      <w:r w:rsidR="0019639B" w:rsidRPr="00986F85">
        <w:rPr>
          <w:rFonts w:cs="Times New Roman"/>
          <w:szCs w:val="24"/>
        </w:rPr>
        <w:t>-</w:t>
      </w:r>
      <w:r w:rsidRPr="00986F85">
        <w:rPr>
          <w:rFonts w:cs="Times New Roman"/>
          <w:szCs w:val="24"/>
        </w:rPr>
        <w:t xml:space="preserve">elemzési problémák lehetséges megoldásairól </w:t>
      </w:r>
    </w:p>
    <w:p w14:paraId="3598939F" w14:textId="77777777" w:rsidR="008070B6" w:rsidRPr="00986F85" w:rsidRDefault="008070B6" w:rsidP="00B04415">
      <w:pPr>
        <w:numPr>
          <w:ilvl w:val="0"/>
          <w:numId w:val="14"/>
        </w:numPr>
        <w:spacing w:after="0" w:line="360" w:lineRule="auto"/>
        <w:jc w:val="both"/>
        <w:rPr>
          <w:rFonts w:cs="Times New Roman"/>
          <w:szCs w:val="24"/>
        </w:rPr>
      </w:pPr>
      <w:r w:rsidRPr="00986F85">
        <w:rPr>
          <w:rFonts w:cs="Times New Roman"/>
          <w:szCs w:val="24"/>
        </w:rPr>
        <w:t>átfogó és részletes javaslatokat fogalmaz</w:t>
      </w:r>
      <w:r w:rsidR="00714427" w:rsidRPr="00986F85">
        <w:rPr>
          <w:rFonts w:cs="Times New Roman"/>
          <w:szCs w:val="24"/>
        </w:rPr>
        <w:t>t</w:t>
      </w:r>
      <w:r w:rsidRPr="00986F85">
        <w:rPr>
          <w:rFonts w:cs="Times New Roman"/>
          <w:szCs w:val="24"/>
        </w:rPr>
        <w:t xml:space="preserve">unk meg az adatgyűjtési és </w:t>
      </w:r>
      <w:r w:rsidR="0019639B" w:rsidRPr="00986F85">
        <w:rPr>
          <w:rFonts w:cs="Times New Roman"/>
          <w:szCs w:val="24"/>
        </w:rPr>
        <w:t>-</w:t>
      </w:r>
      <w:r w:rsidRPr="00986F85">
        <w:rPr>
          <w:rFonts w:cs="Times New Roman"/>
          <w:szCs w:val="24"/>
        </w:rPr>
        <w:t xml:space="preserve">feldolgozási rendszer javítására, jövőbeni hatásvizsgálatok finomítása céljából. </w:t>
      </w:r>
    </w:p>
    <w:p w14:paraId="3964088A" w14:textId="77777777" w:rsidR="009A6CA9" w:rsidRPr="00986F85" w:rsidRDefault="007F1135" w:rsidP="00B024B7">
      <w:pPr>
        <w:snapToGrid w:val="0"/>
        <w:spacing w:after="0" w:line="360" w:lineRule="auto"/>
        <w:jc w:val="both"/>
        <w:rPr>
          <w:rFonts w:eastAsia="Times New Roman" w:cs="Times New Roman"/>
          <w:szCs w:val="24"/>
        </w:rPr>
      </w:pPr>
      <w:r w:rsidRPr="00986F85">
        <w:rPr>
          <w:rFonts w:cs="Times New Roman"/>
          <w:szCs w:val="24"/>
        </w:rPr>
        <w:t>A</w:t>
      </w:r>
      <w:r w:rsidRPr="00986F85">
        <w:rPr>
          <w:rFonts w:eastAsia="Times New Roman" w:cs="Times New Roman"/>
          <w:szCs w:val="24"/>
        </w:rPr>
        <w:t xml:space="preserve"> </w:t>
      </w:r>
      <w:r w:rsidRPr="00986F85">
        <w:rPr>
          <w:rFonts w:cs="Times New Roman"/>
          <w:szCs w:val="24"/>
        </w:rPr>
        <w:t>Megrendelő</w:t>
      </w:r>
      <w:r w:rsidRPr="00986F85">
        <w:rPr>
          <w:rFonts w:eastAsia="Times New Roman" w:cs="Times New Roman"/>
          <w:szCs w:val="24"/>
        </w:rPr>
        <w:t xml:space="preserve"> </w:t>
      </w:r>
      <w:r w:rsidRPr="00986F85">
        <w:rPr>
          <w:rFonts w:cs="Times New Roman"/>
          <w:szCs w:val="24"/>
        </w:rPr>
        <w:t>igénye</w:t>
      </w:r>
      <w:r w:rsidRPr="00986F85">
        <w:rPr>
          <w:rFonts w:eastAsia="Times New Roman" w:cs="Times New Roman"/>
          <w:szCs w:val="24"/>
        </w:rPr>
        <w:t xml:space="preserve"> </w:t>
      </w:r>
      <w:r w:rsidRPr="00986F85">
        <w:rPr>
          <w:rFonts w:cs="Times New Roman"/>
          <w:szCs w:val="24"/>
        </w:rPr>
        <w:t>szerint:</w:t>
      </w:r>
      <w:r w:rsidRPr="00986F85">
        <w:rPr>
          <w:rFonts w:eastAsia="Times New Roman" w:cs="Times New Roman"/>
          <w:szCs w:val="24"/>
        </w:rPr>
        <w:t xml:space="preserve"> </w:t>
      </w:r>
      <w:r w:rsidRPr="00986F85">
        <w:rPr>
          <w:rFonts w:cs="Times New Roman"/>
          <w:szCs w:val="24"/>
        </w:rPr>
        <w:t>szakpolitikai</w:t>
      </w:r>
      <w:r w:rsidRPr="00986F85">
        <w:rPr>
          <w:rFonts w:eastAsia="Times New Roman" w:cs="Times New Roman"/>
          <w:szCs w:val="24"/>
        </w:rPr>
        <w:t xml:space="preserve"> </w:t>
      </w:r>
      <w:r w:rsidRPr="00986F85">
        <w:rPr>
          <w:rFonts w:cs="Times New Roman"/>
          <w:szCs w:val="24"/>
        </w:rPr>
        <w:t>tervezésben,</w:t>
      </w:r>
      <w:r w:rsidRPr="00986F85">
        <w:rPr>
          <w:rFonts w:eastAsia="Times New Roman" w:cs="Times New Roman"/>
          <w:szCs w:val="24"/>
        </w:rPr>
        <w:t xml:space="preserve"> </w:t>
      </w:r>
      <w:r w:rsidRPr="00986F85">
        <w:rPr>
          <w:rFonts w:cs="Times New Roman"/>
          <w:szCs w:val="24"/>
        </w:rPr>
        <w:t>végrehajtási</w:t>
      </w:r>
      <w:r w:rsidRPr="00986F85">
        <w:rPr>
          <w:rFonts w:eastAsia="Times New Roman" w:cs="Times New Roman"/>
          <w:szCs w:val="24"/>
        </w:rPr>
        <w:t xml:space="preserve"> </w:t>
      </w:r>
      <w:r w:rsidRPr="00986F85">
        <w:rPr>
          <w:rFonts w:cs="Times New Roman"/>
          <w:szCs w:val="24"/>
        </w:rPr>
        <w:t>intézményrendszerben</w:t>
      </w:r>
      <w:r w:rsidRPr="00986F85">
        <w:rPr>
          <w:rFonts w:eastAsia="Times New Roman" w:cs="Times New Roman"/>
          <w:szCs w:val="24"/>
        </w:rPr>
        <w:t xml:space="preserve"> </w:t>
      </w:r>
      <w:r w:rsidRPr="00986F85">
        <w:rPr>
          <w:rFonts w:cs="Times New Roman"/>
          <w:szCs w:val="24"/>
        </w:rPr>
        <w:t>érintettekkel,</w:t>
      </w:r>
      <w:r w:rsidRPr="00986F85">
        <w:rPr>
          <w:rFonts w:eastAsia="Times New Roman" w:cs="Times New Roman"/>
          <w:szCs w:val="24"/>
        </w:rPr>
        <w:t xml:space="preserve"> </w:t>
      </w:r>
      <w:r w:rsidRPr="00986F85">
        <w:rPr>
          <w:rFonts w:cs="Times New Roman"/>
          <w:szCs w:val="24"/>
        </w:rPr>
        <w:t>szakmai</w:t>
      </w:r>
      <w:r w:rsidRPr="00986F85">
        <w:rPr>
          <w:rFonts w:eastAsia="Times New Roman" w:cs="Times New Roman"/>
          <w:szCs w:val="24"/>
        </w:rPr>
        <w:t xml:space="preserve"> </w:t>
      </w:r>
      <w:r w:rsidRPr="00986F85">
        <w:rPr>
          <w:rFonts w:cs="Times New Roman"/>
          <w:szCs w:val="24"/>
        </w:rPr>
        <w:t>partnerekkel</w:t>
      </w:r>
      <w:r w:rsidRPr="00986F85">
        <w:rPr>
          <w:rFonts w:eastAsia="Times New Roman" w:cs="Times New Roman"/>
          <w:szCs w:val="24"/>
        </w:rPr>
        <w:t xml:space="preserve"> </w:t>
      </w:r>
      <w:r w:rsidRPr="00986F85">
        <w:rPr>
          <w:rFonts w:cs="Times New Roman"/>
          <w:szCs w:val="24"/>
        </w:rPr>
        <w:t>folytatottunk</w:t>
      </w:r>
      <w:r w:rsidRPr="00986F85">
        <w:rPr>
          <w:rFonts w:eastAsia="Times New Roman" w:cs="Times New Roman"/>
          <w:szCs w:val="24"/>
        </w:rPr>
        <w:t xml:space="preserve"> </w:t>
      </w:r>
      <w:r w:rsidRPr="00986F85">
        <w:rPr>
          <w:rFonts w:cs="Times New Roman"/>
          <w:szCs w:val="24"/>
        </w:rPr>
        <w:t>konzultációkat.</w:t>
      </w:r>
      <w:r w:rsidRPr="00986F85">
        <w:rPr>
          <w:rFonts w:eastAsia="Times New Roman" w:cs="Times New Roman"/>
          <w:szCs w:val="24"/>
        </w:rPr>
        <w:t xml:space="preserve">  </w:t>
      </w:r>
      <w:r w:rsidR="009A6CA9" w:rsidRPr="00986F85">
        <w:rPr>
          <w:rFonts w:cs="Times New Roman"/>
          <w:szCs w:val="24"/>
        </w:rPr>
        <w:t>Az</w:t>
      </w:r>
      <w:r w:rsidR="009A6CA9" w:rsidRPr="00986F85">
        <w:rPr>
          <w:rFonts w:eastAsia="Times New Roman" w:cs="Times New Roman"/>
          <w:szCs w:val="24"/>
        </w:rPr>
        <w:t xml:space="preserve"> </w:t>
      </w:r>
      <w:r w:rsidR="009A6CA9" w:rsidRPr="00986F85">
        <w:rPr>
          <w:rFonts w:cs="Times New Roman"/>
          <w:szCs w:val="24"/>
        </w:rPr>
        <w:t>adatok</w:t>
      </w:r>
      <w:r w:rsidR="009A6CA9" w:rsidRPr="00986F85">
        <w:rPr>
          <w:rFonts w:eastAsia="Times New Roman" w:cs="Times New Roman"/>
          <w:szCs w:val="24"/>
        </w:rPr>
        <w:t xml:space="preserve"> </w:t>
      </w:r>
      <w:r w:rsidR="009A6CA9" w:rsidRPr="00986F85">
        <w:rPr>
          <w:rFonts w:cs="Times New Roman"/>
          <w:szCs w:val="24"/>
        </w:rPr>
        <w:t>elemzését</w:t>
      </w:r>
      <w:r w:rsidR="009A6CA9" w:rsidRPr="00986F85">
        <w:rPr>
          <w:rFonts w:eastAsia="Times New Roman" w:cs="Times New Roman"/>
          <w:szCs w:val="24"/>
        </w:rPr>
        <w:t xml:space="preserve"> </w:t>
      </w:r>
      <w:r w:rsidR="009A6CA9" w:rsidRPr="00986F85">
        <w:rPr>
          <w:rFonts w:cs="Times New Roman"/>
          <w:szCs w:val="24"/>
        </w:rPr>
        <w:t>a</w:t>
      </w:r>
      <w:r w:rsidR="009A6CA9" w:rsidRPr="00986F85">
        <w:rPr>
          <w:rFonts w:eastAsia="Times New Roman" w:cs="Times New Roman"/>
          <w:szCs w:val="24"/>
        </w:rPr>
        <w:t xml:space="preserve"> </w:t>
      </w:r>
      <w:r w:rsidR="009A6CA9" w:rsidRPr="00986F85">
        <w:rPr>
          <w:rFonts w:cs="Times New Roman"/>
          <w:szCs w:val="24"/>
        </w:rPr>
        <w:t>tisztítási,</w:t>
      </w:r>
      <w:r w:rsidR="009A6CA9" w:rsidRPr="00986F85">
        <w:rPr>
          <w:rFonts w:eastAsia="Times New Roman" w:cs="Times New Roman"/>
          <w:szCs w:val="24"/>
        </w:rPr>
        <w:t xml:space="preserve"> </w:t>
      </w:r>
      <w:r w:rsidR="009A6CA9" w:rsidRPr="00986F85">
        <w:rPr>
          <w:rFonts w:cs="Times New Roman"/>
          <w:szCs w:val="24"/>
        </w:rPr>
        <w:t>elemzési</w:t>
      </w:r>
      <w:r w:rsidR="009A6CA9" w:rsidRPr="00986F85">
        <w:rPr>
          <w:rFonts w:eastAsia="Times New Roman" w:cs="Times New Roman"/>
          <w:szCs w:val="24"/>
        </w:rPr>
        <w:t xml:space="preserve"> </w:t>
      </w:r>
      <w:r w:rsidR="009A6CA9" w:rsidRPr="00986F85">
        <w:rPr>
          <w:rFonts w:cs="Times New Roman"/>
          <w:szCs w:val="24"/>
        </w:rPr>
        <w:t>és</w:t>
      </w:r>
      <w:r w:rsidR="009A6CA9" w:rsidRPr="00986F85">
        <w:rPr>
          <w:rFonts w:eastAsia="Times New Roman" w:cs="Times New Roman"/>
          <w:szCs w:val="24"/>
        </w:rPr>
        <w:t xml:space="preserve"> </w:t>
      </w:r>
      <w:r w:rsidR="009A6CA9" w:rsidRPr="00986F85">
        <w:rPr>
          <w:rFonts w:cs="Times New Roman"/>
          <w:szCs w:val="24"/>
        </w:rPr>
        <w:t>becslési</w:t>
      </w:r>
      <w:r w:rsidR="009A6CA9" w:rsidRPr="00986F85">
        <w:rPr>
          <w:rFonts w:eastAsia="Times New Roman" w:cs="Times New Roman"/>
          <w:szCs w:val="24"/>
        </w:rPr>
        <w:t xml:space="preserve"> </w:t>
      </w:r>
      <w:r w:rsidR="009A6CA9" w:rsidRPr="00986F85">
        <w:rPr>
          <w:rFonts w:cs="Times New Roman"/>
          <w:szCs w:val="24"/>
        </w:rPr>
        <w:t>fázisban</w:t>
      </w:r>
      <w:r w:rsidR="009A6CA9" w:rsidRPr="00986F85">
        <w:rPr>
          <w:rFonts w:eastAsia="Times New Roman" w:cs="Times New Roman"/>
          <w:szCs w:val="24"/>
        </w:rPr>
        <w:t xml:space="preserve"> </w:t>
      </w:r>
      <w:r w:rsidR="009A6CA9" w:rsidRPr="00986F85">
        <w:rPr>
          <w:rFonts w:cs="Times New Roman"/>
          <w:szCs w:val="24"/>
        </w:rPr>
        <w:t>a</w:t>
      </w:r>
      <w:r w:rsidR="009A6CA9" w:rsidRPr="00986F85">
        <w:rPr>
          <w:rFonts w:eastAsia="Times New Roman" w:cs="Times New Roman"/>
          <w:szCs w:val="24"/>
        </w:rPr>
        <w:t xml:space="preserve"> </w:t>
      </w:r>
      <w:r w:rsidR="009A6CA9" w:rsidRPr="00986F85">
        <w:rPr>
          <w:rFonts w:cs="Times New Roman"/>
          <w:szCs w:val="24"/>
        </w:rPr>
        <w:t>Stata</w:t>
      </w:r>
      <w:r w:rsidR="009A6CA9" w:rsidRPr="00986F85">
        <w:rPr>
          <w:rFonts w:eastAsia="Times New Roman" w:cs="Times New Roman"/>
          <w:szCs w:val="24"/>
        </w:rPr>
        <w:t xml:space="preserve"> </w:t>
      </w:r>
      <w:r w:rsidR="009A6CA9" w:rsidRPr="00986F85">
        <w:rPr>
          <w:rFonts w:cs="Times New Roman"/>
          <w:szCs w:val="24"/>
        </w:rPr>
        <w:t>Corporation</w:t>
      </w:r>
      <w:r w:rsidR="009A6CA9" w:rsidRPr="00986F85">
        <w:rPr>
          <w:rFonts w:eastAsia="Times New Roman" w:cs="Times New Roman"/>
          <w:szCs w:val="24"/>
        </w:rPr>
        <w:t xml:space="preserve"> </w:t>
      </w:r>
      <w:r w:rsidR="009A6CA9" w:rsidRPr="00986F85">
        <w:rPr>
          <w:rFonts w:cs="Times New Roman"/>
          <w:szCs w:val="24"/>
        </w:rPr>
        <w:t>Stata</w:t>
      </w:r>
      <w:r w:rsidR="009A6CA9" w:rsidRPr="00986F85">
        <w:rPr>
          <w:rFonts w:eastAsia="Times New Roman" w:cs="Times New Roman"/>
          <w:szCs w:val="24"/>
        </w:rPr>
        <w:t xml:space="preserve"> </w:t>
      </w:r>
      <w:r w:rsidR="009A6CA9" w:rsidRPr="00986F85">
        <w:rPr>
          <w:rFonts w:cs="Times New Roman"/>
          <w:szCs w:val="24"/>
        </w:rPr>
        <w:t>nevű</w:t>
      </w:r>
      <w:r w:rsidR="009A6CA9" w:rsidRPr="00986F85">
        <w:rPr>
          <w:rFonts w:eastAsia="Times New Roman" w:cs="Times New Roman"/>
          <w:szCs w:val="24"/>
        </w:rPr>
        <w:t xml:space="preserve"> </w:t>
      </w:r>
      <w:r w:rsidR="009A6CA9" w:rsidRPr="00986F85">
        <w:rPr>
          <w:rFonts w:cs="Times New Roman"/>
          <w:szCs w:val="24"/>
        </w:rPr>
        <w:t>szoftverével</w:t>
      </w:r>
      <w:r w:rsidR="009A6CA9" w:rsidRPr="00986F85">
        <w:rPr>
          <w:rFonts w:eastAsia="Times New Roman" w:cs="Times New Roman"/>
          <w:szCs w:val="24"/>
        </w:rPr>
        <w:t xml:space="preserve"> </w:t>
      </w:r>
      <w:r w:rsidR="009A6CA9" w:rsidRPr="00986F85">
        <w:rPr>
          <w:rFonts w:cs="Times New Roman"/>
          <w:szCs w:val="24"/>
        </w:rPr>
        <w:t>végezzük,</w:t>
      </w:r>
      <w:r w:rsidR="009A6CA9" w:rsidRPr="00986F85">
        <w:rPr>
          <w:rFonts w:eastAsia="Times New Roman" w:cs="Times New Roman"/>
          <w:szCs w:val="24"/>
        </w:rPr>
        <w:t xml:space="preserve"> </w:t>
      </w:r>
      <w:r w:rsidR="009A6CA9" w:rsidRPr="00986F85">
        <w:rPr>
          <w:rFonts w:cs="Times New Roman"/>
          <w:szCs w:val="24"/>
        </w:rPr>
        <w:t>ami</w:t>
      </w:r>
      <w:r w:rsidR="009A6CA9" w:rsidRPr="00986F85">
        <w:rPr>
          <w:rFonts w:eastAsia="Times New Roman" w:cs="Times New Roman"/>
          <w:szCs w:val="24"/>
        </w:rPr>
        <w:t xml:space="preserve"> </w:t>
      </w:r>
      <w:r w:rsidR="009A6CA9" w:rsidRPr="00986F85">
        <w:rPr>
          <w:rFonts w:cs="Times New Roman"/>
          <w:szCs w:val="24"/>
        </w:rPr>
        <w:t>alkalmas</w:t>
      </w:r>
      <w:r w:rsidR="009A6CA9" w:rsidRPr="00986F85">
        <w:rPr>
          <w:rFonts w:eastAsia="Times New Roman" w:cs="Times New Roman"/>
          <w:szCs w:val="24"/>
        </w:rPr>
        <w:t xml:space="preserve"> </w:t>
      </w:r>
      <w:r w:rsidR="009A6CA9" w:rsidRPr="00986F85">
        <w:rPr>
          <w:rFonts w:cs="Times New Roman"/>
          <w:szCs w:val="24"/>
        </w:rPr>
        <w:t>nagyméretű</w:t>
      </w:r>
      <w:r w:rsidR="009A6CA9" w:rsidRPr="00986F85">
        <w:rPr>
          <w:rFonts w:eastAsia="Times New Roman" w:cs="Times New Roman"/>
          <w:szCs w:val="24"/>
        </w:rPr>
        <w:t xml:space="preserve"> </w:t>
      </w:r>
      <w:r w:rsidR="009A6CA9" w:rsidRPr="00986F85">
        <w:rPr>
          <w:rFonts w:cs="Times New Roman"/>
          <w:szCs w:val="24"/>
        </w:rPr>
        <w:t>adatbázisokon</w:t>
      </w:r>
      <w:r w:rsidR="009A6CA9" w:rsidRPr="00986F85">
        <w:rPr>
          <w:rFonts w:eastAsia="Times New Roman" w:cs="Times New Roman"/>
          <w:szCs w:val="24"/>
        </w:rPr>
        <w:t xml:space="preserve"> </w:t>
      </w:r>
      <w:r w:rsidR="009A6CA9" w:rsidRPr="00986F85">
        <w:rPr>
          <w:rFonts w:cs="Times New Roman"/>
          <w:szCs w:val="24"/>
        </w:rPr>
        <w:t>számos</w:t>
      </w:r>
      <w:r w:rsidR="009A6CA9" w:rsidRPr="00986F85">
        <w:rPr>
          <w:rFonts w:eastAsia="Times New Roman" w:cs="Times New Roman"/>
          <w:szCs w:val="24"/>
        </w:rPr>
        <w:t xml:space="preserve"> </w:t>
      </w:r>
      <w:r w:rsidR="009A6CA9" w:rsidRPr="00986F85">
        <w:rPr>
          <w:rFonts w:cs="Times New Roman"/>
          <w:szCs w:val="24"/>
        </w:rPr>
        <w:t>ökonometriai</w:t>
      </w:r>
      <w:r w:rsidR="009A6CA9" w:rsidRPr="00986F85">
        <w:rPr>
          <w:rFonts w:eastAsia="Times New Roman" w:cs="Times New Roman"/>
          <w:szCs w:val="24"/>
        </w:rPr>
        <w:t xml:space="preserve"> </w:t>
      </w:r>
      <w:r w:rsidR="009A6CA9" w:rsidRPr="00986F85">
        <w:rPr>
          <w:rFonts w:cs="Times New Roman"/>
          <w:szCs w:val="24"/>
        </w:rPr>
        <w:t>módszer</w:t>
      </w:r>
      <w:r w:rsidR="009A6CA9" w:rsidRPr="00986F85">
        <w:rPr>
          <w:rFonts w:eastAsia="Times New Roman" w:cs="Times New Roman"/>
          <w:szCs w:val="24"/>
        </w:rPr>
        <w:t xml:space="preserve"> </w:t>
      </w:r>
      <w:r w:rsidR="009A6CA9" w:rsidRPr="00986F85">
        <w:rPr>
          <w:rFonts w:cs="Times New Roman"/>
          <w:szCs w:val="24"/>
        </w:rPr>
        <w:t>alkalmazására.</w:t>
      </w:r>
    </w:p>
    <w:p w14:paraId="4DA85E70" w14:textId="77777777" w:rsidR="009A6CA9" w:rsidRPr="00986F85" w:rsidRDefault="009A6CA9" w:rsidP="00B04415">
      <w:pPr>
        <w:spacing w:after="0" w:line="360" w:lineRule="auto"/>
        <w:jc w:val="both"/>
        <w:rPr>
          <w:rFonts w:cs="Times New Roman"/>
          <w:szCs w:val="24"/>
        </w:rPr>
      </w:pPr>
    </w:p>
    <w:p w14:paraId="4F3BD364" w14:textId="77777777" w:rsidR="009A6CA9" w:rsidRPr="00986F85" w:rsidRDefault="007C6E9D" w:rsidP="00B04415">
      <w:pPr>
        <w:spacing w:after="0" w:line="360" w:lineRule="auto"/>
        <w:jc w:val="both"/>
        <w:rPr>
          <w:rFonts w:cs="Times New Roman"/>
          <w:szCs w:val="24"/>
        </w:rPr>
      </w:pPr>
      <w:r w:rsidRPr="00986F85">
        <w:rPr>
          <w:rFonts w:cs="Times New Roman"/>
          <w:szCs w:val="24"/>
        </w:rPr>
        <w:t>A projekt sorá</w:t>
      </w:r>
      <w:r w:rsidR="009A6CA9" w:rsidRPr="00986F85">
        <w:rPr>
          <w:rFonts w:cs="Times New Roman"/>
          <w:szCs w:val="24"/>
        </w:rPr>
        <w:t xml:space="preserve">n az alábbi információ- és adatforrásokra támaszkodtunk: </w:t>
      </w:r>
    </w:p>
    <w:p w14:paraId="452981F6" w14:textId="77777777" w:rsidR="009A6CA9" w:rsidRPr="00986F85" w:rsidRDefault="009A6CA9" w:rsidP="00B04415">
      <w:pPr>
        <w:numPr>
          <w:ilvl w:val="0"/>
          <w:numId w:val="14"/>
        </w:numPr>
        <w:spacing w:after="0" w:line="360" w:lineRule="auto"/>
        <w:jc w:val="both"/>
        <w:rPr>
          <w:rFonts w:cs="Times New Roman"/>
          <w:szCs w:val="24"/>
        </w:rPr>
      </w:pPr>
      <w:r w:rsidRPr="00986F85">
        <w:rPr>
          <w:rFonts w:cs="Times New Roman"/>
          <w:szCs w:val="24"/>
        </w:rPr>
        <w:t>Ú</w:t>
      </w:r>
      <w:r w:rsidR="001C06A3" w:rsidRPr="00986F85">
        <w:rPr>
          <w:rFonts w:cs="Times New Roman"/>
          <w:szCs w:val="24"/>
        </w:rPr>
        <w:t xml:space="preserve">j Széchényi </w:t>
      </w:r>
      <w:r w:rsidRPr="00986F85">
        <w:rPr>
          <w:rFonts w:cs="Times New Roman"/>
          <w:szCs w:val="24"/>
        </w:rPr>
        <w:t>T</w:t>
      </w:r>
      <w:r w:rsidR="001C06A3" w:rsidRPr="00986F85">
        <w:rPr>
          <w:rFonts w:cs="Times New Roman"/>
          <w:szCs w:val="24"/>
        </w:rPr>
        <w:t>erv</w:t>
      </w:r>
      <w:r w:rsidRPr="00986F85">
        <w:rPr>
          <w:rFonts w:cs="Times New Roman"/>
          <w:szCs w:val="24"/>
        </w:rPr>
        <w:t xml:space="preserve"> </w:t>
      </w:r>
      <w:r w:rsidR="00F34350" w:rsidRPr="00986F85">
        <w:rPr>
          <w:rFonts w:cs="Times New Roman"/>
          <w:szCs w:val="24"/>
        </w:rPr>
        <w:t xml:space="preserve">(továbbiakban: ÚSZT) </w:t>
      </w:r>
      <w:r w:rsidRPr="00986F85">
        <w:rPr>
          <w:rFonts w:cs="Times New Roman"/>
          <w:szCs w:val="24"/>
        </w:rPr>
        <w:t>stratégiai é</w:t>
      </w:r>
      <w:r w:rsidR="001C06A3" w:rsidRPr="00986F85">
        <w:rPr>
          <w:rFonts w:cs="Times New Roman"/>
          <w:szCs w:val="24"/>
        </w:rPr>
        <w:t>s program-dokumentumai</w:t>
      </w:r>
    </w:p>
    <w:p w14:paraId="646BA404" w14:textId="77777777" w:rsidR="009A6CA9" w:rsidRPr="00986F85" w:rsidRDefault="008474D3" w:rsidP="00B04415">
      <w:pPr>
        <w:numPr>
          <w:ilvl w:val="0"/>
          <w:numId w:val="14"/>
        </w:numPr>
        <w:spacing w:after="0" w:line="360" w:lineRule="auto"/>
        <w:jc w:val="both"/>
        <w:rPr>
          <w:rFonts w:cs="Times New Roman"/>
          <w:szCs w:val="24"/>
        </w:rPr>
      </w:pPr>
      <w:r w:rsidRPr="00986F85">
        <w:rPr>
          <w:rFonts w:cs="Times New Roman"/>
          <w:szCs w:val="24"/>
        </w:rPr>
        <w:t>N</w:t>
      </w:r>
      <w:r w:rsidR="009A6CA9" w:rsidRPr="00986F85">
        <w:rPr>
          <w:rFonts w:cs="Times New Roman"/>
          <w:szCs w:val="24"/>
        </w:rPr>
        <w:t>emzetközi é</w:t>
      </w:r>
      <w:r w:rsidR="00853DBC" w:rsidRPr="00986F85">
        <w:rPr>
          <w:rFonts w:cs="Times New Roman"/>
          <w:szCs w:val="24"/>
        </w:rPr>
        <w:t>s hazai szakirodalom (lásd Hiva</w:t>
      </w:r>
      <w:r w:rsidR="009A6CA9" w:rsidRPr="00986F85">
        <w:rPr>
          <w:rFonts w:cs="Times New Roman"/>
          <w:szCs w:val="24"/>
        </w:rPr>
        <w:t>t</w:t>
      </w:r>
      <w:r w:rsidR="00853DBC" w:rsidRPr="00986F85">
        <w:rPr>
          <w:rFonts w:cs="Times New Roman"/>
          <w:szCs w:val="24"/>
        </w:rPr>
        <w:t>kozásjegyzék</w:t>
      </w:r>
      <w:r w:rsidR="009A6CA9" w:rsidRPr="00986F85">
        <w:rPr>
          <w:rFonts w:cs="Times New Roman"/>
          <w:szCs w:val="24"/>
        </w:rPr>
        <w:t xml:space="preserve">), </w:t>
      </w:r>
    </w:p>
    <w:p w14:paraId="10800BA4" w14:textId="77777777" w:rsidR="009A6CA9" w:rsidRPr="00986F85" w:rsidRDefault="009A6CA9" w:rsidP="00B04415">
      <w:pPr>
        <w:numPr>
          <w:ilvl w:val="0"/>
          <w:numId w:val="14"/>
        </w:numPr>
        <w:snapToGrid w:val="0"/>
        <w:spacing w:after="0" w:line="360" w:lineRule="auto"/>
        <w:jc w:val="both"/>
        <w:rPr>
          <w:rFonts w:eastAsia="Times New Roman" w:cs="Times New Roman"/>
          <w:szCs w:val="24"/>
        </w:rPr>
      </w:pPr>
      <w:r w:rsidRPr="00986F85">
        <w:rPr>
          <w:rFonts w:cs="Times New Roman"/>
          <w:szCs w:val="24"/>
        </w:rPr>
        <w:t>NAV-EMIR anonim</w:t>
      </w:r>
      <w:r w:rsidR="007C4B11" w:rsidRPr="00986F85">
        <w:rPr>
          <w:rFonts w:cs="Times New Roman"/>
          <w:szCs w:val="24"/>
        </w:rPr>
        <w:t>,</w:t>
      </w:r>
      <w:r w:rsidRPr="00986F85">
        <w:rPr>
          <w:rFonts w:cs="Times New Roman"/>
          <w:szCs w:val="24"/>
        </w:rPr>
        <w:t xml:space="preserve"> vállalati szinten kapcsolt adatok</w:t>
      </w:r>
    </w:p>
    <w:p w14:paraId="1B4B526B" w14:textId="77777777" w:rsidR="008070B6" w:rsidRPr="00986F85" w:rsidRDefault="009A6CA9" w:rsidP="00B04415">
      <w:pPr>
        <w:numPr>
          <w:ilvl w:val="0"/>
          <w:numId w:val="14"/>
        </w:numPr>
        <w:snapToGrid w:val="0"/>
        <w:spacing w:after="0" w:line="360" w:lineRule="auto"/>
        <w:jc w:val="both"/>
        <w:rPr>
          <w:rFonts w:eastAsia="Times New Roman" w:cs="Times New Roman"/>
          <w:szCs w:val="24"/>
        </w:rPr>
      </w:pPr>
      <w:r w:rsidRPr="00986F85">
        <w:rPr>
          <w:rFonts w:cs="Times New Roman"/>
          <w:szCs w:val="24"/>
        </w:rPr>
        <w:t>NAV vállalati mérlegadatok</w:t>
      </w:r>
      <w:r w:rsidR="008070B6" w:rsidRPr="00986F85">
        <w:rPr>
          <w:rFonts w:eastAsia="Times New Roman" w:cs="Times New Roman"/>
          <w:szCs w:val="24"/>
        </w:rPr>
        <w:t xml:space="preserve"> </w:t>
      </w:r>
    </w:p>
    <w:p w14:paraId="33A5A36C" w14:textId="77777777" w:rsidR="008070B6" w:rsidRPr="00986F85" w:rsidRDefault="008070B6" w:rsidP="00B04415">
      <w:pPr>
        <w:numPr>
          <w:ilvl w:val="0"/>
          <w:numId w:val="14"/>
        </w:numPr>
        <w:spacing w:after="0" w:line="360" w:lineRule="auto"/>
        <w:jc w:val="both"/>
        <w:rPr>
          <w:rFonts w:cs="Times New Roman"/>
          <w:szCs w:val="24"/>
        </w:rPr>
      </w:pPr>
      <w:r w:rsidRPr="00986F85">
        <w:rPr>
          <w:rFonts w:cs="Times New Roman"/>
          <w:szCs w:val="24"/>
        </w:rPr>
        <w:t>Saját projekt dokumentáció, belső emlékeztetők</w:t>
      </w:r>
    </w:p>
    <w:p w14:paraId="747B23D3" w14:textId="77777777" w:rsidR="005C5744" w:rsidRPr="00986F85" w:rsidRDefault="00B84836" w:rsidP="00B04415">
      <w:pPr>
        <w:snapToGrid w:val="0"/>
        <w:spacing w:after="0" w:line="360" w:lineRule="auto"/>
        <w:jc w:val="both"/>
        <w:rPr>
          <w:rFonts w:cs="Times New Roman"/>
          <w:szCs w:val="24"/>
        </w:rPr>
      </w:pPr>
      <w:r w:rsidRPr="00986F85">
        <w:rPr>
          <w:rFonts w:cs="Times New Roman"/>
          <w:szCs w:val="24"/>
        </w:rPr>
        <w:t>A</w:t>
      </w:r>
      <w:r w:rsidR="009F07F5" w:rsidRPr="00986F85">
        <w:rPr>
          <w:rFonts w:cs="Times New Roman"/>
          <w:szCs w:val="24"/>
        </w:rPr>
        <w:t xml:space="preserve">z egyes vizsgálati fázisokban alkalmazott módszereket az alábbi táblázatban szemléltetjük. </w:t>
      </w:r>
    </w:p>
    <w:p w14:paraId="331A3B55" w14:textId="77777777" w:rsidR="00A152C2" w:rsidRPr="00986F85" w:rsidRDefault="005657E8" w:rsidP="00A152C2">
      <w:pPr>
        <w:pStyle w:val="Kpalrs"/>
        <w:keepNext/>
      </w:pPr>
      <w:fldSimple w:instr=" SEQ táblázat \* ARABIC ">
        <w:bookmarkStart w:id="12" w:name="_Toc230854348"/>
        <w:r w:rsidR="00255252" w:rsidRPr="00986F85">
          <w:rPr>
            <w:noProof/>
          </w:rPr>
          <w:t>3</w:t>
        </w:r>
      </w:fldSimple>
      <w:r w:rsidR="00A152C2" w:rsidRPr="00986F85">
        <w:t>. táblázat:</w:t>
      </w:r>
      <w:r w:rsidR="00A152C2" w:rsidRPr="00986F85">
        <w:rPr>
          <w:rFonts w:cs="Times New Roman"/>
        </w:rPr>
        <w:t xml:space="preserve"> Alkalmazott módszerek</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1214"/>
        <w:gridCol w:w="1215"/>
        <w:gridCol w:w="1215"/>
        <w:gridCol w:w="1215"/>
        <w:gridCol w:w="1213"/>
      </w:tblGrid>
      <w:tr w:rsidR="001075A8" w:rsidRPr="00986F85" w14:paraId="5B824E9E" w14:textId="77777777" w:rsidTr="0015414F">
        <w:trPr>
          <w:cantSplit/>
          <w:trHeight w:val="1839"/>
        </w:trPr>
        <w:tc>
          <w:tcPr>
            <w:tcW w:w="1731" w:type="pct"/>
            <w:shd w:val="clear" w:color="auto" w:fill="B10000"/>
            <w:vAlign w:val="center"/>
          </w:tcPr>
          <w:p w14:paraId="1062F217" w14:textId="77777777" w:rsidR="009F07F5" w:rsidRPr="00986F85" w:rsidRDefault="009F07F5" w:rsidP="0015414F">
            <w:pPr>
              <w:snapToGrid w:val="0"/>
              <w:spacing w:after="0" w:line="360" w:lineRule="auto"/>
              <w:jc w:val="center"/>
              <w:rPr>
                <w:rFonts w:cs="Times New Roman"/>
                <w:b/>
                <w:szCs w:val="24"/>
              </w:rPr>
            </w:pPr>
          </w:p>
        </w:tc>
        <w:tc>
          <w:tcPr>
            <w:tcW w:w="654" w:type="pct"/>
            <w:shd w:val="clear" w:color="auto" w:fill="B10000"/>
            <w:textDirection w:val="btLr"/>
            <w:vAlign w:val="center"/>
          </w:tcPr>
          <w:p w14:paraId="3EEE1766" w14:textId="77777777" w:rsidR="009F07F5" w:rsidRPr="00986F85" w:rsidRDefault="009F07F5" w:rsidP="0015414F">
            <w:pPr>
              <w:snapToGrid w:val="0"/>
              <w:spacing w:after="0" w:line="360" w:lineRule="auto"/>
              <w:ind w:left="113" w:right="113"/>
              <w:jc w:val="center"/>
              <w:rPr>
                <w:rFonts w:cs="Times New Roman"/>
                <w:b/>
                <w:szCs w:val="24"/>
              </w:rPr>
            </w:pPr>
            <w:r w:rsidRPr="00986F85">
              <w:rPr>
                <w:rFonts w:cs="Times New Roman"/>
                <w:b/>
                <w:szCs w:val="24"/>
              </w:rPr>
              <w:t>Megalapozás</w:t>
            </w:r>
          </w:p>
        </w:tc>
        <w:tc>
          <w:tcPr>
            <w:tcW w:w="654" w:type="pct"/>
            <w:shd w:val="clear" w:color="auto" w:fill="B10000"/>
            <w:textDirection w:val="btLr"/>
            <w:vAlign w:val="center"/>
          </w:tcPr>
          <w:p w14:paraId="4F0482FD" w14:textId="77777777" w:rsidR="009F07F5" w:rsidRPr="00986F85" w:rsidRDefault="009F07F5" w:rsidP="0015414F">
            <w:pPr>
              <w:snapToGrid w:val="0"/>
              <w:spacing w:after="0" w:line="360" w:lineRule="auto"/>
              <w:ind w:left="113" w:right="113"/>
              <w:jc w:val="center"/>
              <w:rPr>
                <w:rFonts w:cs="Times New Roman"/>
                <w:b/>
                <w:szCs w:val="24"/>
              </w:rPr>
            </w:pPr>
            <w:r w:rsidRPr="00986F85">
              <w:rPr>
                <w:rFonts w:cs="Times New Roman"/>
                <w:b/>
                <w:szCs w:val="24"/>
              </w:rPr>
              <w:t>Leíró elemzés</w:t>
            </w:r>
          </w:p>
        </w:tc>
        <w:tc>
          <w:tcPr>
            <w:tcW w:w="654" w:type="pct"/>
            <w:shd w:val="clear" w:color="auto" w:fill="B10000"/>
            <w:textDirection w:val="btLr"/>
            <w:vAlign w:val="center"/>
          </w:tcPr>
          <w:p w14:paraId="7B220311" w14:textId="77777777" w:rsidR="009F07F5" w:rsidRPr="00986F85" w:rsidRDefault="009F07F5" w:rsidP="0015414F">
            <w:pPr>
              <w:snapToGrid w:val="0"/>
              <w:spacing w:after="0" w:line="360" w:lineRule="auto"/>
              <w:ind w:left="113" w:right="113"/>
              <w:jc w:val="center"/>
              <w:rPr>
                <w:rFonts w:cs="Times New Roman"/>
                <w:b/>
                <w:szCs w:val="24"/>
              </w:rPr>
            </w:pPr>
            <w:r w:rsidRPr="00986F85">
              <w:rPr>
                <w:rFonts w:cs="Times New Roman"/>
                <w:b/>
                <w:szCs w:val="24"/>
              </w:rPr>
              <w:t>Hatásvizsgálat</w:t>
            </w:r>
          </w:p>
        </w:tc>
        <w:tc>
          <w:tcPr>
            <w:tcW w:w="654" w:type="pct"/>
            <w:shd w:val="clear" w:color="auto" w:fill="B10000"/>
            <w:textDirection w:val="btLr"/>
            <w:vAlign w:val="center"/>
          </w:tcPr>
          <w:p w14:paraId="62DC973D" w14:textId="77777777" w:rsidR="009F07F5" w:rsidRPr="00986F85" w:rsidRDefault="009F07F5" w:rsidP="0015414F">
            <w:pPr>
              <w:snapToGrid w:val="0"/>
              <w:spacing w:after="0" w:line="360" w:lineRule="auto"/>
              <w:ind w:left="113" w:right="113"/>
              <w:jc w:val="center"/>
              <w:rPr>
                <w:rFonts w:cs="Times New Roman"/>
                <w:b/>
                <w:szCs w:val="24"/>
              </w:rPr>
            </w:pPr>
            <w:r w:rsidRPr="00986F85">
              <w:rPr>
                <w:rFonts w:cs="Times New Roman"/>
                <w:b/>
                <w:szCs w:val="24"/>
              </w:rPr>
              <w:t>Módszertani javaslatok</w:t>
            </w:r>
          </w:p>
        </w:tc>
        <w:tc>
          <w:tcPr>
            <w:tcW w:w="654" w:type="pct"/>
            <w:shd w:val="clear" w:color="auto" w:fill="B10000"/>
            <w:textDirection w:val="btLr"/>
            <w:vAlign w:val="center"/>
          </w:tcPr>
          <w:p w14:paraId="43A2E6F0" w14:textId="77777777" w:rsidR="009F07F5" w:rsidRPr="00986F85" w:rsidRDefault="009F07F5" w:rsidP="0015414F">
            <w:pPr>
              <w:snapToGrid w:val="0"/>
              <w:spacing w:after="0" w:line="360" w:lineRule="auto"/>
              <w:ind w:left="113" w:right="113"/>
              <w:jc w:val="center"/>
              <w:rPr>
                <w:rFonts w:cs="Times New Roman"/>
                <w:b/>
                <w:szCs w:val="24"/>
              </w:rPr>
            </w:pPr>
            <w:r w:rsidRPr="00986F85">
              <w:rPr>
                <w:rFonts w:cs="Times New Roman"/>
                <w:b/>
                <w:szCs w:val="24"/>
              </w:rPr>
              <w:t>Szakmai konzultáció</w:t>
            </w:r>
          </w:p>
        </w:tc>
      </w:tr>
      <w:tr w:rsidR="001075A8" w:rsidRPr="00986F85" w14:paraId="030C33D3" w14:textId="77777777" w:rsidTr="0015414F">
        <w:tc>
          <w:tcPr>
            <w:tcW w:w="1731" w:type="pct"/>
            <w:shd w:val="clear" w:color="auto" w:fill="auto"/>
          </w:tcPr>
          <w:p w14:paraId="310EDD8A" w14:textId="77777777" w:rsidR="009F07F5" w:rsidRPr="00986F85" w:rsidRDefault="00F34A8A" w:rsidP="00B04415">
            <w:pPr>
              <w:snapToGrid w:val="0"/>
              <w:spacing w:after="0" w:line="360" w:lineRule="auto"/>
              <w:jc w:val="both"/>
              <w:rPr>
                <w:rFonts w:cs="Times New Roman"/>
                <w:szCs w:val="24"/>
              </w:rPr>
            </w:pPr>
            <w:r w:rsidRPr="00986F85">
              <w:rPr>
                <w:rFonts w:cs="Times New Roman"/>
                <w:szCs w:val="24"/>
              </w:rPr>
              <w:lastRenderedPageBreak/>
              <w:t>Dokumentum elemzés</w:t>
            </w:r>
          </w:p>
        </w:tc>
        <w:tc>
          <w:tcPr>
            <w:tcW w:w="654" w:type="pct"/>
            <w:shd w:val="clear" w:color="auto" w:fill="auto"/>
          </w:tcPr>
          <w:p w14:paraId="2255BE51" w14:textId="77777777" w:rsidR="009F07F5" w:rsidRPr="00986F85" w:rsidRDefault="007F1135" w:rsidP="00502A90">
            <w:pPr>
              <w:snapToGrid w:val="0"/>
              <w:spacing w:after="0" w:line="360" w:lineRule="auto"/>
              <w:jc w:val="center"/>
              <w:rPr>
                <w:rFonts w:cs="Times New Roman"/>
                <w:sz w:val="22"/>
                <w:szCs w:val="24"/>
              </w:rPr>
            </w:pPr>
            <w:r w:rsidRPr="00986F85">
              <w:rPr>
                <w:rFonts w:ascii="Menlo Regular" w:eastAsia="MS Gothic" w:hAnsi="Menlo Regular" w:cs="Menlo Regular"/>
                <w:color w:val="B10000"/>
                <w:sz w:val="22"/>
                <w:szCs w:val="24"/>
              </w:rPr>
              <w:t>✔</w:t>
            </w:r>
          </w:p>
        </w:tc>
        <w:tc>
          <w:tcPr>
            <w:tcW w:w="654" w:type="pct"/>
            <w:shd w:val="clear" w:color="auto" w:fill="auto"/>
          </w:tcPr>
          <w:p w14:paraId="4E72F255" w14:textId="77777777" w:rsidR="009F07F5" w:rsidRPr="00986F85" w:rsidRDefault="007F1135" w:rsidP="00502A90">
            <w:pPr>
              <w:snapToGrid w:val="0"/>
              <w:spacing w:after="0" w:line="360" w:lineRule="auto"/>
              <w:jc w:val="center"/>
              <w:rPr>
                <w:rFonts w:cs="Times New Roman"/>
                <w:sz w:val="22"/>
                <w:szCs w:val="24"/>
              </w:rPr>
            </w:pPr>
            <w:r w:rsidRPr="00986F85">
              <w:rPr>
                <w:rFonts w:ascii="Menlo Regular" w:eastAsia="MS Gothic" w:hAnsi="Menlo Regular" w:cs="Menlo Regular"/>
                <w:color w:val="B10000"/>
                <w:sz w:val="22"/>
                <w:szCs w:val="24"/>
              </w:rPr>
              <w:t>✔</w:t>
            </w:r>
          </w:p>
        </w:tc>
        <w:tc>
          <w:tcPr>
            <w:tcW w:w="654" w:type="pct"/>
            <w:shd w:val="clear" w:color="auto" w:fill="auto"/>
          </w:tcPr>
          <w:p w14:paraId="2AC7769B" w14:textId="77777777" w:rsidR="009F07F5" w:rsidRPr="00986F85" w:rsidRDefault="009F07F5" w:rsidP="00502A90">
            <w:pPr>
              <w:snapToGrid w:val="0"/>
              <w:spacing w:after="0" w:line="360" w:lineRule="auto"/>
              <w:jc w:val="center"/>
              <w:rPr>
                <w:rFonts w:cs="Times New Roman"/>
                <w:sz w:val="22"/>
                <w:szCs w:val="24"/>
              </w:rPr>
            </w:pPr>
          </w:p>
        </w:tc>
        <w:tc>
          <w:tcPr>
            <w:tcW w:w="654" w:type="pct"/>
            <w:shd w:val="clear" w:color="auto" w:fill="auto"/>
          </w:tcPr>
          <w:p w14:paraId="411DD5FA" w14:textId="77777777" w:rsidR="009F07F5" w:rsidRPr="00986F85" w:rsidRDefault="009F07F5" w:rsidP="00502A90">
            <w:pPr>
              <w:snapToGrid w:val="0"/>
              <w:spacing w:after="0" w:line="360" w:lineRule="auto"/>
              <w:jc w:val="center"/>
              <w:rPr>
                <w:rFonts w:cs="Times New Roman"/>
                <w:sz w:val="22"/>
                <w:szCs w:val="24"/>
              </w:rPr>
            </w:pPr>
          </w:p>
        </w:tc>
        <w:tc>
          <w:tcPr>
            <w:tcW w:w="654" w:type="pct"/>
            <w:shd w:val="clear" w:color="auto" w:fill="auto"/>
          </w:tcPr>
          <w:p w14:paraId="30A69E1B" w14:textId="77777777" w:rsidR="009F07F5" w:rsidRPr="00986F85" w:rsidRDefault="009F07F5" w:rsidP="00502A90">
            <w:pPr>
              <w:snapToGrid w:val="0"/>
              <w:spacing w:after="0" w:line="360" w:lineRule="auto"/>
              <w:jc w:val="center"/>
              <w:rPr>
                <w:rFonts w:cs="Times New Roman"/>
                <w:sz w:val="22"/>
                <w:szCs w:val="24"/>
              </w:rPr>
            </w:pPr>
          </w:p>
        </w:tc>
      </w:tr>
      <w:tr w:rsidR="001075A8" w:rsidRPr="00986F85" w14:paraId="5388E100" w14:textId="77777777" w:rsidTr="0015414F">
        <w:tc>
          <w:tcPr>
            <w:tcW w:w="1731" w:type="pct"/>
            <w:shd w:val="clear" w:color="auto" w:fill="auto"/>
          </w:tcPr>
          <w:p w14:paraId="062CDA1B" w14:textId="77777777" w:rsidR="009F07F5" w:rsidRPr="00986F85" w:rsidRDefault="007F1135" w:rsidP="00B04415">
            <w:pPr>
              <w:snapToGrid w:val="0"/>
              <w:spacing w:after="0" w:line="360" w:lineRule="auto"/>
              <w:jc w:val="both"/>
              <w:rPr>
                <w:rFonts w:cs="Times New Roman"/>
                <w:szCs w:val="24"/>
              </w:rPr>
            </w:pPr>
            <w:r w:rsidRPr="00986F85">
              <w:rPr>
                <w:rFonts w:cs="Times New Roman"/>
                <w:szCs w:val="24"/>
              </w:rPr>
              <w:t>Leíró statisztikai elemzés</w:t>
            </w:r>
          </w:p>
        </w:tc>
        <w:tc>
          <w:tcPr>
            <w:tcW w:w="654" w:type="pct"/>
            <w:shd w:val="clear" w:color="auto" w:fill="auto"/>
          </w:tcPr>
          <w:p w14:paraId="01B7F6FC" w14:textId="77777777" w:rsidR="009F07F5" w:rsidRPr="00986F85" w:rsidRDefault="009F07F5" w:rsidP="00502A90">
            <w:pPr>
              <w:snapToGrid w:val="0"/>
              <w:spacing w:after="0" w:line="360" w:lineRule="auto"/>
              <w:jc w:val="center"/>
              <w:rPr>
                <w:rFonts w:cs="Times New Roman"/>
                <w:sz w:val="22"/>
                <w:szCs w:val="24"/>
              </w:rPr>
            </w:pPr>
          </w:p>
        </w:tc>
        <w:tc>
          <w:tcPr>
            <w:tcW w:w="654" w:type="pct"/>
            <w:shd w:val="clear" w:color="auto" w:fill="auto"/>
          </w:tcPr>
          <w:p w14:paraId="098ADC5C" w14:textId="77777777" w:rsidR="009F07F5" w:rsidRPr="00986F85" w:rsidRDefault="007F1135" w:rsidP="00502A90">
            <w:pPr>
              <w:snapToGrid w:val="0"/>
              <w:spacing w:after="0" w:line="360" w:lineRule="auto"/>
              <w:jc w:val="center"/>
              <w:rPr>
                <w:rFonts w:cs="Times New Roman"/>
                <w:sz w:val="22"/>
                <w:szCs w:val="24"/>
              </w:rPr>
            </w:pPr>
            <w:r w:rsidRPr="00986F85">
              <w:rPr>
                <w:rFonts w:ascii="Menlo Regular" w:eastAsia="MS Gothic" w:hAnsi="Menlo Regular" w:cs="Menlo Regular"/>
                <w:color w:val="B10000"/>
                <w:sz w:val="22"/>
                <w:szCs w:val="24"/>
              </w:rPr>
              <w:t>✔</w:t>
            </w:r>
          </w:p>
        </w:tc>
        <w:tc>
          <w:tcPr>
            <w:tcW w:w="654" w:type="pct"/>
            <w:shd w:val="clear" w:color="auto" w:fill="auto"/>
          </w:tcPr>
          <w:p w14:paraId="2F347033" w14:textId="77777777" w:rsidR="009F07F5" w:rsidRPr="00986F85" w:rsidRDefault="009F07F5" w:rsidP="00502A90">
            <w:pPr>
              <w:snapToGrid w:val="0"/>
              <w:spacing w:after="0" w:line="360" w:lineRule="auto"/>
              <w:jc w:val="center"/>
              <w:rPr>
                <w:rFonts w:cs="Times New Roman"/>
                <w:sz w:val="22"/>
                <w:szCs w:val="24"/>
              </w:rPr>
            </w:pPr>
          </w:p>
        </w:tc>
        <w:tc>
          <w:tcPr>
            <w:tcW w:w="654" w:type="pct"/>
            <w:shd w:val="clear" w:color="auto" w:fill="auto"/>
          </w:tcPr>
          <w:p w14:paraId="09C10FA1" w14:textId="77777777" w:rsidR="009F07F5" w:rsidRPr="00986F85" w:rsidRDefault="009F07F5" w:rsidP="00502A90">
            <w:pPr>
              <w:snapToGrid w:val="0"/>
              <w:spacing w:after="0" w:line="360" w:lineRule="auto"/>
              <w:jc w:val="center"/>
              <w:rPr>
                <w:rFonts w:cs="Times New Roman"/>
                <w:sz w:val="22"/>
                <w:szCs w:val="24"/>
              </w:rPr>
            </w:pPr>
          </w:p>
        </w:tc>
        <w:tc>
          <w:tcPr>
            <w:tcW w:w="654" w:type="pct"/>
            <w:shd w:val="clear" w:color="auto" w:fill="auto"/>
          </w:tcPr>
          <w:p w14:paraId="4E815AE5" w14:textId="77777777" w:rsidR="009F07F5" w:rsidRPr="00986F85" w:rsidRDefault="009F07F5" w:rsidP="00502A90">
            <w:pPr>
              <w:snapToGrid w:val="0"/>
              <w:spacing w:after="0" w:line="360" w:lineRule="auto"/>
              <w:jc w:val="center"/>
              <w:rPr>
                <w:rFonts w:cs="Times New Roman"/>
                <w:sz w:val="22"/>
                <w:szCs w:val="24"/>
              </w:rPr>
            </w:pPr>
          </w:p>
        </w:tc>
      </w:tr>
      <w:tr w:rsidR="001075A8" w:rsidRPr="00986F85" w14:paraId="469E9423" w14:textId="77777777" w:rsidTr="0015414F">
        <w:tc>
          <w:tcPr>
            <w:tcW w:w="1731" w:type="pct"/>
            <w:shd w:val="clear" w:color="auto" w:fill="auto"/>
          </w:tcPr>
          <w:p w14:paraId="452CA6B9" w14:textId="77777777" w:rsidR="009F07F5" w:rsidRPr="00986F85" w:rsidRDefault="007F1135" w:rsidP="00B04415">
            <w:pPr>
              <w:snapToGrid w:val="0"/>
              <w:spacing w:after="0" w:line="360" w:lineRule="auto"/>
              <w:jc w:val="both"/>
              <w:rPr>
                <w:rFonts w:cs="Times New Roman"/>
                <w:szCs w:val="24"/>
              </w:rPr>
            </w:pPr>
            <w:r w:rsidRPr="00986F85">
              <w:rPr>
                <w:rFonts w:cs="Times New Roman"/>
                <w:szCs w:val="24"/>
              </w:rPr>
              <w:t>Ökonometriai modellezés</w:t>
            </w:r>
          </w:p>
        </w:tc>
        <w:tc>
          <w:tcPr>
            <w:tcW w:w="654" w:type="pct"/>
            <w:shd w:val="clear" w:color="auto" w:fill="auto"/>
          </w:tcPr>
          <w:p w14:paraId="5D04EC5C" w14:textId="77777777" w:rsidR="009F07F5" w:rsidRPr="00986F85" w:rsidRDefault="009F07F5" w:rsidP="00502A90">
            <w:pPr>
              <w:snapToGrid w:val="0"/>
              <w:spacing w:after="0" w:line="360" w:lineRule="auto"/>
              <w:jc w:val="center"/>
              <w:rPr>
                <w:rFonts w:cs="Times New Roman"/>
                <w:sz w:val="22"/>
                <w:szCs w:val="24"/>
              </w:rPr>
            </w:pPr>
          </w:p>
        </w:tc>
        <w:tc>
          <w:tcPr>
            <w:tcW w:w="654" w:type="pct"/>
            <w:shd w:val="clear" w:color="auto" w:fill="auto"/>
          </w:tcPr>
          <w:p w14:paraId="20EC6781" w14:textId="77777777" w:rsidR="009F07F5" w:rsidRPr="00986F85" w:rsidRDefault="009F07F5" w:rsidP="00502A90">
            <w:pPr>
              <w:snapToGrid w:val="0"/>
              <w:spacing w:after="0" w:line="360" w:lineRule="auto"/>
              <w:jc w:val="center"/>
              <w:rPr>
                <w:rFonts w:cs="Times New Roman"/>
                <w:sz w:val="22"/>
                <w:szCs w:val="24"/>
              </w:rPr>
            </w:pPr>
          </w:p>
        </w:tc>
        <w:tc>
          <w:tcPr>
            <w:tcW w:w="654" w:type="pct"/>
            <w:shd w:val="clear" w:color="auto" w:fill="auto"/>
          </w:tcPr>
          <w:p w14:paraId="284B90CA" w14:textId="77777777" w:rsidR="009F07F5" w:rsidRPr="00986F85" w:rsidRDefault="007F1135" w:rsidP="00502A90">
            <w:pPr>
              <w:snapToGrid w:val="0"/>
              <w:spacing w:after="0" w:line="360" w:lineRule="auto"/>
              <w:jc w:val="center"/>
              <w:rPr>
                <w:rFonts w:cs="Times New Roman"/>
                <w:sz w:val="22"/>
                <w:szCs w:val="24"/>
              </w:rPr>
            </w:pPr>
            <w:r w:rsidRPr="00986F85">
              <w:rPr>
                <w:rFonts w:ascii="Menlo Regular" w:eastAsia="MS Gothic" w:hAnsi="Menlo Regular" w:cs="Menlo Regular"/>
                <w:color w:val="B10000"/>
                <w:sz w:val="22"/>
                <w:szCs w:val="24"/>
              </w:rPr>
              <w:t>✔</w:t>
            </w:r>
          </w:p>
        </w:tc>
        <w:tc>
          <w:tcPr>
            <w:tcW w:w="654" w:type="pct"/>
            <w:shd w:val="clear" w:color="auto" w:fill="auto"/>
          </w:tcPr>
          <w:p w14:paraId="75FE4F73" w14:textId="77777777" w:rsidR="009F07F5" w:rsidRPr="00986F85" w:rsidRDefault="009F07F5" w:rsidP="00502A90">
            <w:pPr>
              <w:snapToGrid w:val="0"/>
              <w:spacing w:after="0" w:line="360" w:lineRule="auto"/>
              <w:jc w:val="center"/>
              <w:rPr>
                <w:rFonts w:cs="Times New Roman"/>
                <w:sz w:val="22"/>
                <w:szCs w:val="24"/>
              </w:rPr>
            </w:pPr>
          </w:p>
        </w:tc>
        <w:tc>
          <w:tcPr>
            <w:tcW w:w="654" w:type="pct"/>
            <w:shd w:val="clear" w:color="auto" w:fill="auto"/>
          </w:tcPr>
          <w:p w14:paraId="383AE637" w14:textId="77777777" w:rsidR="009F07F5" w:rsidRPr="00986F85" w:rsidRDefault="009F07F5" w:rsidP="00502A90">
            <w:pPr>
              <w:snapToGrid w:val="0"/>
              <w:spacing w:after="0" w:line="360" w:lineRule="auto"/>
              <w:jc w:val="center"/>
              <w:rPr>
                <w:rFonts w:cs="Times New Roman"/>
                <w:sz w:val="22"/>
                <w:szCs w:val="24"/>
              </w:rPr>
            </w:pPr>
          </w:p>
        </w:tc>
      </w:tr>
      <w:tr w:rsidR="001075A8" w:rsidRPr="00986F85" w14:paraId="72AC2BC7" w14:textId="77777777" w:rsidTr="0015414F">
        <w:tc>
          <w:tcPr>
            <w:tcW w:w="1731" w:type="pct"/>
            <w:shd w:val="clear" w:color="auto" w:fill="auto"/>
          </w:tcPr>
          <w:p w14:paraId="4CA5D97B" w14:textId="77777777" w:rsidR="009F07F5" w:rsidRPr="00986F85" w:rsidRDefault="007F1135" w:rsidP="00B04415">
            <w:pPr>
              <w:snapToGrid w:val="0"/>
              <w:spacing w:after="0" w:line="360" w:lineRule="auto"/>
              <w:jc w:val="both"/>
              <w:rPr>
                <w:rFonts w:cs="Times New Roman"/>
                <w:szCs w:val="24"/>
              </w:rPr>
            </w:pPr>
            <w:r w:rsidRPr="00986F85">
              <w:rPr>
                <w:rFonts w:cs="Times New Roman"/>
                <w:szCs w:val="24"/>
              </w:rPr>
              <w:t>Moderált szakértői műhely</w:t>
            </w:r>
          </w:p>
        </w:tc>
        <w:tc>
          <w:tcPr>
            <w:tcW w:w="654" w:type="pct"/>
            <w:shd w:val="clear" w:color="auto" w:fill="auto"/>
          </w:tcPr>
          <w:p w14:paraId="11952A90" w14:textId="77777777" w:rsidR="009F07F5" w:rsidRPr="00986F85" w:rsidRDefault="007F1135" w:rsidP="00502A90">
            <w:pPr>
              <w:snapToGrid w:val="0"/>
              <w:spacing w:after="0" w:line="360" w:lineRule="auto"/>
              <w:jc w:val="center"/>
              <w:rPr>
                <w:rFonts w:cs="Times New Roman"/>
                <w:sz w:val="22"/>
                <w:szCs w:val="24"/>
              </w:rPr>
            </w:pPr>
            <w:r w:rsidRPr="00986F85">
              <w:rPr>
                <w:rFonts w:ascii="Menlo Regular" w:eastAsia="MS Gothic" w:hAnsi="Menlo Regular" w:cs="Menlo Regular"/>
                <w:color w:val="B10000"/>
                <w:sz w:val="22"/>
                <w:szCs w:val="24"/>
              </w:rPr>
              <w:t>✔</w:t>
            </w:r>
          </w:p>
        </w:tc>
        <w:tc>
          <w:tcPr>
            <w:tcW w:w="654" w:type="pct"/>
            <w:shd w:val="clear" w:color="auto" w:fill="auto"/>
          </w:tcPr>
          <w:p w14:paraId="228E98DA" w14:textId="77777777" w:rsidR="009F07F5" w:rsidRPr="00986F85" w:rsidRDefault="007F1135" w:rsidP="00502A90">
            <w:pPr>
              <w:snapToGrid w:val="0"/>
              <w:spacing w:after="0" w:line="360" w:lineRule="auto"/>
              <w:jc w:val="center"/>
              <w:rPr>
                <w:rFonts w:cs="Times New Roman"/>
                <w:sz w:val="22"/>
                <w:szCs w:val="24"/>
              </w:rPr>
            </w:pPr>
            <w:r w:rsidRPr="00986F85">
              <w:rPr>
                <w:rFonts w:ascii="Menlo Regular" w:eastAsia="MS Gothic" w:hAnsi="Menlo Regular" w:cs="Menlo Regular"/>
                <w:color w:val="B10000"/>
                <w:sz w:val="22"/>
                <w:szCs w:val="24"/>
              </w:rPr>
              <w:t>✔</w:t>
            </w:r>
          </w:p>
        </w:tc>
        <w:tc>
          <w:tcPr>
            <w:tcW w:w="654" w:type="pct"/>
            <w:shd w:val="clear" w:color="auto" w:fill="auto"/>
          </w:tcPr>
          <w:p w14:paraId="538AA20F" w14:textId="77777777" w:rsidR="009F07F5" w:rsidRPr="00986F85" w:rsidRDefault="007F1135" w:rsidP="00502A90">
            <w:pPr>
              <w:snapToGrid w:val="0"/>
              <w:spacing w:after="0" w:line="360" w:lineRule="auto"/>
              <w:jc w:val="center"/>
              <w:rPr>
                <w:rFonts w:cs="Times New Roman"/>
                <w:sz w:val="22"/>
                <w:szCs w:val="24"/>
              </w:rPr>
            </w:pPr>
            <w:r w:rsidRPr="00986F85">
              <w:rPr>
                <w:rFonts w:ascii="Menlo Regular" w:eastAsia="MS Gothic" w:hAnsi="Menlo Regular" w:cs="Menlo Regular"/>
                <w:color w:val="B10000"/>
                <w:sz w:val="22"/>
                <w:szCs w:val="24"/>
              </w:rPr>
              <w:t>✔</w:t>
            </w:r>
          </w:p>
        </w:tc>
        <w:tc>
          <w:tcPr>
            <w:tcW w:w="654" w:type="pct"/>
            <w:shd w:val="clear" w:color="auto" w:fill="auto"/>
          </w:tcPr>
          <w:p w14:paraId="08780281" w14:textId="77777777" w:rsidR="009F07F5" w:rsidRPr="00986F85" w:rsidRDefault="009F07F5" w:rsidP="00502A90">
            <w:pPr>
              <w:snapToGrid w:val="0"/>
              <w:spacing w:after="0" w:line="360" w:lineRule="auto"/>
              <w:jc w:val="center"/>
              <w:rPr>
                <w:rFonts w:cs="Times New Roman"/>
                <w:sz w:val="22"/>
                <w:szCs w:val="24"/>
              </w:rPr>
            </w:pPr>
          </w:p>
        </w:tc>
        <w:tc>
          <w:tcPr>
            <w:tcW w:w="654" w:type="pct"/>
            <w:shd w:val="clear" w:color="auto" w:fill="auto"/>
          </w:tcPr>
          <w:p w14:paraId="7F04B54C" w14:textId="77777777" w:rsidR="009F07F5" w:rsidRPr="00986F85" w:rsidRDefault="007F1135" w:rsidP="00502A90">
            <w:pPr>
              <w:snapToGrid w:val="0"/>
              <w:spacing w:after="0" w:line="360" w:lineRule="auto"/>
              <w:jc w:val="center"/>
              <w:rPr>
                <w:rFonts w:cs="Times New Roman"/>
                <w:sz w:val="22"/>
                <w:szCs w:val="24"/>
              </w:rPr>
            </w:pPr>
            <w:r w:rsidRPr="00986F85">
              <w:rPr>
                <w:rFonts w:ascii="Menlo Regular" w:eastAsia="MS Gothic" w:hAnsi="Menlo Regular" w:cs="Menlo Regular"/>
                <w:color w:val="B10000"/>
                <w:sz w:val="22"/>
                <w:szCs w:val="24"/>
              </w:rPr>
              <w:t>✔</w:t>
            </w:r>
          </w:p>
        </w:tc>
      </w:tr>
      <w:tr w:rsidR="001075A8" w:rsidRPr="00986F85" w14:paraId="2683773A" w14:textId="77777777" w:rsidTr="0015414F">
        <w:tc>
          <w:tcPr>
            <w:tcW w:w="1731" w:type="pct"/>
            <w:shd w:val="clear" w:color="auto" w:fill="auto"/>
          </w:tcPr>
          <w:p w14:paraId="52186535" w14:textId="77777777" w:rsidR="009F07F5" w:rsidRPr="00986F85" w:rsidRDefault="007F1135" w:rsidP="00B04415">
            <w:pPr>
              <w:snapToGrid w:val="0"/>
              <w:spacing w:after="0" w:line="360" w:lineRule="auto"/>
              <w:jc w:val="both"/>
              <w:rPr>
                <w:rFonts w:cs="Times New Roman"/>
                <w:szCs w:val="24"/>
              </w:rPr>
            </w:pPr>
            <w:r w:rsidRPr="00986F85">
              <w:rPr>
                <w:rFonts w:cs="Times New Roman"/>
                <w:szCs w:val="24"/>
              </w:rPr>
              <w:t>Problématérkép</w:t>
            </w:r>
          </w:p>
        </w:tc>
        <w:tc>
          <w:tcPr>
            <w:tcW w:w="654" w:type="pct"/>
            <w:shd w:val="clear" w:color="auto" w:fill="auto"/>
          </w:tcPr>
          <w:p w14:paraId="0CEF7C19" w14:textId="77777777" w:rsidR="009F07F5" w:rsidRPr="00986F85" w:rsidRDefault="009F07F5" w:rsidP="00502A90">
            <w:pPr>
              <w:snapToGrid w:val="0"/>
              <w:spacing w:after="0" w:line="360" w:lineRule="auto"/>
              <w:jc w:val="center"/>
              <w:rPr>
                <w:rFonts w:cs="Times New Roman"/>
                <w:sz w:val="22"/>
                <w:szCs w:val="24"/>
              </w:rPr>
            </w:pPr>
          </w:p>
        </w:tc>
        <w:tc>
          <w:tcPr>
            <w:tcW w:w="654" w:type="pct"/>
            <w:shd w:val="clear" w:color="auto" w:fill="auto"/>
          </w:tcPr>
          <w:p w14:paraId="5A787664" w14:textId="77777777" w:rsidR="009F07F5" w:rsidRPr="00986F85" w:rsidRDefault="009F07F5" w:rsidP="00502A90">
            <w:pPr>
              <w:snapToGrid w:val="0"/>
              <w:spacing w:after="0" w:line="360" w:lineRule="auto"/>
              <w:jc w:val="center"/>
              <w:rPr>
                <w:rFonts w:cs="Times New Roman"/>
                <w:sz w:val="22"/>
                <w:szCs w:val="24"/>
              </w:rPr>
            </w:pPr>
          </w:p>
        </w:tc>
        <w:tc>
          <w:tcPr>
            <w:tcW w:w="654" w:type="pct"/>
            <w:shd w:val="clear" w:color="auto" w:fill="auto"/>
          </w:tcPr>
          <w:p w14:paraId="5A62B3B7" w14:textId="77777777" w:rsidR="009F07F5" w:rsidRPr="00986F85" w:rsidRDefault="007F1135" w:rsidP="00502A90">
            <w:pPr>
              <w:snapToGrid w:val="0"/>
              <w:spacing w:after="0" w:line="360" w:lineRule="auto"/>
              <w:jc w:val="center"/>
              <w:rPr>
                <w:rFonts w:cs="Times New Roman"/>
                <w:sz w:val="22"/>
                <w:szCs w:val="24"/>
              </w:rPr>
            </w:pPr>
            <w:r w:rsidRPr="00986F85">
              <w:rPr>
                <w:rFonts w:ascii="Menlo Regular" w:eastAsia="MS Gothic" w:hAnsi="Menlo Regular" w:cs="Menlo Regular"/>
                <w:color w:val="B10000"/>
                <w:sz w:val="22"/>
                <w:szCs w:val="24"/>
              </w:rPr>
              <w:t>✔</w:t>
            </w:r>
          </w:p>
        </w:tc>
        <w:tc>
          <w:tcPr>
            <w:tcW w:w="654" w:type="pct"/>
            <w:shd w:val="clear" w:color="auto" w:fill="auto"/>
          </w:tcPr>
          <w:p w14:paraId="17956812" w14:textId="77777777" w:rsidR="009F07F5" w:rsidRPr="00986F85" w:rsidRDefault="007F1135" w:rsidP="00502A90">
            <w:pPr>
              <w:snapToGrid w:val="0"/>
              <w:spacing w:after="0" w:line="360" w:lineRule="auto"/>
              <w:jc w:val="center"/>
              <w:rPr>
                <w:rFonts w:cs="Times New Roman"/>
                <w:sz w:val="22"/>
                <w:szCs w:val="24"/>
              </w:rPr>
            </w:pPr>
            <w:r w:rsidRPr="00986F85">
              <w:rPr>
                <w:rFonts w:ascii="Menlo Regular" w:eastAsia="MS Gothic" w:hAnsi="Menlo Regular" w:cs="Menlo Regular"/>
                <w:color w:val="B10000"/>
                <w:sz w:val="22"/>
                <w:szCs w:val="24"/>
              </w:rPr>
              <w:t>✔</w:t>
            </w:r>
          </w:p>
        </w:tc>
        <w:tc>
          <w:tcPr>
            <w:tcW w:w="654" w:type="pct"/>
            <w:shd w:val="clear" w:color="auto" w:fill="auto"/>
          </w:tcPr>
          <w:p w14:paraId="59C6464A" w14:textId="77777777" w:rsidR="009F07F5" w:rsidRPr="00986F85" w:rsidRDefault="009F07F5" w:rsidP="00502A90">
            <w:pPr>
              <w:snapToGrid w:val="0"/>
              <w:spacing w:after="0" w:line="360" w:lineRule="auto"/>
              <w:jc w:val="center"/>
              <w:rPr>
                <w:rFonts w:cs="Times New Roman"/>
                <w:sz w:val="22"/>
                <w:szCs w:val="24"/>
              </w:rPr>
            </w:pPr>
          </w:p>
        </w:tc>
      </w:tr>
    </w:tbl>
    <w:p w14:paraId="1C81A698" w14:textId="77777777" w:rsidR="0076036B" w:rsidRPr="00986F85" w:rsidRDefault="00B04415" w:rsidP="00B04415">
      <w:pPr>
        <w:pStyle w:val="Cmsor1"/>
        <w:spacing w:before="0" w:after="0" w:line="360" w:lineRule="auto"/>
        <w:jc w:val="both"/>
        <w:rPr>
          <w:szCs w:val="24"/>
        </w:rPr>
      </w:pPr>
      <w:r w:rsidRPr="00986F85">
        <w:rPr>
          <w:szCs w:val="24"/>
        </w:rPr>
        <w:br w:type="page"/>
      </w:r>
      <w:bookmarkStart w:id="13" w:name="_Toc230854309"/>
      <w:r w:rsidR="00085B42" w:rsidRPr="00986F85">
        <w:rPr>
          <w:szCs w:val="24"/>
        </w:rPr>
        <w:lastRenderedPageBreak/>
        <w:t>I</w:t>
      </w:r>
      <w:r w:rsidR="00C13522" w:rsidRPr="00986F85">
        <w:rPr>
          <w:szCs w:val="24"/>
        </w:rPr>
        <w:t xml:space="preserve">I. </w:t>
      </w:r>
      <w:r w:rsidR="0076036B" w:rsidRPr="00986F85">
        <w:rPr>
          <w:szCs w:val="24"/>
        </w:rPr>
        <w:t>VIZSGÁLAT MEGALAPOZÁSA</w:t>
      </w:r>
      <w:bookmarkEnd w:id="13"/>
    </w:p>
    <w:p w14:paraId="34E0C360" w14:textId="77777777" w:rsidR="00F075EA" w:rsidRPr="00986F85" w:rsidRDefault="00A45FCA" w:rsidP="009A68E7">
      <w:pPr>
        <w:rPr>
          <w:szCs w:val="24"/>
        </w:rPr>
      </w:pPr>
      <w:r w:rsidRPr="00986F85">
        <w:rPr>
          <w:noProof/>
          <w:lang w:eastAsia="hu-HU"/>
        </w:rPr>
        <mc:AlternateContent>
          <mc:Choice Requires="wps">
            <w:drawing>
              <wp:anchor distT="0" distB="0" distL="114300" distR="114300" simplePos="0" relativeHeight="251655168" behindDoc="0" locked="0" layoutInCell="1" allowOverlap="1" wp14:anchorId="0AD6D44F" wp14:editId="6E9B9FEE">
                <wp:simplePos x="0" y="0"/>
                <wp:positionH relativeFrom="column">
                  <wp:posOffset>0</wp:posOffset>
                </wp:positionH>
                <wp:positionV relativeFrom="paragraph">
                  <wp:posOffset>274320</wp:posOffset>
                </wp:positionV>
                <wp:extent cx="5746115" cy="672465"/>
                <wp:effectExtent l="0" t="0" r="0" b="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115" cy="672465"/>
                        </a:xfrm>
                        <a:prstGeom prst="rect">
                          <a:avLst/>
                        </a:prstGeom>
                        <a:solidFill>
                          <a:srgbClr val="D8D8D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040E9C9" w14:textId="77777777" w:rsidR="00E433FC" w:rsidRPr="00F075EA" w:rsidRDefault="00E433FC" w:rsidP="00F075EA">
                            <w:pPr>
                              <w:snapToGrid w:val="0"/>
                              <w:spacing w:after="0" w:line="360" w:lineRule="auto"/>
                              <w:jc w:val="both"/>
                              <w:rPr>
                                <w:rFonts w:ascii="Times New Roman" w:eastAsia="Times New Roman" w:hAnsi="Times New Roman" w:cs="Times New Roman"/>
                                <w:b/>
                                <w:i/>
                                <w:szCs w:val="24"/>
                              </w:rPr>
                            </w:pPr>
                            <w:r w:rsidRPr="000352E2">
                              <w:rPr>
                                <w:rFonts w:cs="Times New Roman"/>
                                <w:b/>
                                <w:i/>
                                <w:szCs w:val="24"/>
                              </w:rPr>
                              <w:t>Milyen</w:t>
                            </w:r>
                            <w:r w:rsidRPr="000352E2">
                              <w:rPr>
                                <w:rFonts w:eastAsia="Times New Roman" w:cs="Times New Roman"/>
                                <w:b/>
                                <w:i/>
                                <w:szCs w:val="24"/>
                              </w:rPr>
                              <w:t xml:space="preserve"> </w:t>
                            </w:r>
                            <w:r w:rsidRPr="000352E2">
                              <w:rPr>
                                <w:rFonts w:cs="Times New Roman"/>
                                <w:b/>
                                <w:i/>
                                <w:szCs w:val="24"/>
                              </w:rPr>
                              <w:t>stratégiai</w:t>
                            </w:r>
                            <w:r w:rsidRPr="000352E2">
                              <w:rPr>
                                <w:rFonts w:eastAsia="Times New Roman" w:cs="Times New Roman"/>
                                <w:b/>
                                <w:i/>
                                <w:szCs w:val="24"/>
                              </w:rPr>
                              <w:t xml:space="preserve"> </w:t>
                            </w:r>
                            <w:r w:rsidRPr="000352E2">
                              <w:rPr>
                                <w:rFonts w:cs="Times New Roman"/>
                                <w:b/>
                                <w:i/>
                                <w:szCs w:val="24"/>
                              </w:rPr>
                              <w:t>célok</w:t>
                            </w:r>
                            <w:r w:rsidRPr="000352E2">
                              <w:rPr>
                                <w:rFonts w:eastAsia="Times New Roman" w:cs="Times New Roman"/>
                                <w:b/>
                                <w:i/>
                                <w:szCs w:val="24"/>
                              </w:rPr>
                              <w:t xml:space="preserve"> </w:t>
                            </w:r>
                            <w:r w:rsidRPr="000352E2">
                              <w:rPr>
                                <w:rFonts w:cs="Times New Roman"/>
                                <w:b/>
                                <w:i/>
                                <w:szCs w:val="24"/>
                              </w:rPr>
                              <w:t>és</w:t>
                            </w:r>
                            <w:r w:rsidRPr="000352E2">
                              <w:rPr>
                                <w:rFonts w:eastAsia="Times New Roman" w:cs="Times New Roman"/>
                                <w:b/>
                                <w:i/>
                                <w:szCs w:val="24"/>
                              </w:rPr>
                              <w:t xml:space="preserve"> </w:t>
                            </w:r>
                            <w:r w:rsidRPr="000352E2">
                              <w:rPr>
                                <w:rFonts w:cs="Times New Roman"/>
                                <w:b/>
                                <w:i/>
                                <w:szCs w:val="24"/>
                              </w:rPr>
                              <w:t>szempontok</w:t>
                            </w:r>
                            <w:r w:rsidRPr="000352E2">
                              <w:rPr>
                                <w:rFonts w:eastAsia="Times New Roman" w:cs="Times New Roman"/>
                                <w:b/>
                                <w:i/>
                                <w:szCs w:val="24"/>
                              </w:rPr>
                              <w:t xml:space="preserve"> </w:t>
                            </w:r>
                            <w:r w:rsidRPr="000352E2">
                              <w:rPr>
                                <w:rFonts w:cs="Times New Roman"/>
                                <w:b/>
                                <w:i/>
                                <w:szCs w:val="24"/>
                              </w:rPr>
                              <w:t>vezérlik</w:t>
                            </w:r>
                            <w:r w:rsidRPr="000352E2">
                              <w:rPr>
                                <w:rFonts w:eastAsia="Times New Roman" w:cs="Times New Roman"/>
                                <w:b/>
                                <w:i/>
                                <w:szCs w:val="24"/>
                              </w:rPr>
                              <w:t xml:space="preserve"> </w:t>
                            </w:r>
                            <w:r w:rsidRPr="000352E2">
                              <w:rPr>
                                <w:rFonts w:cs="Times New Roman"/>
                                <w:b/>
                                <w:i/>
                                <w:szCs w:val="24"/>
                              </w:rPr>
                              <w:t>a</w:t>
                            </w:r>
                            <w:r>
                              <w:rPr>
                                <w:rFonts w:ascii="Times New Roman" w:hAnsi="Times New Roman" w:cs="Times New Roman"/>
                                <w:b/>
                                <w:i/>
                                <w:szCs w:val="24"/>
                              </w:rPr>
                              <w:t xml:space="preserve"> </w:t>
                            </w:r>
                            <w:r>
                              <w:rPr>
                                <w:rFonts w:cs="Times New Roman"/>
                                <w:b/>
                                <w:i/>
                                <w:szCs w:val="24"/>
                              </w:rPr>
                              <w:t>vizsgált</w:t>
                            </w:r>
                            <w:r w:rsidRPr="000352E2">
                              <w:rPr>
                                <w:rFonts w:eastAsia="Times New Roman" w:cs="Times New Roman"/>
                                <w:b/>
                                <w:i/>
                                <w:szCs w:val="24"/>
                              </w:rPr>
                              <w:t xml:space="preserve"> </w:t>
                            </w:r>
                            <w:r w:rsidRPr="000352E2">
                              <w:rPr>
                                <w:rFonts w:cs="Times New Roman"/>
                                <w:b/>
                                <w:i/>
                                <w:szCs w:val="24"/>
                              </w:rPr>
                              <w:t>intézkedést?</w:t>
                            </w:r>
                            <w:r w:rsidRPr="000352E2">
                              <w:rPr>
                                <w:rFonts w:eastAsia="Times New Roman" w:cs="Times New Roman"/>
                                <w:b/>
                                <w:i/>
                                <w:szCs w:val="24"/>
                              </w:rPr>
                              <w:t xml:space="preserve"> </w:t>
                            </w:r>
                          </w:p>
                          <w:p w14:paraId="75557924" w14:textId="77777777" w:rsidR="00E433FC" w:rsidRPr="004E6EAC" w:rsidRDefault="00E433FC" w:rsidP="00DC2736">
                            <w:pPr>
                              <w:spacing w:line="360" w:lineRule="auto"/>
                              <w:jc w:val="both"/>
                              <w:rPr>
                                <w:rFonts w:cs="Times New Roman"/>
                                <w:b/>
                                <w:i/>
                              </w:rPr>
                            </w:pPr>
                            <w:r w:rsidRPr="000352E2">
                              <w:rPr>
                                <w:rFonts w:cs="Times New Roman"/>
                                <w:b/>
                                <w:i/>
                                <w:szCs w:val="24"/>
                              </w:rPr>
                              <w:t xml:space="preserve">Melyek a korábbi hatásvizsgálatok tapasztalatai?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6D44F" id="_x0000_t202" coordsize="21600,21600" o:spt="202" path="m,l,21600r21600,l21600,xe">
                <v:stroke joinstyle="miter"/>
                <v:path gradientshapeok="t" o:connecttype="rect"/>
              </v:shapetype>
              <v:shape id="Text Box 2" o:spid="_x0000_s1026" type="#_x0000_t202" style="position:absolute;margin-left:0;margin-top:21.6pt;width:452.45pt;height:52.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" fillcolor="#d8d8d8" stroked="f">
                <v:textbox inset=",7.2pt,,7.2pt">
                  <w:txbxContent>
                    <w:p w14:paraId="2040E9C9" w14:textId="77777777" w:rsidR="00E433FC" w:rsidRPr="00F075EA" w:rsidRDefault="00E433FC" w:rsidP="00F075EA">
                      <w:pPr>
                        <w:snapToGrid w:val="0"/>
                        <w:spacing w:after="0" w:line="360" w:lineRule="auto"/>
                        <w:jc w:val="both"/>
                        <w:rPr>
                          <w:rFonts w:ascii="Times New Roman" w:eastAsia="Times New Roman" w:hAnsi="Times New Roman" w:cs="Times New Roman"/>
                          <w:b/>
                          <w:i/>
                          <w:szCs w:val="24"/>
                        </w:rPr>
                      </w:pPr>
                      <w:r w:rsidRPr="000352E2">
                        <w:rPr>
                          <w:rFonts w:cs="Times New Roman"/>
                          <w:b/>
                          <w:i/>
                          <w:szCs w:val="24"/>
                        </w:rPr>
                        <w:t>Milyen</w:t>
                      </w:r>
                      <w:r w:rsidRPr="000352E2">
                        <w:rPr>
                          <w:rFonts w:eastAsia="Times New Roman" w:cs="Times New Roman"/>
                          <w:b/>
                          <w:i/>
                          <w:szCs w:val="24"/>
                        </w:rPr>
                        <w:t xml:space="preserve"> </w:t>
                      </w:r>
                      <w:r w:rsidRPr="000352E2">
                        <w:rPr>
                          <w:rFonts w:cs="Times New Roman"/>
                          <w:b/>
                          <w:i/>
                          <w:szCs w:val="24"/>
                        </w:rPr>
                        <w:t>stratégiai</w:t>
                      </w:r>
                      <w:r w:rsidRPr="000352E2">
                        <w:rPr>
                          <w:rFonts w:eastAsia="Times New Roman" w:cs="Times New Roman"/>
                          <w:b/>
                          <w:i/>
                          <w:szCs w:val="24"/>
                        </w:rPr>
                        <w:t xml:space="preserve"> </w:t>
                      </w:r>
                      <w:r w:rsidRPr="000352E2">
                        <w:rPr>
                          <w:rFonts w:cs="Times New Roman"/>
                          <w:b/>
                          <w:i/>
                          <w:szCs w:val="24"/>
                        </w:rPr>
                        <w:t>célok</w:t>
                      </w:r>
                      <w:r w:rsidRPr="000352E2">
                        <w:rPr>
                          <w:rFonts w:eastAsia="Times New Roman" w:cs="Times New Roman"/>
                          <w:b/>
                          <w:i/>
                          <w:szCs w:val="24"/>
                        </w:rPr>
                        <w:t xml:space="preserve"> </w:t>
                      </w:r>
                      <w:r w:rsidRPr="000352E2">
                        <w:rPr>
                          <w:rFonts w:cs="Times New Roman"/>
                          <w:b/>
                          <w:i/>
                          <w:szCs w:val="24"/>
                        </w:rPr>
                        <w:t>és</w:t>
                      </w:r>
                      <w:r w:rsidRPr="000352E2">
                        <w:rPr>
                          <w:rFonts w:eastAsia="Times New Roman" w:cs="Times New Roman"/>
                          <w:b/>
                          <w:i/>
                          <w:szCs w:val="24"/>
                        </w:rPr>
                        <w:t xml:space="preserve"> </w:t>
                      </w:r>
                      <w:r w:rsidRPr="000352E2">
                        <w:rPr>
                          <w:rFonts w:cs="Times New Roman"/>
                          <w:b/>
                          <w:i/>
                          <w:szCs w:val="24"/>
                        </w:rPr>
                        <w:t>szempontok</w:t>
                      </w:r>
                      <w:r w:rsidRPr="000352E2">
                        <w:rPr>
                          <w:rFonts w:eastAsia="Times New Roman" w:cs="Times New Roman"/>
                          <w:b/>
                          <w:i/>
                          <w:szCs w:val="24"/>
                        </w:rPr>
                        <w:t xml:space="preserve"> </w:t>
                      </w:r>
                      <w:r w:rsidRPr="000352E2">
                        <w:rPr>
                          <w:rFonts w:cs="Times New Roman"/>
                          <w:b/>
                          <w:i/>
                          <w:szCs w:val="24"/>
                        </w:rPr>
                        <w:t>vezérlik</w:t>
                      </w:r>
                      <w:r w:rsidRPr="000352E2">
                        <w:rPr>
                          <w:rFonts w:eastAsia="Times New Roman" w:cs="Times New Roman"/>
                          <w:b/>
                          <w:i/>
                          <w:szCs w:val="24"/>
                        </w:rPr>
                        <w:t xml:space="preserve"> </w:t>
                      </w:r>
                      <w:r w:rsidRPr="000352E2">
                        <w:rPr>
                          <w:rFonts w:cs="Times New Roman"/>
                          <w:b/>
                          <w:i/>
                          <w:szCs w:val="24"/>
                        </w:rPr>
                        <w:t>a</w:t>
                      </w:r>
                      <w:r>
                        <w:rPr>
                          <w:rFonts w:ascii="Times New Roman" w:hAnsi="Times New Roman" w:cs="Times New Roman"/>
                          <w:b/>
                          <w:i/>
                          <w:szCs w:val="24"/>
                        </w:rPr>
                        <w:t xml:space="preserve"> </w:t>
                      </w:r>
                      <w:r>
                        <w:rPr>
                          <w:rFonts w:cs="Times New Roman"/>
                          <w:b/>
                          <w:i/>
                          <w:szCs w:val="24"/>
                        </w:rPr>
                        <w:t>vizsgált</w:t>
                      </w:r>
                      <w:r w:rsidRPr="000352E2">
                        <w:rPr>
                          <w:rFonts w:eastAsia="Times New Roman" w:cs="Times New Roman"/>
                          <w:b/>
                          <w:i/>
                          <w:szCs w:val="24"/>
                        </w:rPr>
                        <w:t xml:space="preserve"> </w:t>
                      </w:r>
                      <w:r w:rsidRPr="000352E2">
                        <w:rPr>
                          <w:rFonts w:cs="Times New Roman"/>
                          <w:b/>
                          <w:i/>
                          <w:szCs w:val="24"/>
                        </w:rPr>
                        <w:t>intézkedést?</w:t>
                      </w:r>
                      <w:r w:rsidRPr="000352E2">
                        <w:rPr>
                          <w:rFonts w:eastAsia="Times New Roman" w:cs="Times New Roman"/>
                          <w:b/>
                          <w:i/>
                          <w:szCs w:val="24"/>
                        </w:rPr>
                        <w:t xml:space="preserve"> </w:t>
                      </w:r>
                    </w:p>
                    <w:p w14:paraId="75557924" w14:textId="77777777" w:rsidR="00E433FC" w:rsidRPr="004E6EAC" w:rsidRDefault="00E433FC" w:rsidP="00DC2736">
                      <w:pPr>
                        <w:spacing w:line="360" w:lineRule="auto"/>
                        <w:jc w:val="both"/>
                        <w:rPr>
                          <w:rFonts w:cs="Times New Roman"/>
                          <w:b/>
                          <w:i/>
                        </w:rPr>
                      </w:pPr>
                      <w:r w:rsidRPr="000352E2">
                        <w:rPr>
                          <w:rFonts w:cs="Times New Roman"/>
                          <w:b/>
                          <w:i/>
                          <w:szCs w:val="24"/>
                        </w:rPr>
                        <w:t xml:space="preserve">Melyek a korábbi hatásvizsgálatok tapasztalatai? </w:t>
                      </w:r>
                    </w:p>
                  </w:txbxContent>
                </v:textbox>
                <w10:wrap type="square"/>
              </v:shape>
            </w:pict>
          </mc:Fallback>
        </mc:AlternateContent>
      </w:r>
    </w:p>
    <w:p w14:paraId="2DB40F85" w14:textId="77777777" w:rsidR="0076036B" w:rsidRPr="00986F85" w:rsidRDefault="0076036B" w:rsidP="00B04415">
      <w:pPr>
        <w:pStyle w:val="Cmsor2"/>
        <w:spacing w:before="0" w:after="0" w:line="360" w:lineRule="auto"/>
        <w:jc w:val="both"/>
        <w:rPr>
          <w:rFonts w:ascii="Myriad Pro" w:hAnsi="Myriad Pro"/>
          <w:szCs w:val="24"/>
        </w:rPr>
      </w:pPr>
      <w:bookmarkStart w:id="14" w:name="_Toc230854310"/>
      <w:r w:rsidRPr="00986F85">
        <w:rPr>
          <w:rFonts w:ascii="Myriad Pro" w:hAnsi="Myriad Pro"/>
          <w:szCs w:val="24"/>
        </w:rPr>
        <w:t>FEJLESZTÉSPOLITIKAI KONTEXTUS</w:t>
      </w:r>
      <w:bookmarkEnd w:id="14"/>
    </w:p>
    <w:p w14:paraId="6FC42C64" w14:textId="77777777" w:rsidR="00FC312E" w:rsidRPr="00986F85" w:rsidRDefault="00FC312E" w:rsidP="00B04415">
      <w:pPr>
        <w:spacing w:after="0" w:line="360" w:lineRule="auto"/>
        <w:jc w:val="both"/>
        <w:rPr>
          <w:rFonts w:cs="Times New Roman"/>
          <w:szCs w:val="24"/>
        </w:rPr>
      </w:pPr>
      <w:r w:rsidRPr="00986F85">
        <w:rPr>
          <w:rFonts w:cs="Times New Roman"/>
          <w:szCs w:val="24"/>
        </w:rPr>
        <w:t>Európai</w:t>
      </w:r>
      <w:r w:rsidRPr="00986F85">
        <w:rPr>
          <w:rFonts w:eastAsia="Liberation Serif;Times New Roma" w:cs="Times New Roman"/>
          <w:szCs w:val="24"/>
        </w:rPr>
        <w:t xml:space="preserve"> </w:t>
      </w:r>
      <w:r w:rsidRPr="00986F85">
        <w:rPr>
          <w:rFonts w:cs="Times New Roman"/>
          <w:szCs w:val="24"/>
        </w:rPr>
        <w:t>Uniós</w:t>
      </w:r>
      <w:r w:rsidRPr="00986F85">
        <w:rPr>
          <w:rFonts w:eastAsia="Liberation Serif;Times New Roma" w:cs="Times New Roman"/>
          <w:szCs w:val="24"/>
        </w:rPr>
        <w:t xml:space="preserve"> </w:t>
      </w:r>
      <w:r w:rsidRPr="00986F85">
        <w:rPr>
          <w:rFonts w:cs="Times New Roman"/>
          <w:szCs w:val="24"/>
        </w:rPr>
        <w:t>szinten</w:t>
      </w:r>
      <w:r w:rsidRPr="00986F85">
        <w:rPr>
          <w:rFonts w:eastAsia="Liberation Serif;Times New Roma" w:cs="Times New Roman"/>
          <w:szCs w:val="24"/>
        </w:rPr>
        <w:t xml:space="preserve"> </w:t>
      </w:r>
      <w:r w:rsidRPr="00986F85">
        <w:rPr>
          <w:rFonts w:cs="Times New Roman"/>
          <w:szCs w:val="24"/>
        </w:rPr>
        <w:t>a</w:t>
      </w:r>
      <w:r w:rsidRPr="00986F85">
        <w:rPr>
          <w:rFonts w:eastAsia="Liberation Serif;Times New Roma" w:cs="Times New Roman"/>
          <w:szCs w:val="24"/>
        </w:rPr>
        <w:t xml:space="preserve"> </w:t>
      </w:r>
      <w:r w:rsidRPr="00986F85">
        <w:rPr>
          <w:rFonts w:cs="Times New Roman"/>
          <w:szCs w:val="24"/>
        </w:rPr>
        <w:t>kis-</w:t>
      </w:r>
      <w:r w:rsidRPr="00986F85">
        <w:rPr>
          <w:rFonts w:eastAsia="Liberation Serif;Times New Roma" w:cs="Times New Roman"/>
          <w:szCs w:val="24"/>
        </w:rPr>
        <w:t xml:space="preserve"> </w:t>
      </w:r>
      <w:r w:rsidRPr="00986F85">
        <w:rPr>
          <w:rFonts w:cs="Times New Roman"/>
          <w:szCs w:val="24"/>
        </w:rPr>
        <w:t>és</w:t>
      </w:r>
      <w:r w:rsidRPr="00986F85">
        <w:rPr>
          <w:rFonts w:eastAsia="Liberation Serif;Times New Roma" w:cs="Times New Roman"/>
          <w:szCs w:val="24"/>
        </w:rPr>
        <w:t xml:space="preserve"> </w:t>
      </w:r>
      <w:r w:rsidRPr="00986F85">
        <w:rPr>
          <w:rFonts w:cs="Times New Roman"/>
          <w:szCs w:val="24"/>
        </w:rPr>
        <w:t>középvállalkozások</w:t>
      </w:r>
      <w:r w:rsidRPr="00986F85">
        <w:rPr>
          <w:rFonts w:eastAsia="Liberation Serif;Times New Roma" w:cs="Times New Roman"/>
          <w:szCs w:val="24"/>
        </w:rPr>
        <w:t xml:space="preserve"> </w:t>
      </w:r>
      <w:r w:rsidRPr="00986F85">
        <w:rPr>
          <w:rFonts w:cs="Times New Roman"/>
          <w:szCs w:val="24"/>
        </w:rPr>
        <w:t>fejlesztése</w:t>
      </w:r>
      <w:r w:rsidRPr="00986F85">
        <w:rPr>
          <w:rFonts w:eastAsia="Liberation Serif;Times New Roma" w:cs="Times New Roman"/>
          <w:szCs w:val="24"/>
        </w:rPr>
        <w:t xml:space="preserve"> </w:t>
      </w:r>
      <w:r w:rsidRPr="00986F85">
        <w:rPr>
          <w:rFonts w:cs="Times New Roman"/>
          <w:szCs w:val="24"/>
        </w:rPr>
        <w:t>a</w:t>
      </w:r>
      <w:r w:rsidRPr="00986F85">
        <w:rPr>
          <w:rFonts w:eastAsia="Liberation Serif;Times New Roma" w:cs="Times New Roman"/>
          <w:szCs w:val="24"/>
        </w:rPr>
        <w:t xml:space="preserve"> </w:t>
      </w:r>
      <w:r w:rsidRPr="00986F85">
        <w:rPr>
          <w:rFonts w:cs="Times New Roman"/>
          <w:szCs w:val="24"/>
        </w:rPr>
        <w:t>lisszaboni</w:t>
      </w:r>
      <w:r w:rsidRPr="00986F85">
        <w:rPr>
          <w:rFonts w:eastAsia="Liberation Serif;Times New Roma" w:cs="Times New Roman"/>
          <w:szCs w:val="24"/>
        </w:rPr>
        <w:t xml:space="preserve"> </w:t>
      </w:r>
      <w:r w:rsidRPr="00986F85">
        <w:rPr>
          <w:rFonts w:cs="Times New Roman"/>
          <w:szCs w:val="24"/>
        </w:rPr>
        <w:t>folyamatot</w:t>
      </w:r>
      <w:r w:rsidRPr="00986F85">
        <w:rPr>
          <w:rFonts w:eastAsia="Liberation Serif;Times New Roma" w:cs="Times New Roman"/>
          <w:szCs w:val="24"/>
        </w:rPr>
        <w:t xml:space="preserve"> </w:t>
      </w:r>
      <w:r w:rsidRPr="00986F85">
        <w:rPr>
          <w:rFonts w:cs="Times New Roman"/>
          <w:szCs w:val="24"/>
        </w:rPr>
        <w:t>vezérlő</w:t>
      </w:r>
      <w:r w:rsidRPr="00986F85">
        <w:rPr>
          <w:rFonts w:eastAsia="Liberation Serif;Times New Roma" w:cs="Times New Roman"/>
          <w:szCs w:val="24"/>
        </w:rPr>
        <w:t xml:space="preserve"> </w:t>
      </w:r>
      <w:r w:rsidRPr="00986F85">
        <w:rPr>
          <w:rFonts w:cs="Times New Roman"/>
          <w:szCs w:val="24"/>
        </w:rPr>
        <w:t>Integrált</w:t>
      </w:r>
      <w:r w:rsidRPr="00986F85">
        <w:rPr>
          <w:rFonts w:eastAsia="Liberation Serif;Times New Roma" w:cs="Times New Roman"/>
          <w:szCs w:val="24"/>
        </w:rPr>
        <w:t xml:space="preserve"> </w:t>
      </w:r>
      <w:r w:rsidRPr="00986F85">
        <w:rPr>
          <w:rFonts w:cs="Times New Roman"/>
          <w:szCs w:val="24"/>
        </w:rPr>
        <w:t>Iránymutatások</w:t>
      </w:r>
      <w:r w:rsidRPr="00986F85">
        <w:rPr>
          <w:rFonts w:eastAsia="Liberation Serif;Times New Roma" w:cs="Times New Roman"/>
          <w:szCs w:val="24"/>
        </w:rPr>
        <w:t xml:space="preserve"> </w:t>
      </w:r>
      <w:r w:rsidRPr="00986F85">
        <w:rPr>
          <w:rFonts w:cs="Times New Roman"/>
          <w:szCs w:val="24"/>
        </w:rPr>
        <w:t>(IG)</w:t>
      </w:r>
      <w:r w:rsidRPr="00986F85">
        <w:rPr>
          <w:rFonts w:eastAsia="Liberation Serif;Times New Roma" w:cs="Times New Roman"/>
          <w:szCs w:val="24"/>
        </w:rPr>
        <w:t xml:space="preserve"> </w:t>
      </w:r>
      <w:r w:rsidRPr="00986F85">
        <w:rPr>
          <w:rFonts w:cs="Times New Roman"/>
          <w:szCs w:val="24"/>
        </w:rPr>
        <w:t>tíz</w:t>
      </w:r>
      <w:r w:rsidRPr="00986F85">
        <w:rPr>
          <w:rFonts w:eastAsia="Liberation Serif;Times New Roma" w:cs="Times New Roman"/>
          <w:szCs w:val="24"/>
        </w:rPr>
        <w:t xml:space="preserve"> </w:t>
      </w:r>
      <w:r w:rsidRPr="00986F85">
        <w:rPr>
          <w:rFonts w:cs="Times New Roman"/>
          <w:szCs w:val="24"/>
        </w:rPr>
        <w:t>mikrogazdasági</w:t>
      </w:r>
      <w:r w:rsidRPr="00986F85">
        <w:rPr>
          <w:rFonts w:eastAsia="Liberation Serif;Times New Roma" w:cs="Times New Roman"/>
          <w:szCs w:val="24"/>
        </w:rPr>
        <w:t xml:space="preserve"> </w:t>
      </w:r>
      <w:r w:rsidRPr="00986F85">
        <w:rPr>
          <w:rFonts w:cs="Times New Roman"/>
          <w:szCs w:val="24"/>
        </w:rPr>
        <w:t>célkitűzése</w:t>
      </w:r>
      <w:r w:rsidRPr="00986F85">
        <w:rPr>
          <w:rFonts w:eastAsia="Liberation Serif;Times New Roma" w:cs="Times New Roman"/>
          <w:szCs w:val="24"/>
        </w:rPr>
        <w:t xml:space="preserve"> </w:t>
      </w:r>
      <w:r w:rsidRPr="00986F85">
        <w:rPr>
          <w:rFonts w:cs="Times New Roman"/>
          <w:szCs w:val="24"/>
        </w:rPr>
        <w:t>között</w:t>
      </w:r>
      <w:r w:rsidRPr="00986F85">
        <w:rPr>
          <w:rFonts w:eastAsia="Liberation Serif;Times New Roma" w:cs="Times New Roman"/>
          <w:szCs w:val="24"/>
        </w:rPr>
        <w:t xml:space="preserve"> </w:t>
      </w:r>
      <w:r w:rsidRPr="00986F85">
        <w:rPr>
          <w:rFonts w:cs="Times New Roman"/>
          <w:szCs w:val="24"/>
        </w:rPr>
        <w:t>kapott</w:t>
      </w:r>
      <w:r w:rsidRPr="00986F85">
        <w:rPr>
          <w:rFonts w:eastAsia="Liberation Serif;Times New Roma" w:cs="Times New Roman"/>
          <w:szCs w:val="24"/>
        </w:rPr>
        <w:t xml:space="preserve"> </w:t>
      </w:r>
      <w:r w:rsidRPr="00986F85">
        <w:rPr>
          <w:rFonts w:cs="Times New Roman"/>
          <w:szCs w:val="24"/>
        </w:rPr>
        <w:t>helyet,</w:t>
      </w:r>
      <w:r w:rsidRPr="00986F85">
        <w:rPr>
          <w:rFonts w:eastAsia="Liberation Serif;Times New Roma" w:cs="Times New Roman"/>
          <w:szCs w:val="24"/>
        </w:rPr>
        <w:t xml:space="preserve"> </w:t>
      </w:r>
      <w:r w:rsidRPr="00986F85">
        <w:rPr>
          <w:rFonts w:cs="Times New Roman"/>
          <w:szCs w:val="24"/>
        </w:rPr>
        <w:t>mely</w:t>
      </w:r>
      <w:r w:rsidRPr="00986F85">
        <w:rPr>
          <w:rFonts w:eastAsia="Liberation Serif;Times New Roma" w:cs="Times New Roman"/>
          <w:szCs w:val="24"/>
        </w:rPr>
        <w:t xml:space="preserve"> </w:t>
      </w:r>
      <w:r w:rsidRPr="00986F85">
        <w:rPr>
          <w:rFonts w:cs="Times New Roman"/>
          <w:szCs w:val="24"/>
        </w:rPr>
        <w:t>így</w:t>
      </w:r>
      <w:r w:rsidRPr="00986F85">
        <w:rPr>
          <w:rFonts w:eastAsia="Liberation Serif;Times New Roma" w:cs="Times New Roman"/>
          <w:szCs w:val="24"/>
        </w:rPr>
        <w:t xml:space="preserve"> </w:t>
      </w:r>
      <w:r w:rsidRPr="00986F85">
        <w:rPr>
          <w:rFonts w:cs="Times New Roman"/>
          <w:szCs w:val="24"/>
        </w:rPr>
        <w:t>a</w:t>
      </w:r>
      <w:r w:rsidRPr="00986F85">
        <w:rPr>
          <w:rFonts w:eastAsia="Liberation Serif;Times New Roma" w:cs="Times New Roman"/>
          <w:szCs w:val="24"/>
        </w:rPr>
        <w:t xml:space="preserve"> </w:t>
      </w:r>
      <w:r w:rsidRPr="00986F85">
        <w:rPr>
          <w:rFonts w:cs="Times New Roman"/>
          <w:szCs w:val="24"/>
        </w:rPr>
        <w:t>GOP</w:t>
      </w:r>
      <w:r w:rsidRPr="00986F85">
        <w:rPr>
          <w:rFonts w:eastAsia="Liberation Serif;Times New Roma" w:cs="Times New Roman"/>
          <w:szCs w:val="24"/>
        </w:rPr>
        <w:t xml:space="preserve"> </w:t>
      </w:r>
      <w:r w:rsidRPr="00986F85">
        <w:rPr>
          <w:rFonts w:cs="Times New Roman"/>
          <w:szCs w:val="24"/>
        </w:rPr>
        <w:t>2.</w:t>
      </w:r>
      <w:r w:rsidRPr="00986F85">
        <w:rPr>
          <w:rFonts w:eastAsia="Liberation Serif;Times New Roma" w:cs="Times New Roman"/>
          <w:szCs w:val="24"/>
        </w:rPr>
        <w:t xml:space="preserve"> </w:t>
      </w:r>
      <w:r w:rsidRPr="00986F85">
        <w:rPr>
          <w:rFonts w:cs="Times New Roman"/>
          <w:szCs w:val="24"/>
        </w:rPr>
        <w:t>prioritására</w:t>
      </w:r>
      <w:r w:rsidRPr="00986F85">
        <w:rPr>
          <w:rFonts w:eastAsia="Liberation Serif;Times New Roma" w:cs="Times New Roman"/>
          <w:szCs w:val="24"/>
        </w:rPr>
        <w:t xml:space="preserve"> </w:t>
      </w:r>
      <w:r w:rsidRPr="00986F85">
        <w:rPr>
          <w:rFonts w:cs="Times New Roman"/>
          <w:szCs w:val="24"/>
        </w:rPr>
        <w:t>vonatkozó</w:t>
      </w:r>
      <w:r w:rsidRPr="00986F85">
        <w:rPr>
          <w:rFonts w:eastAsia="Liberation Serif;Times New Roma" w:cs="Times New Roman"/>
          <w:szCs w:val="24"/>
        </w:rPr>
        <w:t xml:space="preserve"> </w:t>
      </w:r>
      <w:r w:rsidRPr="00986F85">
        <w:rPr>
          <w:rFonts w:cs="Times New Roman"/>
          <w:szCs w:val="24"/>
        </w:rPr>
        <w:t>legmagasabb</w:t>
      </w:r>
      <w:r w:rsidRPr="00986F85">
        <w:rPr>
          <w:rFonts w:eastAsia="Liberation Serif;Times New Roma" w:cs="Times New Roman"/>
          <w:szCs w:val="24"/>
        </w:rPr>
        <w:t xml:space="preserve"> </w:t>
      </w:r>
      <w:r w:rsidRPr="00986F85">
        <w:rPr>
          <w:rFonts w:cs="Times New Roman"/>
          <w:szCs w:val="24"/>
        </w:rPr>
        <w:t>szintű</w:t>
      </w:r>
      <w:r w:rsidRPr="00986F85">
        <w:rPr>
          <w:rFonts w:eastAsia="Liberation Serif;Times New Roma" w:cs="Times New Roman"/>
          <w:szCs w:val="24"/>
        </w:rPr>
        <w:t xml:space="preserve"> </w:t>
      </w:r>
      <w:r w:rsidRPr="00986F85">
        <w:rPr>
          <w:rFonts w:cs="Times New Roman"/>
          <w:szCs w:val="24"/>
        </w:rPr>
        <w:t>keretstratégia.</w:t>
      </w:r>
      <w:r w:rsidRPr="00986F85">
        <w:rPr>
          <w:rFonts w:eastAsia="Liberation Serif;Times New Roma" w:cs="Times New Roman"/>
          <w:szCs w:val="24"/>
        </w:rPr>
        <w:t xml:space="preserve"> </w:t>
      </w:r>
    </w:p>
    <w:p w14:paraId="53E7F8AE" w14:textId="77777777" w:rsidR="00FC312E" w:rsidRPr="00986F85" w:rsidRDefault="00FC312E" w:rsidP="00B04415">
      <w:pPr>
        <w:snapToGrid w:val="0"/>
        <w:spacing w:after="0" w:line="360" w:lineRule="auto"/>
        <w:jc w:val="both"/>
        <w:rPr>
          <w:rFonts w:cs="Times New Roman"/>
          <w:szCs w:val="24"/>
        </w:rPr>
      </w:pPr>
    </w:p>
    <w:p w14:paraId="053C0AE6" w14:textId="77777777" w:rsidR="0081651F" w:rsidRPr="00986F85" w:rsidRDefault="0081651F" w:rsidP="00B04415">
      <w:pPr>
        <w:snapToGrid w:val="0"/>
        <w:spacing w:after="0" w:line="360" w:lineRule="auto"/>
        <w:jc w:val="both"/>
        <w:rPr>
          <w:rFonts w:eastAsia="Times New Roman" w:cs="Times New Roman"/>
          <w:szCs w:val="24"/>
        </w:rPr>
      </w:pPr>
      <w:r w:rsidRPr="00986F85">
        <w:rPr>
          <w:rFonts w:cs="Times New Roman"/>
          <w:szCs w:val="24"/>
        </w:rPr>
        <w:t>Az</w:t>
      </w:r>
      <w:r w:rsidRPr="00986F85">
        <w:rPr>
          <w:rFonts w:eastAsia="Times New Roman" w:cs="Times New Roman"/>
          <w:szCs w:val="24"/>
        </w:rPr>
        <w:t xml:space="preserve"> </w:t>
      </w:r>
      <w:r w:rsidRPr="00986F85">
        <w:rPr>
          <w:rFonts w:cs="Times New Roman"/>
          <w:szCs w:val="24"/>
        </w:rPr>
        <w:t>Új</w:t>
      </w:r>
      <w:r w:rsidRPr="00986F85">
        <w:rPr>
          <w:rFonts w:eastAsia="Times New Roman" w:cs="Times New Roman"/>
          <w:szCs w:val="24"/>
        </w:rPr>
        <w:t xml:space="preserve"> </w:t>
      </w:r>
      <w:r w:rsidRPr="00986F85">
        <w:rPr>
          <w:rFonts w:cs="Times New Roman"/>
          <w:szCs w:val="24"/>
        </w:rPr>
        <w:t>Széchenyi</w:t>
      </w:r>
      <w:r w:rsidRPr="00986F85">
        <w:rPr>
          <w:rFonts w:eastAsia="Times New Roman" w:cs="Times New Roman"/>
          <w:szCs w:val="24"/>
        </w:rPr>
        <w:t xml:space="preserve"> </w:t>
      </w:r>
      <w:r w:rsidRPr="00986F85">
        <w:rPr>
          <w:rFonts w:cs="Times New Roman"/>
          <w:szCs w:val="24"/>
        </w:rPr>
        <w:t>Terv</w:t>
      </w:r>
      <w:r w:rsidRPr="00986F85">
        <w:rPr>
          <w:rFonts w:eastAsia="Times New Roman" w:cs="Times New Roman"/>
          <w:szCs w:val="24"/>
        </w:rPr>
        <w:t xml:space="preserve"> </w:t>
      </w:r>
      <w:r w:rsidRPr="00986F85">
        <w:rPr>
          <w:rFonts w:cs="Times New Roman"/>
          <w:szCs w:val="24"/>
        </w:rPr>
        <w:t>(ÚSZT)</w:t>
      </w:r>
      <w:r w:rsidRPr="00986F85">
        <w:rPr>
          <w:rFonts w:eastAsia="Times New Roman" w:cs="Times New Roman"/>
          <w:szCs w:val="24"/>
        </w:rPr>
        <w:t xml:space="preserve"> </w:t>
      </w:r>
      <w:r w:rsidRPr="00986F85">
        <w:rPr>
          <w:rFonts w:cs="Times New Roman"/>
          <w:szCs w:val="24"/>
        </w:rPr>
        <w:t>2013-ig</w:t>
      </w:r>
      <w:r w:rsidRPr="00986F85">
        <w:rPr>
          <w:rFonts w:eastAsia="Times New Roman" w:cs="Times New Roman"/>
          <w:szCs w:val="24"/>
        </w:rPr>
        <w:t xml:space="preserve"> </w:t>
      </w:r>
      <w:r w:rsidRPr="00986F85">
        <w:rPr>
          <w:rFonts w:cs="Times New Roman"/>
          <w:szCs w:val="24"/>
        </w:rPr>
        <w:t>irányoz</w:t>
      </w:r>
      <w:r w:rsidRPr="00986F85">
        <w:rPr>
          <w:rFonts w:eastAsia="Times New Roman" w:cs="Times New Roman"/>
          <w:szCs w:val="24"/>
        </w:rPr>
        <w:t xml:space="preserve"> </w:t>
      </w:r>
      <w:r w:rsidRPr="00986F85">
        <w:rPr>
          <w:rFonts w:cs="Times New Roman"/>
          <w:szCs w:val="24"/>
        </w:rPr>
        <w:t>elő</w:t>
      </w:r>
      <w:r w:rsidRPr="00986F85">
        <w:rPr>
          <w:rFonts w:eastAsia="Times New Roman" w:cs="Times New Roman"/>
          <w:szCs w:val="24"/>
        </w:rPr>
        <w:t xml:space="preserve"> </w:t>
      </w:r>
      <w:r w:rsidRPr="00986F85">
        <w:rPr>
          <w:rFonts w:cs="Times New Roman"/>
          <w:szCs w:val="24"/>
        </w:rPr>
        <w:t>fejlesztéseket</w:t>
      </w:r>
      <w:r w:rsidRPr="00986F85">
        <w:rPr>
          <w:rFonts w:eastAsia="Times New Roman" w:cs="Times New Roman"/>
          <w:szCs w:val="24"/>
        </w:rPr>
        <w:t xml:space="preserve"> </w:t>
      </w:r>
      <w:r w:rsidRPr="00986F85">
        <w:rPr>
          <w:rFonts w:cs="Times New Roman"/>
          <w:szCs w:val="24"/>
        </w:rPr>
        <w:t>hét</w:t>
      </w:r>
      <w:r w:rsidRPr="00986F85">
        <w:rPr>
          <w:rFonts w:eastAsia="Times New Roman" w:cs="Times New Roman"/>
          <w:szCs w:val="24"/>
        </w:rPr>
        <w:t xml:space="preserve"> „</w:t>
      </w:r>
      <w:r w:rsidRPr="00986F85">
        <w:rPr>
          <w:rFonts w:cs="Times New Roman"/>
          <w:szCs w:val="24"/>
        </w:rPr>
        <w:t>kitörési</w:t>
      </w:r>
      <w:r w:rsidRPr="00986F85">
        <w:rPr>
          <w:rFonts w:eastAsia="Times New Roman" w:cs="Times New Roman"/>
          <w:szCs w:val="24"/>
        </w:rPr>
        <w:t xml:space="preserve"> </w:t>
      </w:r>
      <w:r w:rsidRPr="00986F85">
        <w:rPr>
          <w:rFonts w:cs="Times New Roman"/>
          <w:szCs w:val="24"/>
        </w:rPr>
        <w:t>pont</w:t>
      </w:r>
      <w:r w:rsidRPr="00986F85">
        <w:rPr>
          <w:rFonts w:eastAsia="Times New Roman" w:cs="Times New Roman"/>
          <w:szCs w:val="24"/>
        </w:rPr>
        <w:t xml:space="preserve">” </w:t>
      </w:r>
      <w:r w:rsidRPr="00986F85">
        <w:rPr>
          <w:rFonts w:cs="Times New Roman"/>
          <w:szCs w:val="24"/>
        </w:rPr>
        <w:t>mentén</w:t>
      </w:r>
      <w:r w:rsidRPr="00986F85">
        <w:rPr>
          <w:rFonts w:eastAsia="Times New Roman" w:cs="Times New Roman"/>
          <w:szCs w:val="24"/>
        </w:rPr>
        <w:t xml:space="preserve"> </w:t>
      </w:r>
      <w:r w:rsidRPr="00986F85">
        <w:rPr>
          <w:rFonts w:cs="Times New Roman"/>
          <w:szCs w:val="24"/>
        </w:rPr>
        <w:t>(egészségipar,</w:t>
      </w:r>
      <w:r w:rsidRPr="00986F85">
        <w:rPr>
          <w:rFonts w:eastAsia="Times New Roman" w:cs="Times New Roman"/>
          <w:szCs w:val="24"/>
        </w:rPr>
        <w:t xml:space="preserve"> </w:t>
      </w:r>
      <w:r w:rsidRPr="00986F85">
        <w:rPr>
          <w:rFonts w:cs="Times New Roman"/>
          <w:szCs w:val="24"/>
        </w:rPr>
        <w:t>zöld</w:t>
      </w:r>
      <w:r w:rsidRPr="00986F85">
        <w:rPr>
          <w:rFonts w:eastAsia="Times New Roman" w:cs="Times New Roman"/>
          <w:szCs w:val="24"/>
        </w:rPr>
        <w:t xml:space="preserve"> </w:t>
      </w:r>
      <w:r w:rsidRPr="00986F85">
        <w:rPr>
          <w:rFonts w:cs="Times New Roman"/>
          <w:szCs w:val="24"/>
        </w:rPr>
        <w:t>gazdaság,</w:t>
      </w:r>
      <w:r w:rsidRPr="00986F85">
        <w:rPr>
          <w:rFonts w:eastAsia="Times New Roman" w:cs="Times New Roman"/>
          <w:szCs w:val="24"/>
        </w:rPr>
        <w:t xml:space="preserve"> </w:t>
      </w:r>
      <w:r w:rsidRPr="00986F85">
        <w:rPr>
          <w:rFonts w:cs="Times New Roman"/>
          <w:szCs w:val="24"/>
        </w:rPr>
        <w:t>otthonteremtés,</w:t>
      </w:r>
      <w:r w:rsidRPr="00986F85">
        <w:rPr>
          <w:rFonts w:eastAsia="Times New Roman" w:cs="Times New Roman"/>
          <w:szCs w:val="24"/>
        </w:rPr>
        <w:t xml:space="preserve"> </w:t>
      </w:r>
      <w:r w:rsidRPr="00986F85">
        <w:rPr>
          <w:rFonts w:cs="Times New Roman"/>
          <w:szCs w:val="24"/>
        </w:rPr>
        <w:t>vállalkozásfejlesztés,</w:t>
      </w:r>
      <w:r w:rsidRPr="00986F85">
        <w:rPr>
          <w:rFonts w:eastAsia="Times New Roman" w:cs="Times New Roman"/>
          <w:szCs w:val="24"/>
        </w:rPr>
        <w:t xml:space="preserve"> </w:t>
      </w:r>
      <w:r w:rsidRPr="00986F85">
        <w:rPr>
          <w:rFonts w:cs="Times New Roman"/>
          <w:szCs w:val="24"/>
        </w:rPr>
        <w:t>tudomány-innováció,</w:t>
      </w:r>
      <w:r w:rsidRPr="00986F85">
        <w:rPr>
          <w:rFonts w:eastAsia="Times New Roman" w:cs="Times New Roman"/>
          <w:szCs w:val="24"/>
        </w:rPr>
        <w:t xml:space="preserve"> </w:t>
      </w:r>
      <w:r w:rsidRPr="00986F85">
        <w:rPr>
          <w:rFonts w:cs="Times New Roman"/>
          <w:szCs w:val="24"/>
        </w:rPr>
        <w:t>foglalkoztatás,</w:t>
      </w:r>
      <w:r w:rsidRPr="00986F85">
        <w:rPr>
          <w:rFonts w:eastAsia="Times New Roman" w:cs="Times New Roman"/>
          <w:szCs w:val="24"/>
        </w:rPr>
        <w:t xml:space="preserve"> </w:t>
      </w:r>
      <w:r w:rsidRPr="00986F85">
        <w:rPr>
          <w:rFonts w:cs="Times New Roman"/>
          <w:szCs w:val="24"/>
        </w:rPr>
        <w:t>közlekedésfejlesztés).</w:t>
      </w:r>
      <w:r w:rsidRPr="00986F85">
        <w:rPr>
          <w:rFonts w:eastAsia="Times New Roman" w:cs="Times New Roman"/>
          <w:szCs w:val="24"/>
        </w:rPr>
        <w:t xml:space="preserve"> </w:t>
      </w:r>
      <w:r w:rsidRPr="00986F85">
        <w:rPr>
          <w:rFonts w:cs="Times New Roman"/>
          <w:szCs w:val="24"/>
        </w:rPr>
        <w:t>Ehhez</w:t>
      </w:r>
      <w:r w:rsidRPr="00986F85">
        <w:rPr>
          <w:rFonts w:eastAsia="Times New Roman" w:cs="Times New Roman"/>
          <w:szCs w:val="24"/>
        </w:rPr>
        <w:t xml:space="preserve"> </w:t>
      </w:r>
      <w:r w:rsidRPr="00986F85">
        <w:rPr>
          <w:rFonts w:cs="Times New Roman"/>
          <w:szCs w:val="24"/>
        </w:rPr>
        <w:t>igazodóan</w:t>
      </w:r>
      <w:r w:rsidRPr="00986F85">
        <w:rPr>
          <w:rFonts w:eastAsia="Times New Roman" w:cs="Times New Roman"/>
          <w:szCs w:val="24"/>
        </w:rPr>
        <w:t xml:space="preserve"> </w:t>
      </w:r>
      <w:r w:rsidRPr="00986F85">
        <w:rPr>
          <w:rFonts w:cs="Times New Roman"/>
          <w:szCs w:val="24"/>
        </w:rPr>
        <w:t>az</w:t>
      </w:r>
      <w:r w:rsidRPr="00986F85">
        <w:rPr>
          <w:rFonts w:eastAsia="Times New Roman" w:cs="Times New Roman"/>
          <w:szCs w:val="24"/>
        </w:rPr>
        <w:t xml:space="preserve"> </w:t>
      </w:r>
      <w:r w:rsidRPr="00986F85">
        <w:rPr>
          <w:rFonts w:cs="Times New Roman"/>
          <w:szCs w:val="24"/>
        </w:rPr>
        <w:t>ÚSZT</w:t>
      </w:r>
      <w:r w:rsidRPr="00986F85">
        <w:rPr>
          <w:rFonts w:eastAsia="Times New Roman" w:cs="Times New Roman"/>
          <w:szCs w:val="24"/>
        </w:rPr>
        <w:t xml:space="preserve"> </w:t>
      </w:r>
      <w:r w:rsidRPr="00986F85">
        <w:rPr>
          <w:rFonts w:cs="Times New Roman"/>
          <w:szCs w:val="24"/>
        </w:rPr>
        <w:t>szemléletében</w:t>
      </w:r>
      <w:r w:rsidRPr="00986F85">
        <w:rPr>
          <w:rFonts w:eastAsia="Times New Roman" w:cs="Times New Roman"/>
          <w:szCs w:val="24"/>
        </w:rPr>
        <w:t xml:space="preserve"> </w:t>
      </w:r>
      <w:r w:rsidRPr="00986F85">
        <w:rPr>
          <w:rFonts w:cs="Times New Roman"/>
          <w:szCs w:val="24"/>
        </w:rPr>
        <w:t>és</w:t>
      </w:r>
      <w:r w:rsidRPr="00986F85">
        <w:rPr>
          <w:rFonts w:eastAsia="Times New Roman" w:cs="Times New Roman"/>
          <w:szCs w:val="24"/>
        </w:rPr>
        <w:t xml:space="preserve"> </w:t>
      </w:r>
      <w:r w:rsidRPr="00986F85">
        <w:rPr>
          <w:rFonts w:cs="Times New Roman"/>
          <w:szCs w:val="24"/>
        </w:rPr>
        <w:t>célkitűzéseiben</w:t>
      </w:r>
      <w:r w:rsidRPr="00986F85">
        <w:rPr>
          <w:rFonts w:eastAsia="Times New Roman" w:cs="Times New Roman"/>
          <w:szCs w:val="24"/>
        </w:rPr>
        <w:t xml:space="preserve"> </w:t>
      </w:r>
      <w:r w:rsidRPr="00986F85">
        <w:rPr>
          <w:rFonts w:cs="Times New Roman"/>
          <w:szCs w:val="24"/>
        </w:rPr>
        <w:t>harmonizál</w:t>
      </w:r>
      <w:r w:rsidRPr="00986F85">
        <w:rPr>
          <w:rFonts w:eastAsia="Times New Roman" w:cs="Times New Roman"/>
          <w:szCs w:val="24"/>
        </w:rPr>
        <w:t xml:space="preserve"> </w:t>
      </w:r>
      <w:r w:rsidRPr="00986F85">
        <w:rPr>
          <w:rFonts w:cs="Times New Roman"/>
          <w:szCs w:val="24"/>
        </w:rPr>
        <w:t>az</w:t>
      </w:r>
      <w:r w:rsidRPr="00986F85">
        <w:rPr>
          <w:rFonts w:eastAsia="Times New Roman" w:cs="Times New Roman"/>
          <w:szCs w:val="24"/>
        </w:rPr>
        <w:t xml:space="preserve"> </w:t>
      </w:r>
      <w:r w:rsidRPr="00986F85">
        <w:rPr>
          <w:rFonts w:cs="Times New Roman"/>
          <w:szCs w:val="24"/>
        </w:rPr>
        <w:t>Európai</w:t>
      </w:r>
      <w:r w:rsidRPr="00986F85">
        <w:rPr>
          <w:rFonts w:eastAsia="Times New Roman" w:cs="Times New Roman"/>
          <w:szCs w:val="24"/>
        </w:rPr>
        <w:t xml:space="preserve"> </w:t>
      </w:r>
      <w:r w:rsidRPr="00986F85">
        <w:rPr>
          <w:rFonts w:cs="Times New Roman"/>
          <w:szCs w:val="24"/>
        </w:rPr>
        <w:t>Unió</w:t>
      </w:r>
      <w:r w:rsidRPr="00986F85">
        <w:rPr>
          <w:rFonts w:eastAsia="Times New Roman" w:cs="Times New Roman"/>
          <w:szCs w:val="24"/>
        </w:rPr>
        <w:t xml:space="preserve"> </w:t>
      </w:r>
      <w:r w:rsidRPr="00986F85">
        <w:rPr>
          <w:rFonts w:cs="Times New Roman"/>
          <w:szCs w:val="24"/>
        </w:rPr>
        <w:t>2020-ig</w:t>
      </w:r>
      <w:r w:rsidRPr="00986F85">
        <w:rPr>
          <w:rFonts w:eastAsia="Times New Roman" w:cs="Times New Roman"/>
          <w:szCs w:val="24"/>
        </w:rPr>
        <w:t xml:space="preserve"> </w:t>
      </w:r>
      <w:r w:rsidRPr="00986F85">
        <w:rPr>
          <w:rFonts w:cs="Times New Roman"/>
          <w:szCs w:val="24"/>
        </w:rPr>
        <w:t>szóló</w:t>
      </w:r>
      <w:r w:rsidRPr="00986F85">
        <w:rPr>
          <w:rFonts w:eastAsia="Times New Roman" w:cs="Times New Roman"/>
          <w:szCs w:val="24"/>
        </w:rPr>
        <w:t xml:space="preserve"> </w:t>
      </w:r>
      <w:r w:rsidRPr="00986F85">
        <w:rPr>
          <w:rFonts w:cs="Times New Roman"/>
          <w:szCs w:val="24"/>
        </w:rPr>
        <w:t>gazdaságpolitikai</w:t>
      </w:r>
      <w:r w:rsidRPr="00986F85">
        <w:rPr>
          <w:rFonts w:eastAsia="Times New Roman" w:cs="Times New Roman"/>
          <w:szCs w:val="24"/>
        </w:rPr>
        <w:t xml:space="preserve"> </w:t>
      </w:r>
      <w:r w:rsidRPr="00986F85">
        <w:rPr>
          <w:rFonts w:cs="Times New Roman"/>
          <w:szCs w:val="24"/>
        </w:rPr>
        <w:t>stratégiájának</w:t>
      </w:r>
      <w:r w:rsidRPr="00986F85">
        <w:rPr>
          <w:rFonts w:eastAsia="Times New Roman" w:cs="Times New Roman"/>
          <w:szCs w:val="24"/>
        </w:rPr>
        <w:t xml:space="preserve"> </w:t>
      </w:r>
      <w:r w:rsidRPr="00986F85">
        <w:rPr>
          <w:rFonts w:cs="Times New Roman"/>
          <w:szCs w:val="24"/>
        </w:rPr>
        <w:t>(EU</w:t>
      </w:r>
      <w:r w:rsidRPr="00986F85">
        <w:rPr>
          <w:rFonts w:eastAsia="Times New Roman" w:cs="Times New Roman"/>
          <w:szCs w:val="24"/>
        </w:rPr>
        <w:t xml:space="preserve"> </w:t>
      </w:r>
      <w:r w:rsidRPr="00986F85">
        <w:rPr>
          <w:rFonts w:cs="Times New Roman"/>
          <w:szCs w:val="24"/>
        </w:rPr>
        <w:t>2020)</w:t>
      </w:r>
      <w:r w:rsidRPr="00986F85">
        <w:rPr>
          <w:rFonts w:eastAsia="Times New Roman" w:cs="Times New Roman"/>
          <w:szCs w:val="24"/>
        </w:rPr>
        <w:t xml:space="preserve"> </w:t>
      </w:r>
      <w:r w:rsidRPr="00986F85">
        <w:rPr>
          <w:rFonts w:cs="Times New Roman"/>
          <w:szCs w:val="24"/>
        </w:rPr>
        <w:t>célkitűzéseivel.</w:t>
      </w:r>
      <w:r w:rsidRPr="00986F85">
        <w:rPr>
          <w:rFonts w:eastAsia="Times New Roman" w:cs="Times New Roman"/>
          <w:szCs w:val="24"/>
        </w:rPr>
        <w:t xml:space="preserve"> </w:t>
      </w:r>
    </w:p>
    <w:p w14:paraId="6B7ACB4E" w14:textId="77777777" w:rsidR="0081651F" w:rsidRPr="00986F85" w:rsidRDefault="0081651F" w:rsidP="00B04415">
      <w:pPr>
        <w:pStyle w:val="Szvegtrzs"/>
        <w:spacing w:after="0" w:line="360" w:lineRule="auto"/>
        <w:jc w:val="both"/>
        <w:rPr>
          <w:rFonts w:cs="Times New Roman"/>
          <w:szCs w:val="24"/>
        </w:rPr>
      </w:pPr>
    </w:p>
    <w:p w14:paraId="60D6608D" w14:textId="77777777" w:rsidR="0081651F" w:rsidRPr="00986F85" w:rsidRDefault="0081651F" w:rsidP="00B04415">
      <w:pPr>
        <w:pStyle w:val="Szvegtrzs"/>
        <w:spacing w:after="0" w:line="360" w:lineRule="auto"/>
        <w:jc w:val="both"/>
        <w:rPr>
          <w:rFonts w:cs="Times New Roman"/>
          <w:szCs w:val="24"/>
        </w:rPr>
      </w:pPr>
      <w:r w:rsidRPr="00986F85">
        <w:rPr>
          <w:rFonts w:cs="Times New Roman"/>
          <w:szCs w:val="24"/>
        </w:rPr>
        <w:t>A</w:t>
      </w:r>
      <w:r w:rsidRPr="00986F85">
        <w:rPr>
          <w:rFonts w:eastAsia="Times New Roman" w:cs="Times New Roman"/>
          <w:szCs w:val="24"/>
        </w:rPr>
        <w:t xml:space="preserve"> </w:t>
      </w:r>
      <w:r w:rsidRPr="00986F85">
        <w:rPr>
          <w:rFonts w:cs="Times New Roman"/>
          <w:szCs w:val="24"/>
        </w:rPr>
        <w:t>Gazdaságfejlesztési</w:t>
      </w:r>
      <w:r w:rsidRPr="00986F85">
        <w:rPr>
          <w:rFonts w:eastAsia="Times New Roman" w:cs="Times New Roman"/>
          <w:szCs w:val="24"/>
        </w:rPr>
        <w:t xml:space="preserve"> </w:t>
      </w:r>
      <w:r w:rsidRPr="00986F85">
        <w:rPr>
          <w:rFonts w:cs="Times New Roman"/>
          <w:szCs w:val="24"/>
        </w:rPr>
        <w:t>Operatív</w:t>
      </w:r>
      <w:r w:rsidRPr="00986F85">
        <w:rPr>
          <w:rFonts w:eastAsia="Times New Roman" w:cs="Times New Roman"/>
          <w:szCs w:val="24"/>
        </w:rPr>
        <w:t xml:space="preserve"> </w:t>
      </w:r>
      <w:r w:rsidRPr="00986F85">
        <w:rPr>
          <w:rFonts w:cs="Times New Roman"/>
          <w:szCs w:val="24"/>
        </w:rPr>
        <w:t>Program</w:t>
      </w:r>
      <w:r w:rsidRPr="00986F85">
        <w:rPr>
          <w:rFonts w:eastAsia="Times New Roman" w:cs="Times New Roman"/>
          <w:szCs w:val="24"/>
        </w:rPr>
        <w:t xml:space="preserve"> </w:t>
      </w:r>
      <w:r w:rsidRPr="00986F85">
        <w:rPr>
          <w:rFonts w:cs="Times New Roman"/>
          <w:szCs w:val="24"/>
        </w:rPr>
        <w:t>fő célja a magyar gazdaság tartós növekedésének elősegítése.</w:t>
      </w:r>
      <w:r w:rsidRPr="00986F85">
        <w:rPr>
          <w:rFonts w:eastAsia="Times New Roman" w:cs="Times New Roman"/>
          <w:szCs w:val="24"/>
        </w:rPr>
        <w:t xml:space="preserve"> </w:t>
      </w:r>
      <w:r w:rsidRPr="00986F85">
        <w:rPr>
          <w:rFonts w:cs="Times New Roman"/>
          <w:szCs w:val="24"/>
        </w:rPr>
        <w:t>Ennek</w:t>
      </w:r>
      <w:r w:rsidRPr="00986F85">
        <w:rPr>
          <w:rFonts w:eastAsia="Times New Roman" w:cs="Times New Roman"/>
          <w:szCs w:val="24"/>
        </w:rPr>
        <w:t xml:space="preserve"> </w:t>
      </w:r>
      <w:r w:rsidRPr="00986F85">
        <w:rPr>
          <w:rFonts w:cs="Times New Roman"/>
          <w:szCs w:val="24"/>
        </w:rPr>
        <w:t>érdekében négy területen támogat gazdaságfejlesztési projekteket,</w:t>
      </w:r>
      <w:r w:rsidRPr="00986F85">
        <w:rPr>
          <w:rFonts w:eastAsia="Times New Roman" w:cs="Times New Roman"/>
          <w:szCs w:val="24"/>
        </w:rPr>
        <w:t xml:space="preserve"> </w:t>
      </w:r>
      <w:r w:rsidRPr="00986F85">
        <w:rPr>
          <w:rFonts w:cs="Times New Roman"/>
          <w:szCs w:val="24"/>
        </w:rPr>
        <w:t>melyek</w:t>
      </w:r>
      <w:r w:rsidRPr="00986F85">
        <w:rPr>
          <w:rFonts w:eastAsia="Times New Roman" w:cs="Times New Roman"/>
          <w:szCs w:val="24"/>
        </w:rPr>
        <w:t xml:space="preserve"> </w:t>
      </w:r>
      <w:r w:rsidRPr="00986F85">
        <w:rPr>
          <w:rFonts w:cs="Times New Roman"/>
          <w:szCs w:val="24"/>
        </w:rPr>
        <w:t>egyúttal</w:t>
      </w:r>
      <w:r w:rsidRPr="00986F85">
        <w:rPr>
          <w:rFonts w:eastAsia="Times New Roman" w:cs="Times New Roman"/>
          <w:szCs w:val="24"/>
        </w:rPr>
        <w:t xml:space="preserve"> </w:t>
      </w:r>
      <w:r w:rsidRPr="00986F85">
        <w:rPr>
          <w:rFonts w:cs="Times New Roman"/>
          <w:szCs w:val="24"/>
        </w:rPr>
        <w:t>az</w:t>
      </w:r>
      <w:r w:rsidRPr="00986F85">
        <w:rPr>
          <w:rFonts w:eastAsia="Times New Roman" w:cs="Times New Roman"/>
          <w:szCs w:val="24"/>
        </w:rPr>
        <w:t xml:space="preserve"> </w:t>
      </w:r>
      <w:r w:rsidRPr="00986F85">
        <w:rPr>
          <w:rFonts w:cs="Times New Roman"/>
          <w:szCs w:val="24"/>
        </w:rPr>
        <w:t>OP</w:t>
      </w:r>
      <w:r w:rsidRPr="00986F85">
        <w:rPr>
          <w:rFonts w:eastAsia="Times New Roman" w:cs="Times New Roman"/>
          <w:szCs w:val="24"/>
        </w:rPr>
        <w:t xml:space="preserve"> </w:t>
      </w:r>
      <w:r w:rsidRPr="00986F85">
        <w:rPr>
          <w:rFonts w:cs="Times New Roman"/>
          <w:szCs w:val="24"/>
        </w:rPr>
        <w:t>fejlesztési prioritásai: a K+F és innováció ösztönzése, a növekedési potenciállal rendelkező vállalkozások (elsősorban KKV-k) fejlesztéseinek támogatása</w:t>
      </w:r>
      <w:r w:rsidR="00D92DDC" w:rsidRPr="00986F85">
        <w:rPr>
          <w:rFonts w:cs="Times New Roman"/>
          <w:szCs w:val="24"/>
        </w:rPr>
        <w:t xml:space="preserve"> (általunk vizsgált, 2. prioritás)</w:t>
      </w:r>
      <w:r w:rsidRPr="00986F85">
        <w:rPr>
          <w:rFonts w:cs="Times New Roman"/>
          <w:szCs w:val="24"/>
        </w:rPr>
        <w:t>, az üzleti környezet minőségének javítása, valamint a KKV-k finanszírozási forrásokhoz való hozzáférésének könnyítése</w:t>
      </w:r>
      <w:r w:rsidR="00F34350" w:rsidRPr="00986F85">
        <w:rPr>
          <w:rFonts w:cs="Times New Roman"/>
          <w:szCs w:val="24"/>
        </w:rPr>
        <w:t xml:space="preserve">, az európai közösségi kezdeményezésnek megfelelő, ún. </w:t>
      </w:r>
      <w:r w:rsidRPr="00986F85">
        <w:rPr>
          <w:rFonts w:cs="Times New Roman"/>
          <w:szCs w:val="24"/>
        </w:rPr>
        <w:t>JEREMIE típus</w:t>
      </w:r>
      <w:r w:rsidR="00F34350" w:rsidRPr="00986F85">
        <w:rPr>
          <w:rFonts w:cs="Times New Roman"/>
          <w:szCs w:val="24"/>
        </w:rPr>
        <w:t>ú pénzügyi eszközök alkalmazása</w:t>
      </w:r>
      <w:r w:rsidRPr="00986F85">
        <w:rPr>
          <w:rFonts w:cs="Times New Roman"/>
          <w:szCs w:val="24"/>
        </w:rPr>
        <w:t xml:space="preserve">. A 2009. júliusi </w:t>
      </w:r>
      <w:r w:rsidRPr="00986F85">
        <w:rPr>
          <w:rFonts w:cs="Times New Roman"/>
          <w:bCs/>
          <w:szCs w:val="24"/>
        </w:rPr>
        <w:t xml:space="preserve">Operatív Programok közötti forrásátcsoportosítás </w:t>
      </w:r>
      <w:r w:rsidRPr="00986F85">
        <w:rPr>
          <w:rFonts w:cs="Times New Roman"/>
          <w:szCs w:val="24"/>
        </w:rPr>
        <w:t xml:space="preserve">következtében </w:t>
      </w:r>
      <w:r w:rsidRPr="00986F85">
        <w:rPr>
          <w:rFonts w:cs="Times New Roman"/>
          <w:bCs/>
          <w:szCs w:val="24"/>
        </w:rPr>
        <w:t>a program forráskerete 427 millió euróval növekedett,</w:t>
      </w:r>
      <w:r w:rsidRPr="00986F85">
        <w:rPr>
          <w:rFonts w:cs="Times New Roman"/>
          <w:szCs w:val="24"/>
        </w:rPr>
        <w:t xml:space="preserve"> így a 2007-13 közötti időszakban </w:t>
      </w:r>
      <w:r w:rsidRPr="00986F85">
        <w:rPr>
          <w:rFonts w:cs="Times New Roman"/>
          <w:bCs/>
          <w:szCs w:val="24"/>
        </w:rPr>
        <w:t>a rendelkezésre álló források összege (</w:t>
      </w:r>
      <w:r w:rsidR="00F34350" w:rsidRPr="00986F85">
        <w:rPr>
          <w:rFonts w:cs="Times New Roman"/>
          <w:bCs/>
          <w:szCs w:val="24"/>
        </w:rPr>
        <w:t xml:space="preserve">technikai segítség </w:t>
      </w:r>
      <w:r w:rsidRPr="00986F85">
        <w:rPr>
          <w:rFonts w:cs="Times New Roman"/>
          <w:bCs/>
          <w:szCs w:val="24"/>
        </w:rPr>
        <w:t>nélkül) 882 milliárd forint</w:t>
      </w:r>
      <w:r w:rsidRPr="00986F85">
        <w:rPr>
          <w:rFonts w:cs="Times New Roman"/>
          <w:szCs w:val="24"/>
        </w:rPr>
        <w:t>.</w:t>
      </w:r>
      <w:r w:rsidRPr="00986F85">
        <w:rPr>
          <w:rStyle w:val="FootnoteCharacters"/>
          <w:rFonts w:cs="Times New Roman"/>
          <w:szCs w:val="24"/>
        </w:rPr>
        <w:footnoteReference w:id="1"/>
      </w:r>
    </w:p>
    <w:p w14:paraId="1B42ECBF" w14:textId="77777777" w:rsidR="00F075EA" w:rsidRPr="00986F85" w:rsidRDefault="00F075EA" w:rsidP="00B04415">
      <w:pPr>
        <w:pStyle w:val="Szvegtrzs"/>
        <w:spacing w:after="0" w:line="360" w:lineRule="auto"/>
        <w:jc w:val="both"/>
        <w:rPr>
          <w:rFonts w:cs="Times New Roman"/>
          <w:szCs w:val="24"/>
        </w:rPr>
      </w:pPr>
    </w:p>
    <w:p w14:paraId="718127F6" w14:textId="77777777" w:rsidR="00F075EA" w:rsidRPr="00986F85" w:rsidRDefault="00F075EA" w:rsidP="00B04415">
      <w:pPr>
        <w:pStyle w:val="Szvegtrzs"/>
        <w:spacing w:after="0" w:line="360" w:lineRule="auto"/>
        <w:jc w:val="both"/>
        <w:rPr>
          <w:rFonts w:eastAsia="MS Mincho" w:cs="Times New Roman"/>
          <w:lang w:eastAsia="hu-HU"/>
        </w:rPr>
      </w:pPr>
      <w:r w:rsidRPr="00986F85">
        <w:rPr>
          <w:rFonts w:cs="Times New Roman"/>
          <w:szCs w:val="24"/>
        </w:rPr>
        <w:lastRenderedPageBreak/>
        <w:t>A GOP 2.</w:t>
      </w:r>
      <w:r w:rsidR="00733D98" w:rsidRPr="00986F85">
        <w:rPr>
          <w:rFonts w:cs="Times New Roman"/>
          <w:szCs w:val="24"/>
        </w:rPr>
        <w:t xml:space="preserve">1.1. </w:t>
      </w:r>
      <w:r w:rsidR="00F34350" w:rsidRPr="00986F85">
        <w:rPr>
          <w:rFonts w:cs="Times New Roman"/>
          <w:szCs w:val="24"/>
        </w:rPr>
        <w:t xml:space="preserve">és ezzel párhuzamosan a KMOP 1.2.1. </w:t>
      </w:r>
      <w:r w:rsidR="00733D98" w:rsidRPr="00986F85">
        <w:rPr>
          <w:rFonts w:cs="Times New Roman"/>
          <w:szCs w:val="24"/>
        </w:rPr>
        <w:t>intézkedés</w:t>
      </w:r>
      <w:r w:rsidR="00F34350" w:rsidRPr="00986F85">
        <w:rPr>
          <w:rFonts w:cs="Times New Roman"/>
          <w:szCs w:val="24"/>
        </w:rPr>
        <w:t>ek</w:t>
      </w:r>
      <w:r w:rsidR="00733D98" w:rsidRPr="00986F85">
        <w:rPr>
          <w:rFonts w:cs="Times New Roman"/>
          <w:szCs w:val="24"/>
        </w:rPr>
        <w:t xml:space="preserve"> </w:t>
      </w:r>
      <w:r w:rsidR="00D92DDC" w:rsidRPr="00986F85">
        <w:rPr>
          <w:rFonts w:cs="Times New Roman"/>
          <w:szCs w:val="24"/>
        </w:rPr>
        <w:t xml:space="preserve">fő célja </w:t>
      </w:r>
      <w:r w:rsidRPr="00986F85">
        <w:rPr>
          <w:rFonts w:cs="Times New Roman"/>
          <w:szCs w:val="24"/>
        </w:rPr>
        <w:t>a</w:t>
      </w:r>
      <w:r w:rsidRPr="00986F85">
        <w:rPr>
          <w:rFonts w:eastAsia="MS Mincho" w:cs="Arial"/>
          <w:lang w:eastAsia="hu-HU"/>
        </w:rPr>
        <w:t xml:space="preserve"> mikro-, kis-, és középvállalkozások </w:t>
      </w:r>
      <w:r w:rsidR="00733D98" w:rsidRPr="00986F85">
        <w:rPr>
          <w:rFonts w:eastAsia="MS Mincho" w:cs="Arial"/>
          <w:lang w:eastAsia="hu-HU"/>
        </w:rPr>
        <w:t>kapacitásainak fejlesztése, a jövedelemtermelő képesség erősítése. A támogatott vállalkozásoknak előírt, számszerűsített vállalások alapján, a program</w:t>
      </w:r>
      <w:r w:rsidR="001C2A4E" w:rsidRPr="00986F85">
        <w:rPr>
          <w:rFonts w:eastAsia="MS Mincho" w:cs="Arial"/>
          <w:lang w:eastAsia="hu-HU"/>
        </w:rPr>
        <w:t>alkotók ezt a célt az árbevételre előírt vállalásokban látták biztosítottnak.</w:t>
      </w:r>
      <w:r w:rsidR="00F34350" w:rsidRPr="00986F85">
        <w:rPr>
          <w:rFonts w:eastAsia="MS Mincho" w:cs="Times New Roman"/>
          <w:lang w:eastAsia="hu-HU"/>
        </w:rPr>
        <w:t xml:space="preserve"> A vizsgált intézkedések vé</w:t>
      </w:r>
      <w:r w:rsidR="00FE60BE" w:rsidRPr="00986F85">
        <w:rPr>
          <w:rFonts w:eastAsia="MS Mincho" w:cs="Times New Roman"/>
          <w:lang w:eastAsia="hu-HU"/>
        </w:rPr>
        <w:t>grehajtását leíró adatokról a 2</w:t>
      </w:r>
      <w:r w:rsidR="00F34350" w:rsidRPr="00986F85">
        <w:rPr>
          <w:rFonts w:eastAsia="MS Mincho" w:cs="Times New Roman"/>
          <w:lang w:eastAsia="hu-HU"/>
        </w:rPr>
        <w:t>. sz</w:t>
      </w:r>
      <w:r w:rsidR="00FE60BE" w:rsidRPr="00986F85">
        <w:rPr>
          <w:rFonts w:eastAsia="MS Mincho" w:cs="Times New Roman"/>
          <w:lang w:eastAsia="hu-HU"/>
        </w:rPr>
        <w:t xml:space="preserve">. Mellékletben </w:t>
      </w:r>
      <w:r w:rsidR="00F34350" w:rsidRPr="00986F85">
        <w:rPr>
          <w:rFonts w:eastAsia="MS Mincho" w:cs="Times New Roman"/>
          <w:lang w:eastAsia="hu-HU"/>
        </w:rPr>
        <w:t>található táblázat ad áttekintést (lásd pályázatok és nyertes cégek száma, megítélt és kifizetett támogatási összegek).</w:t>
      </w:r>
    </w:p>
    <w:p w14:paraId="02E6FAA3" w14:textId="77777777" w:rsidR="009A68E7" w:rsidRPr="00986F85" w:rsidRDefault="009A68E7" w:rsidP="00B04415">
      <w:pPr>
        <w:pStyle w:val="Szvegtrzs"/>
        <w:spacing w:after="0" w:line="360" w:lineRule="auto"/>
        <w:jc w:val="both"/>
        <w:rPr>
          <w:rFonts w:eastAsia="MS Mincho" w:cs="Arial"/>
          <w:lang w:eastAsia="hu-HU"/>
        </w:rPr>
      </w:pPr>
    </w:p>
    <w:p w14:paraId="7229F2D6" w14:textId="77777777" w:rsidR="0076036B" w:rsidRPr="00986F85" w:rsidRDefault="0076036B" w:rsidP="00B04415">
      <w:pPr>
        <w:pStyle w:val="Cmsor2"/>
        <w:spacing w:before="0" w:after="0" w:line="360" w:lineRule="auto"/>
        <w:jc w:val="both"/>
        <w:rPr>
          <w:rFonts w:ascii="Myriad Pro" w:hAnsi="Myriad Pro"/>
          <w:szCs w:val="24"/>
        </w:rPr>
      </w:pPr>
      <w:bookmarkStart w:id="15" w:name="_Toc230854311"/>
      <w:r w:rsidRPr="00986F85">
        <w:rPr>
          <w:rFonts w:ascii="Myriad Pro" w:hAnsi="Myriad Pro"/>
          <w:szCs w:val="24"/>
        </w:rPr>
        <w:t>KORÁBBI VIZSGÁLATOK EREDMÉNYEI</w:t>
      </w:r>
      <w:bookmarkEnd w:id="15"/>
    </w:p>
    <w:p w14:paraId="4E5601B7" w14:textId="77777777" w:rsidR="00533422" w:rsidRPr="00986F85" w:rsidRDefault="00533422" w:rsidP="00B04415">
      <w:pPr>
        <w:pStyle w:val="Cmsor3"/>
        <w:spacing w:before="0" w:after="0" w:line="360" w:lineRule="auto"/>
        <w:jc w:val="both"/>
        <w:rPr>
          <w:szCs w:val="24"/>
        </w:rPr>
      </w:pPr>
      <w:bookmarkStart w:id="16" w:name="_Toc230854312"/>
      <w:r w:rsidRPr="00986F85">
        <w:rPr>
          <w:szCs w:val="24"/>
        </w:rPr>
        <w:t>Vonatkozó hazai elemzések</w:t>
      </w:r>
      <w:bookmarkEnd w:id="16"/>
      <w:r w:rsidRPr="00986F85">
        <w:rPr>
          <w:szCs w:val="24"/>
        </w:rPr>
        <w:t xml:space="preserve"> </w:t>
      </w:r>
    </w:p>
    <w:p w14:paraId="548CB1B4" w14:textId="77777777" w:rsidR="008C0AD0" w:rsidRPr="00986F85" w:rsidRDefault="00533422" w:rsidP="00B04415">
      <w:pPr>
        <w:spacing w:after="0" w:line="360" w:lineRule="auto"/>
        <w:jc w:val="both"/>
        <w:rPr>
          <w:szCs w:val="24"/>
        </w:rPr>
      </w:pPr>
      <w:r w:rsidRPr="00986F85">
        <w:rPr>
          <w:rFonts w:cs="Times New Roman"/>
          <w:szCs w:val="24"/>
        </w:rPr>
        <w:t>A GOP-al kapcsolatos ajánlások szempontjából az első releváns értékelések a program elődintézkedéseként 2004 és 2006 között futott Gazdaság és Versenyképesség Operatív Programra vonatkoznak (Kullman, 2007</w:t>
      </w:r>
      <w:r w:rsidR="00324637" w:rsidRPr="00986F85">
        <w:rPr>
          <w:rFonts w:cs="Times New Roman"/>
          <w:szCs w:val="24"/>
        </w:rPr>
        <w:t>; KPMG, 2006</w:t>
      </w:r>
      <w:r w:rsidRPr="00986F85">
        <w:rPr>
          <w:rFonts w:cs="Times New Roman"/>
          <w:szCs w:val="24"/>
        </w:rPr>
        <w:t>). Ezek főleg a korábbi program vállalati K+F költésre, illete a vállalatok pályázatírási képességére gyakorolt pozitív hatását emelik ki, ám a korai stádiumban rendelkezésre álló adatok szűkössége, illetve a menedzsment központú szemlélet miatt keveset árulnak el a beavatkozás valódi célzottságáról</w:t>
      </w:r>
      <w:r w:rsidRPr="00986F85">
        <w:rPr>
          <w:rFonts w:eastAsia="Liberation Serif" w:cs="Liberation Serif"/>
          <w:szCs w:val="24"/>
        </w:rPr>
        <w:t xml:space="preserve"> </w:t>
      </w:r>
      <w:r w:rsidRPr="00986F85">
        <w:rPr>
          <w:szCs w:val="24"/>
        </w:rPr>
        <w:t>és</w:t>
      </w:r>
      <w:r w:rsidRPr="00986F85">
        <w:rPr>
          <w:rFonts w:eastAsia="Liberation Serif" w:cs="Liberation Serif"/>
          <w:szCs w:val="24"/>
        </w:rPr>
        <w:t xml:space="preserve"> </w:t>
      </w:r>
      <w:r w:rsidRPr="00986F85">
        <w:rPr>
          <w:szCs w:val="24"/>
        </w:rPr>
        <w:t>a</w:t>
      </w:r>
      <w:r w:rsidRPr="00986F85">
        <w:rPr>
          <w:rFonts w:eastAsia="Liberation Serif" w:cs="Liberation Serif"/>
          <w:szCs w:val="24"/>
        </w:rPr>
        <w:t xml:space="preserve"> </w:t>
      </w:r>
      <w:r w:rsidRPr="00986F85">
        <w:rPr>
          <w:szCs w:val="24"/>
        </w:rPr>
        <w:t>nettó</w:t>
      </w:r>
      <w:r w:rsidRPr="00986F85">
        <w:rPr>
          <w:rFonts w:eastAsia="Liberation Serif" w:cs="Liberation Serif"/>
          <w:szCs w:val="24"/>
        </w:rPr>
        <w:t xml:space="preserve"> </w:t>
      </w:r>
      <w:r w:rsidRPr="00986F85">
        <w:rPr>
          <w:szCs w:val="24"/>
        </w:rPr>
        <w:t>programhatásról. Mindazonáltal operatív szinten elég sok ajánlást fogalmaznak meg, melyek teljesülése az azóta eltelt hat év miatt jól tükrözheti a program evolúcióját.</w:t>
      </w:r>
      <w:r w:rsidR="008C0AD0" w:rsidRPr="00986F85">
        <w:rPr>
          <w:szCs w:val="24"/>
        </w:rPr>
        <w:t xml:space="preserve"> </w:t>
      </w:r>
    </w:p>
    <w:p w14:paraId="348A39A2" w14:textId="77777777" w:rsidR="008C0AD0" w:rsidRPr="00986F85" w:rsidRDefault="008C0AD0" w:rsidP="00B04415">
      <w:pPr>
        <w:spacing w:after="0" w:line="360" w:lineRule="auto"/>
        <w:jc w:val="both"/>
        <w:rPr>
          <w:szCs w:val="24"/>
        </w:rPr>
      </w:pPr>
    </w:p>
    <w:p w14:paraId="35D1BD44" w14:textId="77777777" w:rsidR="00F75519" w:rsidRPr="00986F85" w:rsidRDefault="00533422" w:rsidP="00B04415">
      <w:pPr>
        <w:spacing w:after="0" w:line="360" w:lineRule="auto"/>
        <w:jc w:val="both"/>
        <w:rPr>
          <w:szCs w:val="24"/>
        </w:rPr>
      </w:pPr>
      <w:r w:rsidRPr="00986F85">
        <w:rPr>
          <w:szCs w:val="24"/>
        </w:rPr>
        <w:t>Magával a GVOP 2.1.1-el kettő értékelés foglalkozik behatóan (Béres,</w:t>
      </w:r>
      <w:r w:rsidRPr="00986F85">
        <w:rPr>
          <w:rFonts w:eastAsia="Liberation Serif" w:cs="Liberation Serif"/>
          <w:szCs w:val="24"/>
        </w:rPr>
        <w:t xml:space="preserve"> </w:t>
      </w:r>
      <w:r w:rsidRPr="00986F85">
        <w:rPr>
          <w:szCs w:val="24"/>
        </w:rPr>
        <w:t xml:space="preserve">2008; </w:t>
      </w:r>
      <w:r w:rsidRPr="00986F85">
        <w:rPr>
          <w:rFonts w:eastAsia="Times New Roman"/>
          <w:szCs w:val="24"/>
        </w:rPr>
        <w:t>Agenda et al, 2010</w:t>
      </w:r>
      <w:r w:rsidRPr="00986F85">
        <w:rPr>
          <w:szCs w:val="24"/>
        </w:rPr>
        <w:t xml:space="preserve">). Ezek a kedvezményezett vállalkozások szelekciója, illetve a beruházásra gyakorolt nettó programhatás tekintetében jutnak nagyban átfedő következtetésekre. </w:t>
      </w:r>
    </w:p>
    <w:p w14:paraId="4A56A322" w14:textId="77777777" w:rsidR="00F75519" w:rsidRPr="00986F85" w:rsidRDefault="00F75519" w:rsidP="00B04415">
      <w:pPr>
        <w:spacing w:after="0" w:line="360" w:lineRule="auto"/>
        <w:jc w:val="both"/>
        <w:rPr>
          <w:szCs w:val="24"/>
        </w:rPr>
      </w:pPr>
    </w:p>
    <w:p w14:paraId="78BD297D" w14:textId="77777777" w:rsidR="00F75519" w:rsidRPr="00986F85" w:rsidRDefault="00533422" w:rsidP="00B04415">
      <w:pPr>
        <w:spacing w:after="0" w:line="360" w:lineRule="auto"/>
        <w:jc w:val="both"/>
        <w:rPr>
          <w:rFonts w:eastAsia="Liberation Serif" w:cs="Liberation Serif"/>
          <w:szCs w:val="24"/>
        </w:rPr>
      </w:pPr>
      <w:r w:rsidRPr="00986F85">
        <w:rPr>
          <w:szCs w:val="24"/>
        </w:rPr>
        <w:t>Béres</w:t>
      </w:r>
      <w:r w:rsidRPr="00986F85">
        <w:rPr>
          <w:rFonts w:eastAsia="Liberation Serif" w:cs="Liberation Serif"/>
          <w:szCs w:val="24"/>
        </w:rPr>
        <w:t xml:space="preserve"> </w:t>
      </w:r>
      <w:r w:rsidRPr="00986F85">
        <w:rPr>
          <w:rFonts w:eastAsia="Liberation Serif"/>
          <w:szCs w:val="24"/>
        </w:rPr>
        <w:t xml:space="preserve">(2008) </w:t>
      </w:r>
      <w:r w:rsidRPr="00986F85">
        <w:rPr>
          <w:szCs w:val="24"/>
        </w:rPr>
        <w:t>a</w:t>
      </w:r>
      <w:r w:rsidRPr="00986F85">
        <w:rPr>
          <w:rFonts w:eastAsia="Liberation Serif" w:cs="Liberation Serif"/>
          <w:szCs w:val="24"/>
        </w:rPr>
        <w:t xml:space="preserve"> </w:t>
      </w:r>
      <w:r w:rsidRPr="00986F85">
        <w:rPr>
          <w:szCs w:val="24"/>
        </w:rPr>
        <w:t>támogatási</w:t>
      </w:r>
      <w:r w:rsidRPr="00986F85">
        <w:rPr>
          <w:rFonts w:eastAsia="Liberation Serif" w:cs="Liberation Serif"/>
          <w:szCs w:val="24"/>
        </w:rPr>
        <w:t xml:space="preserve"> </w:t>
      </w:r>
      <w:r w:rsidRPr="00986F85">
        <w:rPr>
          <w:szCs w:val="24"/>
        </w:rPr>
        <w:t>rendszerből</w:t>
      </w:r>
      <w:r w:rsidRPr="00986F85">
        <w:rPr>
          <w:rFonts w:eastAsia="Liberation Serif" w:cs="Liberation Serif"/>
          <w:szCs w:val="24"/>
        </w:rPr>
        <w:t xml:space="preserve"> </w:t>
      </w:r>
      <w:r w:rsidRPr="00986F85">
        <w:rPr>
          <w:szCs w:val="24"/>
        </w:rPr>
        <w:t>előálló</w:t>
      </w:r>
      <w:r w:rsidRPr="00986F85">
        <w:rPr>
          <w:rFonts w:eastAsia="Liberation Serif" w:cs="Liberation Serif"/>
          <w:szCs w:val="24"/>
        </w:rPr>
        <w:t xml:space="preserve"> </w:t>
      </w:r>
      <w:r w:rsidRPr="00986F85">
        <w:rPr>
          <w:szCs w:val="24"/>
        </w:rPr>
        <w:t>és</w:t>
      </w:r>
      <w:r w:rsidRPr="00986F85">
        <w:rPr>
          <w:rFonts w:eastAsia="Liberation Serif" w:cs="Liberation Serif"/>
          <w:szCs w:val="24"/>
        </w:rPr>
        <w:t xml:space="preserve"> </w:t>
      </w:r>
      <w:r w:rsidRPr="00986F85">
        <w:rPr>
          <w:szCs w:val="24"/>
        </w:rPr>
        <w:t>a</w:t>
      </w:r>
      <w:r w:rsidRPr="00986F85">
        <w:rPr>
          <w:rFonts w:eastAsia="Liberation Serif" w:cs="Liberation Serif"/>
          <w:szCs w:val="24"/>
        </w:rPr>
        <w:t xml:space="preserve"> </w:t>
      </w:r>
      <w:r w:rsidRPr="00986F85">
        <w:rPr>
          <w:szCs w:val="24"/>
        </w:rPr>
        <w:t>támogatási</w:t>
      </w:r>
      <w:r w:rsidRPr="00986F85">
        <w:rPr>
          <w:rFonts w:eastAsia="Liberation Serif" w:cs="Liberation Serif"/>
          <w:szCs w:val="24"/>
        </w:rPr>
        <w:t xml:space="preserve"> </w:t>
      </w:r>
      <w:r w:rsidRPr="00986F85">
        <w:rPr>
          <w:szCs w:val="24"/>
        </w:rPr>
        <w:t>rendszeren</w:t>
      </w:r>
      <w:r w:rsidRPr="00986F85">
        <w:rPr>
          <w:rFonts w:eastAsia="Liberation Serif" w:cs="Liberation Serif"/>
          <w:szCs w:val="24"/>
        </w:rPr>
        <w:t xml:space="preserve"> </w:t>
      </w:r>
      <w:r w:rsidRPr="00986F85">
        <w:rPr>
          <w:szCs w:val="24"/>
        </w:rPr>
        <w:t>kívül</w:t>
      </w:r>
      <w:r w:rsidRPr="00986F85">
        <w:rPr>
          <w:rFonts w:eastAsia="Liberation Serif" w:cs="Liberation Serif"/>
          <w:szCs w:val="24"/>
        </w:rPr>
        <w:t xml:space="preserve"> </w:t>
      </w:r>
      <w:r w:rsidRPr="00986F85">
        <w:rPr>
          <w:szCs w:val="24"/>
        </w:rPr>
        <w:t>egyébként</w:t>
      </w:r>
      <w:r w:rsidRPr="00986F85">
        <w:rPr>
          <w:rFonts w:eastAsia="Liberation Serif" w:cs="Liberation Serif"/>
          <w:szCs w:val="24"/>
        </w:rPr>
        <w:t xml:space="preserve"> </w:t>
      </w:r>
      <w:r w:rsidRPr="00986F85">
        <w:rPr>
          <w:szCs w:val="24"/>
        </w:rPr>
        <w:t>rendszeresen</w:t>
      </w:r>
      <w:r w:rsidRPr="00986F85">
        <w:rPr>
          <w:rFonts w:eastAsia="Liberation Serif" w:cs="Liberation Serif"/>
          <w:szCs w:val="24"/>
        </w:rPr>
        <w:t xml:space="preserve"> </w:t>
      </w:r>
      <w:r w:rsidRPr="00986F85">
        <w:rPr>
          <w:szCs w:val="24"/>
        </w:rPr>
        <w:t>gyűjtött</w:t>
      </w:r>
      <w:r w:rsidRPr="00986F85">
        <w:rPr>
          <w:rFonts w:eastAsia="Liberation Serif" w:cs="Liberation Serif"/>
          <w:szCs w:val="24"/>
        </w:rPr>
        <w:t xml:space="preserve"> </w:t>
      </w:r>
      <w:r w:rsidRPr="00986F85">
        <w:rPr>
          <w:szCs w:val="24"/>
        </w:rPr>
        <w:t>külső</w:t>
      </w:r>
      <w:r w:rsidRPr="00986F85">
        <w:rPr>
          <w:rFonts w:eastAsia="Liberation Serif" w:cs="Liberation Serif"/>
          <w:szCs w:val="24"/>
        </w:rPr>
        <w:t xml:space="preserve"> </w:t>
      </w:r>
      <w:r w:rsidRPr="00986F85">
        <w:rPr>
          <w:szCs w:val="24"/>
        </w:rPr>
        <w:t>adatokból</w:t>
      </w:r>
      <w:r w:rsidRPr="00986F85">
        <w:rPr>
          <w:rFonts w:eastAsia="Liberation Serif" w:cs="Liberation Serif"/>
          <w:szCs w:val="24"/>
        </w:rPr>
        <w:t xml:space="preserve"> azt </w:t>
      </w:r>
      <w:r w:rsidRPr="00986F85">
        <w:rPr>
          <w:szCs w:val="24"/>
        </w:rPr>
        <w:t>szűrte le,</w:t>
      </w:r>
      <w:r w:rsidRPr="00986F85">
        <w:rPr>
          <w:rFonts w:eastAsia="Liberation Serif" w:cs="Liberation Serif"/>
          <w:szCs w:val="24"/>
        </w:rPr>
        <w:t xml:space="preserve"> </w:t>
      </w:r>
      <w:r w:rsidRPr="00986F85">
        <w:rPr>
          <w:szCs w:val="24"/>
        </w:rPr>
        <w:t>hogy</w:t>
      </w:r>
      <w:r w:rsidRPr="00986F85">
        <w:rPr>
          <w:rFonts w:eastAsia="Liberation Serif" w:cs="Liberation Serif"/>
          <w:szCs w:val="24"/>
        </w:rPr>
        <w:t xml:space="preserve"> </w:t>
      </w:r>
      <w:r w:rsidRPr="00986F85">
        <w:rPr>
          <w:szCs w:val="24"/>
        </w:rPr>
        <w:t>a</w:t>
      </w:r>
      <w:r w:rsidRPr="00986F85">
        <w:rPr>
          <w:rFonts w:eastAsia="Liberation Serif" w:cs="Liberation Serif"/>
          <w:szCs w:val="24"/>
        </w:rPr>
        <w:t xml:space="preserve"> </w:t>
      </w:r>
      <w:r w:rsidRPr="00986F85">
        <w:rPr>
          <w:szCs w:val="24"/>
        </w:rPr>
        <w:t>vállalkozások</w:t>
      </w:r>
      <w:r w:rsidRPr="00986F85">
        <w:rPr>
          <w:rFonts w:eastAsia="Liberation Serif" w:cs="Liberation Serif"/>
          <w:szCs w:val="24"/>
        </w:rPr>
        <w:t xml:space="preserve"> </w:t>
      </w:r>
      <w:r w:rsidRPr="00986F85">
        <w:rPr>
          <w:szCs w:val="24"/>
        </w:rPr>
        <w:t>ténylegesen</w:t>
      </w:r>
      <w:r w:rsidRPr="00986F85">
        <w:rPr>
          <w:rFonts w:eastAsia="Liberation Serif" w:cs="Liberation Serif"/>
          <w:szCs w:val="24"/>
        </w:rPr>
        <w:t xml:space="preserve"> </w:t>
      </w:r>
      <w:r w:rsidRPr="00986F85">
        <w:rPr>
          <w:szCs w:val="24"/>
        </w:rPr>
        <w:t>több</w:t>
      </w:r>
      <w:r w:rsidRPr="00986F85">
        <w:rPr>
          <w:rFonts w:eastAsia="Liberation Serif" w:cs="Liberation Serif"/>
          <w:szCs w:val="24"/>
        </w:rPr>
        <w:t xml:space="preserve"> </w:t>
      </w:r>
      <w:r w:rsidRPr="00986F85">
        <w:rPr>
          <w:szCs w:val="24"/>
        </w:rPr>
        <w:t>beruházást</w:t>
      </w:r>
      <w:r w:rsidRPr="00986F85">
        <w:rPr>
          <w:rFonts w:eastAsia="Liberation Serif" w:cs="Liberation Serif"/>
          <w:szCs w:val="24"/>
        </w:rPr>
        <w:t xml:space="preserve"> </w:t>
      </w:r>
      <w:r w:rsidRPr="00986F85">
        <w:rPr>
          <w:szCs w:val="24"/>
        </w:rPr>
        <w:t>hajtottak</w:t>
      </w:r>
      <w:r w:rsidRPr="00986F85">
        <w:rPr>
          <w:rFonts w:eastAsia="Liberation Serif" w:cs="Liberation Serif"/>
          <w:szCs w:val="24"/>
        </w:rPr>
        <w:t xml:space="preserve"> </w:t>
      </w:r>
      <w:r w:rsidRPr="00986F85">
        <w:rPr>
          <w:szCs w:val="24"/>
        </w:rPr>
        <w:t>végre,</w:t>
      </w:r>
      <w:r w:rsidRPr="00986F85">
        <w:rPr>
          <w:rFonts w:eastAsia="Liberation Serif" w:cs="Liberation Serif"/>
          <w:szCs w:val="24"/>
        </w:rPr>
        <w:t xml:space="preserve"> </w:t>
      </w:r>
      <w:r w:rsidRPr="00986F85">
        <w:rPr>
          <w:szCs w:val="24"/>
        </w:rPr>
        <w:t>mint</w:t>
      </w:r>
      <w:r w:rsidRPr="00986F85">
        <w:rPr>
          <w:rFonts w:eastAsia="Liberation Serif" w:cs="Liberation Serif"/>
          <w:szCs w:val="24"/>
        </w:rPr>
        <w:t xml:space="preserve"> </w:t>
      </w:r>
      <w:r w:rsidRPr="00986F85">
        <w:rPr>
          <w:szCs w:val="24"/>
        </w:rPr>
        <w:t>a</w:t>
      </w:r>
      <w:r w:rsidRPr="00986F85">
        <w:rPr>
          <w:rFonts w:eastAsia="Liberation Serif" w:cs="Liberation Serif"/>
          <w:szCs w:val="24"/>
        </w:rPr>
        <w:t xml:space="preserve"> </w:t>
      </w:r>
      <w:r w:rsidRPr="00986F85">
        <w:rPr>
          <w:szCs w:val="24"/>
        </w:rPr>
        <w:t>támogatások</w:t>
      </w:r>
      <w:r w:rsidRPr="00986F85">
        <w:rPr>
          <w:rFonts w:eastAsia="Liberation Serif" w:cs="Liberation Serif"/>
          <w:szCs w:val="24"/>
        </w:rPr>
        <w:t xml:space="preserve"> </w:t>
      </w:r>
      <w:r w:rsidRPr="00986F85">
        <w:rPr>
          <w:szCs w:val="24"/>
        </w:rPr>
        <w:t>nélkül</w:t>
      </w:r>
      <w:r w:rsidRPr="00986F85">
        <w:rPr>
          <w:rFonts w:eastAsia="Liberation Serif" w:cs="Liberation Serif"/>
          <w:szCs w:val="24"/>
        </w:rPr>
        <w:t xml:space="preserve"> </w:t>
      </w:r>
      <w:r w:rsidRPr="00986F85">
        <w:rPr>
          <w:szCs w:val="24"/>
        </w:rPr>
        <w:t>tették</w:t>
      </w:r>
      <w:r w:rsidRPr="00986F85">
        <w:rPr>
          <w:rFonts w:eastAsia="Liberation Serif" w:cs="Liberation Serif"/>
          <w:szCs w:val="24"/>
        </w:rPr>
        <w:t xml:space="preserve"> </w:t>
      </w:r>
      <w:r w:rsidRPr="00986F85">
        <w:rPr>
          <w:szCs w:val="24"/>
        </w:rPr>
        <w:t>volna,</w:t>
      </w:r>
      <w:r w:rsidRPr="00986F85">
        <w:rPr>
          <w:rFonts w:eastAsia="Liberation Serif" w:cs="Liberation Serif"/>
          <w:szCs w:val="24"/>
        </w:rPr>
        <w:t xml:space="preserve"> </w:t>
      </w:r>
      <w:r w:rsidRPr="00986F85">
        <w:rPr>
          <w:szCs w:val="24"/>
        </w:rPr>
        <w:t>ugyanakkor</w:t>
      </w:r>
      <w:r w:rsidRPr="00986F85">
        <w:rPr>
          <w:rFonts w:eastAsia="Liberation Serif" w:cs="Liberation Serif"/>
          <w:szCs w:val="24"/>
        </w:rPr>
        <w:t xml:space="preserve"> </w:t>
      </w:r>
      <w:r w:rsidRPr="00986F85">
        <w:rPr>
          <w:szCs w:val="24"/>
        </w:rPr>
        <w:t>a</w:t>
      </w:r>
      <w:r w:rsidRPr="00986F85">
        <w:rPr>
          <w:rFonts w:eastAsia="Liberation Serif" w:cs="Liberation Serif"/>
          <w:szCs w:val="24"/>
        </w:rPr>
        <w:t xml:space="preserve"> </w:t>
      </w:r>
      <w:r w:rsidRPr="00986F85">
        <w:rPr>
          <w:szCs w:val="24"/>
        </w:rPr>
        <w:t>megfigyelt</w:t>
      </w:r>
      <w:r w:rsidRPr="00986F85">
        <w:rPr>
          <w:rFonts w:eastAsia="Liberation Serif" w:cs="Liberation Serif"/>
          <w:szCs w:val="24"/>
        </w:rPr>
        <w:t xml:space="preserve"> </w:t>
      </w:r>
      <w:r w:rsidRPr="00986F85">
        <w:rPr>
          <w:szCs w:val="24"/>
        </w:rPr>
        <w:t>időtávon</w:t>
      </w:r>
      <w:r w:rsidRPr="00986F85">
        <w:rPr>
          <w:rFonts w:eastAsia="Liberation Serif" w:cs="Liberation Serif"/>
          <w:szCs w:val="24"/>
        </w:rPr>
        <w:t xml:space="preserve"> </w:t>
      </w:r>
      <w:r w:rsidRPr="00986F85">
        <w:rPr>
          <w:szCs w:val="24"/>
        </w:rPr>
        <w:t>nem</w:t>
      </w:r>
      <w:r w:rsidRPr="00986F85">
        <w:rPr>
          <w:rFonts w:eastAsia="Liberation Serif" w:cs="Liberation Serif"/>
          <w:szCs w:val="24"/>
        </w:rPr>
        <w:t xml:space="preserve"> </w:t>
      </w:r>
      <w:r w:rsidRPr="00986F85">
        <w:rPr>
          <w:szCs w:val="24"/>
        </w:rPr>
        <w:t>sikerült</w:t>
      </w:r>
      <w:r w:rsidRPr="00986F85">
        <w:rPr>
          <w:rFonts w:eastAsia="Liberation Serif" w:cs="Liberation Serif"/>
          <w:szCs w:val="24"/>
        </w:rPr>
        <w:t xml:space="preserve"> </w:t>
      </w:r>
      <w:r w:rsidRPr="00986F85">
        <w:rPr>
          <w:szCs w:val="24"/>
        </w:rPr>
        <w:t>egyértelmű</w:t>
      </w:r>
      <w:r w:rsidRPr="00986F85">
        <w:rPr>
          <w:rFonts w:eastAsia="Liberation Serif" w:cs="Liberation Serif"/>
          <w:szCs w:val="24"/>
        </w:rPr>
        <w:t xml:space="preserve"> </w:t>
      </w:r>
      <w:r w:rsidRPr="00986F85">
        <w:rPr>
          <w:szCs w:val="24"/>
        </w:rPr>
        <w:t>növekedési</w:t>
      </w:r>
      <w:r w:rsidRPr="00986F85">
        <w:rPr>
          <w:rFonts w:eastAsia="Liberation Serif" w:cs="Liberation Serif"/>
          <w:szCs w:val="24"/>
        </w:rPr>
        <w:t xml:space="preserve"> </w:t>
      </w:r>
      <w:r w:rsidRPr="00986F85">
        <w:rPr>
          <w:szCs w:val="24"/>
        </w:rPr>
        <w:t>hatásokat</w:t>
      </w:r>
      <w:r w:rsidRPr="00986F85">
        <w:rPr>
          <w:rFonts w:eastAsia="Liberation Serif" w:cs="Liberation Serif"/>
          <w:szCs w:val="24"/>
        </w:rPr>
        <w:t xml:space="preserve"> </w:t>
      </w:r>
      <w:r w:rsidRPr="00986F85">
        <w:rPr>
          <w:szCs w:val="24"/>
        </w:rPr>
        <w:t>kimutatnia,</w:t>
      </w:r>
      <w:r w:rsidRPr="00986F85">
        <w:rPr>
          <w:rFonts w:eastAsia="Liberation Serif" w:cs="Liberation Serif"/>
          <w:szCs w:val="24"/>
        </w:rPr>
        <w:t xml:space="preserve"> </w:t>
      </w:r>
      <w:r w:rsidRPr="00986F85">
        <w:rPr>
          <w:szCs w:val="24"/>
        </w:rPr>
        <w:t>azaz</w:t>
      </w:r>
      <w:r w:rsidRPr="00986F85">
        <w:rPr>
          <w:rFonts w:eastAsia="Liberation Serif" w:cs="Liberation Serif"/>
          <w:szCs w:val="24"/>
        </w:rPr>
        <w:t xml:space="preserve"> </w:t>
      </w:r>
      <w:r w:rsidRPr="00986F85">
        <w:rPr>
          <w:szCs w:val="24"/>
        </w:rPr>
        <w:t>a</w:t>
      </w:r>
      <w:r w:rsidRPr="00986F85">
        <w:rPr>
          <w:rFonts w:eastAsia="Liberation Serif" w:cs="Liberation Serif"/>
          <w:szCs w:val="24"/>
        </w:rPr>
        <w:t xml:space="preserve"> </w:t>
      </w:r>
      <w:r w:rsidRPr="00986F85">
        <w:rPr>
          <w:szCs w:val="24"/>
        </w:rPr>
        <w:t>többletberuházások</w:t>
      </w:r>
      <w:r w:rsidRPr="00986F85">
        <w:rPr>
          <w:rFonts w:eastAsia="Liberation Serif" w:cs="Liberation Serif"/>
          <w:szCs w:val="24"/>
        </w:rPr>
        <w:t xml:space="preserve"> </w:t>
      </w:r>
      <w:r w:rsidRPr="00986F85">
        <w:rPr>
          <w:szCs w:val="24"/>
        </w:rPr>
        <w:t>hatására</w:t>
      </w:r>
      <w:r w:rsidRPr="00986F85">
        <w:rPr>
          <w:rFonts w:eastAsia="Liberation Serif" w:cs="Liberation Serif"/>
          <w:szCs w:val="24"/>
        </w:rPr>
        <w:t xml:space="preserve"> </w:t>
      </w:r>
      <w:r w:rsidRPr="00986F85">
        <w:rPr>
          <w:szCs w:val="24"/>
        </w:rPr>
        <w:t>a</w:t>
      </w:r>
      <w:r w:rsidRPr="00986F85">
        <w:rPr>
          <w:rFonts w:eastAsia="Liberation Serif" w:cs="Liberation Serif"/>
          <w:szCs w:val="24"/>
        </w:rPr>
        <w:t xml:space="preserve"> </w:t>
      </w:r>
      <w:r w:rsidRPr="00986F85">
        <w:rPr>
          <w:szCs w:val="24"/>
        </w:rPr>
        <w:t>vállalkozások</w:t>
      </w:r>
      <w:r w:rsidRPr="00986F85">
        <w:rPr>
          <w:rFonts w:eastAsia="Liberation Serif" w:cs="Liberation Serif"/>
          <w:szCs w:val="24"/>
        </w:rPr>
        <w:t xml:space="preserve"> </w:t>
      </w:r>
      <w:r w:rsidRPr="00986F85">
        <w:rPr>
          <w:szCs w:val="24"/>
        </w:rPr>
        <w:t>eladásaikat</w:t>
      </w:r>
      <w:r w:rsidRPr="00986F85">
        <w:rPr>
          <w:rFonts w:eastAsia="Liberation Serif" w:cs="Liberation Serif"/>
          <w:szCs w:val="24"/>
        </w:rPr>
        <w:t xml:space="preserve"> </w:t>
      </w:r>
      <w:r w:rsidRPr="00986F85">
        <w:rPr>
          <w:szCs w:val="24"/>
        </w:rPr>
        <w:t>rövid</w:t>
      </w:r>
      <w:r w:rsidRPr="00986F85">
        <w:rPr>
          <w:rFonts w:eastAsia="Liberation Serif" w:cs="Liberation Serif"/>
          <w:szCs w:val="24"/>
        </w:rPr>
        <w:t xml:space="preserve"> </w:t>
      </w:r>
      <w:r w:rsidRPr="00986F85">
        <w:rPr>
          <w:szCs w:val="24"/>
        </w:rPr>
        <w:t>távon</w:t>
      </w:r>
      <w:r w:rsidRPr="00986F85">
        <w:rPr>
          <w:rFonts w:eastAsia="Liberation Serif" w:cs="Liberation Serif"/>
          <w:szCs w:val="24"/>
        </w:rPr>
        <w:t xml:space="preserve"> </w:t>
      </w:r>
      <w:r w:rsidRPr="00986F85">
        <w:rPr>
          <w:szCs w:val="24"/>
        </w:rPr>
        <w:t>nem</w:t>
      </w:r>
      <w:r w:rsidRPr="00986F85">
        <w:rPr>
          <w:rFonts w:eastAsia="Liberation Serif" w:cs="Liberation Serif"/>
          <w:szCs w:val="24"/>
        </w:rPr>
        <w:t xml:space="preserve"> </w:t>
      </w:r>
      <w:r w:rsidRPr="00986F85">
        <w:rPr>
          <w:szCs w:val="24"/>
        </w:rPr>
        <w:t>tudták</w:t>
      </w:r>
      <w:r w:rsidRPr="00986F85">
        <w:rPr>
          <w:rFonts w:eastAsia="Liberation Serif" w:cs="Liberation Serif"/>
          <w:szCs w:val="24"/>
        </w:rPr>
        <w:t xml:space="preserve"> </w:t>
      </w:r>
      <w:r w:rsidRPr="00986F85">
        <w:rPr>
          <w:szCs w:val="24"/>
        </w:rPr>
        <w:t>szignifikánsan</w:t>
      </w:r>
      <w:r w:rsidRPr="00986F85">
        <w:rPr>
          <w:rFonts w:eastAsia="Liberation Serif" w:cs="Liberation Serif"/>
          <w:szCs w:val="24"/>
        </w:rPr>
        <w:t xml:space="preserve"> </w:t>
      </w:r>
      <w:r w:rsidRPr="00986F85">
        <w:rPr>
          <w:szCs w:val="24"/>
        </w:rPr>
        <w:t>növelni.</w:t>
      </w:r>
      <w:r w:rsidRPr="00986F85">
        <w:rPr>
          <w:rFonts w:eastAsia="Liberation Serif" w:cs="Liberation Serif"/>
          <w:szCs w:val="24"/>
        </w:rPr>
        <w:t xml:space="preserve"> </w:t>
      </w:r>
      <w:r w:rsidRPr="00986F85">
        <w:rPr>
          <w:szCs w:val="24"/>
        </w:rPr>
        <w:t>Ez az elemzés</w:t>
      </w:r>
      <w:r w:rsidRPr="00986F85">
        <w:rPr>
          <w:rFonts w:eastAsia="Liberation Serif" w:cs="Liberation Serif"/>
          <w:szCs w:val="24"/>
        </w:rPr>
        <w:t xml:space="preserve"> </w:t>
      </w:r>
      <w:r w:rsidRPr="00986F85">
        <w:rPr>
          <w:szCs w:val="24"/>
        </w:rPr>
        <w:t>emellett</w:t>
      </w:r>
      <w:r w:rsidRPr="00986F85">
        <w:rPr>
          <w:rFonts w:eastAsia="Liberation Serif" w:cs="Liberation Serif"/>
          <w:szCs w:val="24"/>
        </w:rPr>
        <w:t xml:space="preserve"> </w:t>
      </w:r>
      <w:r w:rsidRPr="00986F85">
        <w:rPr>
          <w:szCs w:val="24"/>
        </w:rPr>
        <w:t>felhívta</w:t>
      </w:r>
      <w:r w:rsidRPr="00986F85">
        <w:rPr>
          <w:rFonts w:eastAsia="Liberation Serif" w:cs="Liberation Serif"/>
          <w:szCs w:val="24"/>
        </w:rPr>
        <w:t xml:space="preserve"> </w:t>
      </w:r>
      <w:r w:rsidRPr="00986F85">
        <w:rPr>
          <w:szCs w:val="24"/>
        </w:rPr>
        <w:t>a</w:t>
      </w:r>
      <w:r w:rsidRPr="00986F85">
        <w:rPr>
          <w:rFonts w:eastAsia="Liberation Serif" w:cs="Liberation Serif"/>
          <w:szCs w:val="24"/>
        </w:rPr>
        <w:t xml:space="preserve"> </w:t>
      </w:r>
      <w:r w:rsidRPr="00986F85">
        <w:rPr>
          <w:szCs w:val="24"/>
        </w:rPr>
        <w:t>figyelmet</w:t>
      </w:r>
      <w:r w:rsidRPr="00986F85">
        <w:rPr>
          <w:rFonts w:eastAsia="Liberation Serif" w:cs="Liberation Serif"/>
          <w:szCs w:val="24"/>
        </w:rPr>
        <w:t xml:space="preserve"> </w:t>
      </w:r>
      <w:r w:rsidRPr="00986F85">
        <w:rPr>
          <w:szCs w:val="24"/>
        </w:rPr>
        <w:t>arra,</w:t>
      </w:r>
      <w:r w:rsidRPr="00986F85">
        <w:rPr>
          <w:rFonts w:eastAsia="Liberation Serif" w:cs="Liberation Serif"/>
          <w:szCs w:val="24"/>
        </w:rPr>
        <w:t xml:space="preserve"> </w:t>
      </w:r>
      <w:r w:rsidRPr="00986F85">
        <w:rPr>
          <w:szCs w:val="24"/>
        </w:rPr>
        <w:t>hogy</w:t>
      </w:r>
      <w:r w:rsidRPr="00986F85">
        <w:rPr>
          <w:rFonts w:eastAsia="Liberation Serif" w:cs="Liberation Serif"/>
          <w:szCs w:val="24"/>
        </w:rPr>
        <w:t xml:space="preserve"> </w:t>
      </w:r>
      <w:r w:rsidRPr="00986F85">
        <w:rPr>
          <w:szCs w:val="24"/>
        </w:rPr>
        <w:t>a</w:t>
      </w:r>
      <w:r w:rsidRPr="00986F85">
        <w:rPr>
          <w:rFonts w:eastAsia="Liberation Serif" w:cs="Liberation Serif"/>
          <w:szCs w:val="24"/>
        </w:rPr>
        <w:t xml:space="preserve"> </w:t>
      </w:r>
      <w:r w:rsidRPr="00986F85">
        <w:rPr>
          <w:szCs w:val="24"/>
        </w:rPr>
        <w:t>támogatott</w:t>
      </w:r>
      <w:r w:rsidRPr="00986F85">
        <w:rPr>
          <w:rFonts w:eastAsia="Liberation Serif" w:cs="Liberation Serif"/>
          <w:szCs w:val="24"/>
        </w:rPr>
        <w:t xml:space="preserve"> </w:t>
      </w:r>
      <w:r w:rsidRPr="00986F85">
        <w:rPr>
          <w:szCs w:val="24"/>
        </w:rPr>
        <w:t>vállalkozások</w:t>
      </w:r>
      <w:r w:rsidRPr="00986F85">
        <w:rPr>
          <w:rFonts w:eastAsia="Liberation Serif" w:cs="Liberation Serif"/>
          <w:szCs w:val="24"/>
        </w:rPr>
        <w:t xml:space="preserve"> </w:t>
      </w:r>
      <w:r w:rsidRPr="00986F85">
        <w:rPr>
          <w:szCs w:val="24"/>
        </w:rPr>
        <w:t>ugyanakkor</w:t>
      </w:r>
      <w:r w:rsidRPr="00986F85">
        <w:rPr>
          <w:rFonts w:eastAsia="Liberation Serif" w:cs="Liberation Serif"/>
          <w:szCs w:val="24"/>
        </w:rPr>
        <w:t xml:space="preserve"> </w:t>
      </w:r>
      <w:r w:rsidRPr="00986F85">
        <w:rPr>
          <w:szCs w:val="24"/>
        </w:rPr>
        <w:t>a</w:t>
      </w:r>
      <w:r w:rsidRPr="00986F85">
        <w:rPr>
          <w:rFonts w:eastAsia="Liberation Serif" w:cs="Liberation Serif"/>
          <w:szCs w:val="24"/>
        </w:rPr>
        <w:t xml:space="preserve"> </w:t>
      </w:r>
      <w:r w:rsidRPr="00986F85">
        <w:rPr>
          <w:szCs w:val="24"/>
        </w:rPr>
        <w:t>támogatás</w:t>
      </w:r>
      <w:r w:rsidRPr="00986F85">
        <w:rPr>
          <w:rFonts w:eastAsia="Liberation Serif" w:cs="Liberation Serif"/>
          <w:szCs w:val="24"/>
        </w:rPr>
        <w:t xml:space="preserve"> </w:t>
      </w:r>
      <w:r w:rsidRPr="00986F85">
        <w:rPr>
          <w:szCs w:val="24"/>
        </w:rPr>
        <w:t>nélkül</w:t>
      </w:r>
      <w:r w:rsidRPr="00986F85">
        <w:rPr>
          <w:rFonts w:eastAsia="Liberation Serif" w:cs="Liberation Serif"/>
          <w:szCs w:val="24"/>
        </w:rPr>
        <w:t xml:space="preserve"> </w:t>
      </w:r>
      <w:r w:rsidRPr="00986F85">
        <w:rPr>
          <w:szCs w:val="24"/>
        </w:rPr>
        <w:t>is</w:t>
      </w:r>
      <w:r w:rsidRPr="00986F85">
        <w:rPr>
          <w:rFonts w:eastAsia="Liberation Serif" w:cs="Liberation Serif"/>
          <w:szCs w:val="24"/>
        </w:rPr>
        <w:t xml:space="preserve"> </w:t>
      </w:r>
      <w:r w:rsidRPr="00986F85">
        <w:rPr>
          <w:szCs w:val="24"/>
        </w:rPr>
        <w:t>megvalósították</w:t>
      </w:r>
      <w:r w:rsidRPr="00986F85">
        <w:rPr>
          <w:rFonts w:eastAsia="Liberation Serif" w:cs="Liberation Serif"/>
          <w:szCs w:val="24"/>
        </w:rPr>
        <w:t xml:space="preserve"> </w:t>
      </w:r>
      <w:r w:rsidRPr="00986F85">
        <w:rPr>
          <w:szCs w:val="24"/>
        </w:rPr>
        <w:t>volna</w:t>
      </w:r>
      <w:r w:rsidRPr="00986F85">
        <w:rPr>
          <w:rFonts w:eastAsia="Liberation Serif" w:cs="Liberation Serif"/>
          <w:szCs w:val="24"/>
        </w:rPr>
        <w:t xml:space="preserve"> </w:t>
      </w:r>
      <w:r w:rsidRPr="00986F85">
        <w:rPr>
          <w:szCs w:val="24"/>
        </w:rPr>
        <w:t>beruházásaik</w:t>
      </w:r>
      <w:r w:rsidRPr="00986F85">
        <w:rPr>
          <w:rFonts w:eastAsia="Liberation Serif" w:cs="Liberation Serif"/>
          <w:szCs w:val="24"/>
        </w:rPr>
        <w:t xml:space="preserve"> </w:t>
      </w:r>
      <w:r w:rsidRPr="00986F85">
        <w:rPr>
          <w:szCs w:val="24"/>
        </w:rPr>
        <w:t>egy</w:t>
      </w:r>
      <w:r w:rsidRPr="00986F85">
        <w:rPr>
          <w:rFonts w:eastAsia="Liberation Serif" w:cs="Liberation Serif"/>
          <w:szCs w:val="24"/>
        </w:rPr>
        <w:t xml:space="preserve"> </w:t>
      </w:r>
      <w:r w:rsidRPr="00986F85">
        <w:rPr>
          <w:szCs w:val="24"/>
        </w:rPr>
        <w:lastRenderedPageBreak/>
        <w:t>részét</w:t>
      </w:r>
      <w:r w:rsidRPr="00986F85">
        <w:rPr>
          <w:rFonts w:eastAsia="Liberation Serif" w:cs="Liberation Serif"/>
          <w:szCs w:val="24"/>
        </w:rPr>
        <w:t xml:space="preserve">, melyet egy </w:t>
      </w:r>
      <w:r w:rsidRPr="00986F85">
        <w:rPr>
          <w:szCs w:val="24"/>
        </w:rPr>
        <w:t>párosítás</w:t>
      </w:r>
      <w:r w:rsidRPr="00986F85">
        <w:rPr>
          <w:rFonts w:eastAsia="Liberation Serif" w:cs="Liberation Serif"/>
          <w:szCs w:val="24"/>
        </w:rPr>
        <w:t xml:space="preserve"> </w:t>
      </w:r>
      <w:r w:rsidRPr="00986F85">
        <w:rPr>
          <w:szCs w:val="24"/>
        </w:rPr>
        <w:t>nélküli</w:t>
      </w:r>
      <w:r w:rsidRPr="00986F85">
        <w:rPr>
          <w:rFonts w:eastAsia="Liberation Serif" w:cs="Liberation Serif"/>
          <w:szCs w:val="24"/>
        </w:rPr>
        <w:t xml:space="preserve"> </w:t>
      </w:r>
      <w:r w:rsidRPr="00986F85">
        <w:rPr>
          <w:szCs w:val="24"/>
        </w:rPr>
        <w:t>modell</w:t>
      </w:r>
      <w:r w:rsidRPr="00986F85">
        <w:rPr>
          <w:rFonts w:eastAsia="Liberation Serif" w:cs="Liberation Serif"/>
          <w:szCs w:val="24"/>
        </w:rPr>
        <w:t xml:space="preserve">el </w:t>
      </w:r>
      <w:r w:rsidRPr="00986F85">
        <w:rPr>
          <w:szCs w:val="24"/>
        </w:rPr>
        <w:t>körülbelül</w:t>
      </w:r>
      <w:r w:rsidRPr="00986F85">
        <w:rPr>
          <w:rFonts w:eastAsia="Liberation Serif" w:cs="Liberation Serif"/>
          <w:szCs w:val="24"/>
        </w:rPr>
        <w:t xml:space="preserve"> </w:t>
      </w:r>
      <w:r w:rsidRPr="00986F85">
        <w:rPr>
          <w:szCs w:val="24"/>
        </w:rPr>
        <w:t>a</w:t>
      </w:r>
      <w:r w:rsidRPr="00986F85">
        <w:rPr>
          <w:rFonts w:eastAsia="Liberation Serif" w:cs="Liberation Serif"/>
          <w:szCs w:val="24"/>
        </w:rPr>
        <w:t xml:space="preserve"> </w:t>
      </w:r>
      <w:r w:rsidRPr="00986F85">
        <w:rPr>
          <w:szCs w:val="24"/>
        </w:rPr>
        <w:t>30%-ra,</w:t>
      </w:r>
      <w:r w:rsidRPr="00986F85">
        <w:rPr>
          <w:rFonts w:eastAsia="Liberation Serif" w:cs="Liberation Serif"/>
          <w:szCs w:val="24"/>
        </w:rPr>
        <w:t xml:space="preserve"> </w:t>
      </w:r>
      <w:r w:rsidRPr="00986F85">
        <w:rPr>
          <w:szCs w:val="24"/>
        </w:rPr>
        <w:t>míg</w:t>
      </w:r>
      <w:r w:rsidRPr="00986F85">
        <w:rPr>
          <w:rFonts w:eastAsia="Liberation Serif" w:cs="Liberation Serif"/>
          <w:szCs w:val="24"/>
        </w:rPr>
        <w:t xml:space="preserve"> </w:t>
      </w:r>
      <w:r w:rsidRPr="00986F85">
        <w:rPr>
          <w:szCs w:val="24"/>
        </w:rPr>
        <w:t>egy</w:t>
      </w:r>
      <w:r w:rsidRPr="00986F85">
        <w:rPr>
          <w:rFonts w:eastAsia="Liberation Serif" w:cs="Liberation Serif"/>
          <w:szCs w:val="24"/>
        </w:rPr>
        <w:t xml:space="preserve"> </w:t>
      </w:r>
      <w:r w:rsidRPr="00986F85">
        <w:rPr>
          <w:szCs w:val="24"/>
        </w:rPr>
        <w:t>szofisztikáltabb</w:t>
      </w:r>
      <w:r w:rsidRPr="00986F85">
        <w:rPr>
          <w:rFonts w:eastAsia="Liberation Serif" w:cs="Liberation Serif"/>
          <w:szCs w:val="24"/>
        </w:rPr>
        <w:t xml:space="preserve"> </w:t>
      </w:r>
      <w:r w:rsidRPr="00986F85">
        <w:rPr>
          <w:szCs w:val="24"/>
        </w:rPr>
        <w:t>párosításos</w:t>
      </w:r>
      <w:r w:rsidRPr="00986F85">
        <w:rPr>
          <w:rFonts w:eastAsia="Liberation Serif" w:cs="Liberation Serif"/>
          <w:szCs w:val="24"/>
        </w:rPr>
        <w:t xml:space="preserve"> </w:t>
      </w:r>
      <w:r w:rsidRPr="00986F85">
        <w:rPr>
          <w:szCs w:val="24"/>
        </w:rPr>
        <w:t>modellel</w:t>
      </w:r>
      <w:r w:rsidRPr="00986F85">
        <w:rPr>
          <w:rFonts w:eastAsia="Liberation Serif" w:cs="Liberation Serif"/>
          <w:szCs w:val="24"/>
        </w:rPr>
        <w:t xml:space="preserve"> </w:t>
      </w:r>
      <w:r w:rsidRPr="00986F85">
        <w:rPr>
          <w:szCs w:val="24"/>
        </w:rPr>
        <w:t>körülbelül</w:t>
      </w:r>
      <w:r w:rsidRPr="00986F85">
        <w:rPr>
          <w:rFonts w:eastAsia="Liberation Serif" w:cs="Liberation Serif"/>
          <w:szCs w:val="24"/>
        </w:rPr>
        <w:t xml:space="preserve"> </w:t>
      </w:r>
      <w:r w:rsidRPr="00986F85">
        <w:rPr>
          <w:szCs w:val="24"/>
        </w:rPr>
        <w:t>a</w:t>
      </w:r>
      <w:r w:rsidRPr="00986F85">
        <w:rPr>
          <w:rFonts w:eastAsia="Liberation Serif" w:cs="Liberation Serif"/>
          <w:szCs w:val="24"/>
        </w:rPr>
        <w:t xml:space="preserve"> </w:t>
      </w:r>
      <w:r w:rsidRPr="00986F85">
        <w:rPr>
          <w:szCs w:val="24"/>
        </w:rPr>
        <w:t>70%-ra</w:t>
      </w:r>
      <w:r w:rsidRPr="00986F85">
        <w:rPr>
          <w:rFonts w:eastAsia="Liberation Serif" w:cs="Liberation Serif"/>
          <w:szCs w:val="24"/>
        </w:rPr>
        <w:t xml:space="preserve"> </w:t>
      </w:r>
      <w:r w:rsidRPr="00986F85">
        <w:rPr>
          <w:szCs w:val="24"/>
        </w:rPr>
        <w:t>becsült.</w:t>
      </w:r>
      <w:r w:rsidRPr="00986F85">
        <w:rPr>
          <w:rFonts w:eastAsia="Liberation Serif" w:cs="Liberation Serif"/>
          <w:szCs w:val="24"/>
        </w:rPr>
        <w:t xml:space="preserve"> </w:t>
      </w:r>
    </w:p>
    <w:p w14:paraId="0BED8DF5" w14:textId="77777777" w:rsidR="00F75519" w:rsidRPr="00986F85" w:rsidRDefault="00F75519" w:rsidP="00B04415">
      <w:pPr>
        <w:spacing w:after="0" w:line="360" w:lineRule="auto"/>
        <w:jc w:val="both"/>
        <w:rPr>
          <w:rFonts w:eastAsia="Liberation Serif" w:cs="Liberation Serif"/>
          <w:szCs w:val="24"/>
        </w:rPr>
      </w:pPr>
    </w:p>
    <w:p w14:paraId="336BB90F" w14:textId="77777777" w:rsidR="00F75519" w:rsidRPr="00986F85" w:rsidRDefault="00533422" w:rsidP="00B04415">
      <w:pPr>
        <w:spacing w:after="0" w:line="360" w:lineRule="auto"/>
        <w:jc w:val="both"/>
        <w:rPr>
          <w:szCs w:val="24"/>
        </w:rPr>
      </w:pPr>
      <w:r w:rsidRPr="00986F85">
        <w:rPr>
          <w:szCs w:val="24"/>
        </w:rPr>
        <w:t>Végül</w:t>
      </w:r>
      <w:r w:rsidRPr="00986F85">
        <w:rPr>
          <w:rFonts w:eastAsia="Liberation Serif" w:cs="Liberation Serif"/>
          <w:szCs w:val="24"/>
        </w:rPr>
        <w:t xml:space="preserve"> </w:t>
      </w:r>
      <w:r w:rsidRPr="00986F85">
        <w:rPr>
          <w:szCs w:val="24"/>
        </w:rPr>
        <w:t>két</w:t>
      </w:r>
      <w:r w:rsidRPr="00986F85">
        <w:rPr>
          <w:rFonts w:eastAsia="Liberation Serif" w:cs="Liberation Serif"/>
          <w:szCs w:val="24"/>
        </w:rPr>
        <w:t xml:space="preserve"> </w:t>
      </w:r>
      <w:r w:rsidRPr="00986F85">
        <w:rPr>
          <w:szCs w:val="24"/>
        </w:rPr>
        <w:t>igen</w:t>
      </w:r>
      <w:r w:rsidRPr="00986F85">
        <w:rPr>
          <w:rFonts w:eastAsia="Liberation Serif" w:cs="Liberation Serif"/>
          <w:szCs w:val="24"/>
        </w:rPr>
        <w:t xml:space="preserve"> </w:t>
      </w:r>
      <w:r w:rsidRPr="00986F85">
        <w:rPr>
          <w:szCs w:val="24"/>
        </w:rPr>
        <w:t>fontos</w:t>
      </w:r>
      <w:r w:rsidRPr="00986F85">
        <w:rPr>
          <w:rFonts w:eastAsia="Liberation Serif" w:cs="Liberation Serif"/>
          <w:szCs w:val="24"/>
        </w:rPr>
        <w:t xml:space="preserve"> </w:t>
      </w:r>
      <w:r w:rsidRPr="00986F85">
        <w:rPr>
          <w:szCs w:val="24"/>
        </w:rPr>
        <w:t>megállapítást</w:t>
      </w:r>
      <w:r w:rsidRPr="00986F85">
        <w:rPr>
          <w:rFonts w:eastAsia="Liberation Serif" w:cs="Liberation Serif"/>
          <w:szCs w:val="24"/>
        </w:rPr>
        <w:t xml:space="preserve"> </w:t>
      </w:r>
      <w:r w:rsidRPr="00986F85">
        <w:rPr>
          <w:szCs w:val="24"/>
        </w:rPr>
        <w:t>tett:</w:t>
      </w:r>
      <w:r w:rsidRPr="00986F85">
        <w:rPr>
          <w:rFonts w:eastAsia="Liberation Serif"/>
          <w:szCs w:val="24"/>
        </w:rPr>
        <w:t xml:space="preserve"> i) </w:t>
      </w:r>
      <w:r w:rsidRPr="00986F85">
        <w:rPr>
          <w:szCs w:val="24"/>
        </w:rPr>
        <w:t>a</w:t>
      </w:r>
      <w:r w:rsidRPr="00986F85">
        <w:rPr>
          <w:rFonts w:eastAsia="Liberation Serif" w:cs="Liberation Serif"/>
          <w:szCs w:val="24"/>
        </w:rPr>
        <w:t xml:space="preserve"> </w:t>
      </w:r>
      <w:r w:rsidRPr="00986F85">
        <w:rPr>
          <w:szCs w:val="24"/>
        </w:rPr>
        <w:t>pályázati</w:t>
      </w:r>
      <w:r w:rsidRPr="00986F85">
        <w:rPr>
          <w:rFonts w:eastAsia="Liberation Serif" w:cs="Liberation Serif"/>
          <w:szCs w:val="24"/>
        </w:rPr>
        <w:t xml:space="preserve"> </w:t>
      </w:r>
      <w:r w:rsidRPr="00986F85">
        <w:rPr>
          <w:szCs w:val="24"/>
        </w:rPr>
        <w:t>rendszerben</w:t>
      </w:r>
      <w:r w:rsidRPr="00986F85">
        <w:rPr>
          <w:rFonts w:eastAsia="Liberation Serif" w:cs="Liberation Serif"/>
          <w:szCs w:val="24"/>
        </w:rPr>
        <w:t xml:space="preserve"> </w:t>
      </w:r>
      <w:r w:rsidRPr="00986F85">
        <w:rPr>
          <w:szCs w:val="24"/>
        </w:rPr>
        <w:t>részt vevő</w:t>
      </w:r>
      <w:r w:rsidRPr="00986F85">
        <w:rPr>
          <w:rFonts w:eastAsia="Liberation Serif" w:cs="Liberation Serif"/>
          <w:szCs w:val="24"/>
        </w:rPr>
        <w:t xml:space="preserve"> </w:t>
      </w:r>
      <w:r w:rsidRPr="00986F85">
        <w:rPr>
          <w:szCs w:val="24"/>
        </w:rPr>
        <w:t>vállalkozások</w:t>
      </w:r>
      <w:r w:rsidRPr="00986F85">
        <w:rPr>
          <w:rFonts w:eastAsia="Liberation Serif" w:cs="Liberation Serif"/>
          <w:szCs w:val="24"/>
        </w:rPr>
        <w:t xml:space="preserve"> </w:t>
      </w:r>
      <w:r w:rsidRPr="00986F85">
        <w:rPr>
          <w:szCs w:val="24"/>
        </w:rPr>
        <w:t>a</w:t>
      </w:r>
      <w:r w:rsidRPr="00986F85">
        <w:rPr>
          <w:rFonts w:eastAsia="Liberation Serif" w:cs="Liberation Serif"/>
          <w:szCs w:val="24"/>
        </w:rPr>
        <w:t xml:space="preserve"> </w:t>
      </w:r>
      <w:r w:rsidRPr="00986F85">
        <w:rPr>
          <w:szCs w:val="24"/>
        </w:rPr>
        <w:t>többiekhez</w:t>
      </w:r>
      <w:r w:rsidRPr="00986F85">
        <w:rPr>
          <w:rFonts w:eastAsia="Liberation Serif" w:cs="Liberation Serif"/>
          <w:szCs w:val="24"/>
        </w:rPr>
        <w:t xml:space="preserve"> </w:t>
      </w:r>
      <w:r w:rsidRPr="00986F85">
        <w:rPr>
          <w:szCs w:val="24"/>
        </w:rPr>
        <w:t>képest</w:t>
      </w:r>
      <w:r w:rsidRPr="00986F85">
        <w:rPr>
          <w:rFonts w:eastAsia="Liberation Serif" w:cs="Liberation Serif"/>
          <w:szCs w:val="24"/>
        </w:rPr>
        <w:t xml:space="preserve"> </w:t>
      </w:r>
      <w:r w:rsidRPr="00986F85">
        <w:rPr>
          <w:szCs w:val="24"/>
        </w:rPr>
        <w:t>már</w:t>
      </w:r>
      <w:r w:rsidRPr="00986F85">
        <w:rPr>
          <w:rFonts w:eastAsia="Liberation Serif" w:cs="Liberation Serif"/>
          <w:szCs w:val="24"/>
        </w:rPr>
        <w:t xml:space="preserve"> </w:t>
      </w:r>
      <w:r w:rsidRPr="00986F85">
        <w:rPr>
          <w:szCs w:val="24"/>
        </w:rPr>
        <w:t>eleve</w:t>
      </w:r>
      <w:r w:rsidRPr="00986F85">
        <w:rPr>
          <w:rFonts w:eastAsia="Liberation Serif" w:cs="Liberation Serif"/>
          <w:szCs w:val="24"/>
        </w:rPr>
        <w:t xml:space="preserve"> </w:t>
      </w:r>
      <w:r w:rsidRPr="00986F85">
        <w:rPr>
          <w:szCs w:val="24"/>
        </w:rPr>
        <w:t>nagyobbak</w:t>
      </w:r>
      <w:r w:rsidRPr="00986F85">
        <w:rPr>
          <w:rFonts w:eastAsia="Liberation Serif" w:cs="Liberation Serif"/>
          <w:szCs w:val="24"/>
        </w:rPr>
        <w:t xml:space="preserve"> </w:t>
      </w:r>
      <w:r w:rsidRPr="00986F85">
        <w:rPr>
          <w:szCs w:val="24"/>
        </w:rPr>
        <w:t>voltak</w:t>
      </w:r>
      <w:r w:rsidRPr="00986F85">
        <w:rPr>
          <w:rFonts w:eastAsia="Liberation Serif" w:cs="Liberation Serif"/>
          <w:szCs w:val="24"/>
        </w:rPr>
        <w:t xml:space="preserve"> </w:t>
      </w:r>
      <w:r w:rsidRPr="00986F85">
        <w:rPr>
          <w:szCs w:val="24"/>
        </w:rPr>
        <w:t>és</w:t>
      </w:r>
      <w:r w:rsidRPr="00986F85">
        <w:rPr>
          <w:rFonts w:eastAsia="Liberation Serif" w:cs="Liberation Serif"/>
          <w:szCs w:val="24"/>
        </w:rPr>
        <w:t xml:space="preserve"> </w:t>
      </w:r>
      <w:r w:rsidRPr="00986F85">
        <w:rPr>
          <w:szCs w:val="24"/>
        </w:rPr>
        <w:t>gyorsabban</w:t>
      </w:r>
      <w:r w:rsidRPr="00986F85">
        <w:rPr>
          <w:rFonts w:eastAsia="Liberation Serif" w:cs="Liberation Serif"/>
          <w:szCs w:val="24"/>
        </w:rPr>
        <w:t xml:space="preserve"> </w:t>
      </w:r>
      <w:r w:rsidRPr="00986F85">
        <w:rPr>
          <w:szCs w:val="24"/>
        </w:rPr>
        <w:t>növekedtek,</w:t>
      </w:r>
      <w:r w:rsidRPr="00986F85">
        <w:rPr>
          <w:rFonts w:eastAsia="Liberation Serif" w:cs="Liberation Serif"/>
          <w:szCs w:val="24"/>
        </w:rPr>
        <w:t xml:space="preserve"> </w:t>
      </w:r>
      <w:r w:rsidRPr="00986F85">
        <w:rPr>
          <w:szCs w:val="24"/>
        </w:rPr>
        <w:t>mint</w:t>
      </w:r>
      <w:r w:rsidRPr="00986F85">
        <w:rPr>
          <w:rFonts w:eastAsia="Liberation Serif" w:cs="Liberation Serif"/>
          <w:szCs w:val="24"/>
        </w:rPr>
        <w:t xml:space="preserve"> </w:t>
      </w:r>
      <w:r w:rsidRPr="00986F85">
        <w:rPr>
          <w:szCs w:val="24"/>
        </w:rPr>
        <w:t>a</w:t>
      </w:r>
      <w:r w:rsidRPr="00986F85">
        <w:rPr>
          <w:rFonts w:eastAsia="Liberation Serif" w:cs="Liberation Serif"/>
          <w:szCs w:val="24"/>
        </w:rPr>
        <w:t xml:space="preserve"> </w:t>
      </w:r>
      <w:r w:rsidRPr="00986F85">
        <w:rPr>
          <w:szCs w:val="24"/>
        </w:rPr>
        <w:t>többiek; ii)</w:t>
      </w:r>
      <w:r w:rsidRPr="00986F85">
        <w:rPr>
          <w:rFonts w:eastAsia="Liberation Serif"/>
          <w:szCs w:val="24"/>
        </w:rPr>
        <w:t xml:space="preserve"> </w:t>
      </w:r>
      <w:r w:rsidRPr="00986F85">
        <w:rPr>
          <w:szCs w:val="24"/>
        </w:rPr>
        <w:t>azok</w:t>
      </w:r>
      <w:r w:rsidRPr="00986F85">
        <w:rPr>
          <w:rFonts w:eastAsia="Liberation Serif" w:cs="Liberation Serif"/>
          <w:szCs w:val="24"/>
        </w:rPr>
        <w:t xml:space="preserve"> </w:t>
      </w:r>
      <w:r w:rsidRPr="00986F85">
        <w:rPr>
          <w:szCs w:val="24"/>
        </w:rPr>
        <w:t>a</w:t>
      </w:r>
      <w:r w:rsidRPr="00986F85">
        <w:rPr>
          <w:rFonts w:eastAsia="Liberation Serif" w:cs="Liberation Serif"/>
          <w:szCs w:val="24"/>
        </w:rPr>
        <w:t xml:space="preserve"> </w:t>
      </w:r>
      <w:r w:rsidRPr="00986F85">
        <w:rPr>
          <w:szCs w:val="24"/>
        </w:rPr>
        <w:t>vállalkozások</w:t>
      </w:r>
      <w:r w:rsidRPr="00986F85">
        <w:rPr>
          <w:rFonts w:eastAsia="Liberation Serif" w:cs="Liberation Serif"/>
          <w:szCs w:val="24"/>
        </w:rPr>
        <w:t xml:space="preserve"> </w:t>
      </w:r>
      <w:r w:rsidRPr="00986F85">
        <w:rPr>
          <w:szCs w:val="24"/>
        </w:rPr>
        <w:t>is</w:t>
      </w:r>
      <w:r w:rsidRPr="00986F85">
        <w:rPr>
          <w:rFonts w:eastAsia="Liberation Serif" w:cs="Liberation Serif"/>
          <w:szCs w:val="24"/>
        </w:rPr>
        <w:t xml:space="preserve"> </w:t>
      </w:r>
      <w:r w:rsidRPr="00986F85">
        <w:rPr>
          <w:szCs w:val="24"/>
        </w:rPr>
        <w:t>szignifikánsan</w:t>
      </w:r>
      <w:r w:rsidRPr="00986F85">
        <w:rPr>
          <w:rFonts w:eastAsia="Liberation Serif" w:cs="Liberation Serif"/>
          <w:szCs w:val="24"/>
        </w:rPr>
        <w:t xml:space="preserve"> </w:t>
      </w:r>
      <w:r w:rsidRPr="00986F85">
        <w:rPr>
          <w:szCs w:val="24"/>
        </w:rPr>
        <w:t>több</w:t>
      </w:r>
      <w:r w:rsidRPr="00986F85">
        <w:rPr>
          <w:rFonts w:eastAsia="Liberation Serif" w:cs="Liberation Serif"/>
          <w:szCs w:val="24"/>
        </w:rPr>
        <w:t xml:space="preserve"> </w:t>
      </w:r>
      <w:r w:rsidRPr="00986F85">
        <w:rPr>
          <w:szCs w:val="24"/>
        </w:rPr>
        <w:t>beruházást</w:t>
      </w:r>
      <w:r w:rsidRPr="00986F85">
        <w:rPr>
          <w:rFonts w:eastAsia="Liberation Serif" w:cs="Liberation Serif"/>
          <w:szCs w:val="24"/>
        </w:rPr>
        <w:t xml:space="preserve"> </w:t>
      </w:r>
      <w:r w:rsidRPr="00986F85">
        <w:rPr>
          <w:szCs w:val="24"/>
        </w:rPr>
        <w:t>hajtottak</w:t>
      </w:r>
      <w:r w:rsidRPr="00986F85">
        <w:rPr>
          <w:rFonts w:eastAsia="Liberation Serif" w:cs="Liberation Serif"/>
          <w:szCs w:val="24"/>
        </w:rPr>
        <w:t xml:space="preserve"> </w:t>
      </w:r>
      <w:r w:rsidRPr="00986F85">
        <w:rPr>
          <w:szCs w:val="24"/>
        </w:rPr>
        <w:t>végre,</w:t>
      </w:r>
      <w:r w:rsidRPr="00986F85">
        <w:rPr>
          <w:rFonts w:eastAsia="Liberation Serif" w:cs="Liberation Serif"/>
          <w:szCs w:val="24"/>
        </w:rPr>
        <w:t xml:space="preserve"> </w:t>
      </w:r>
      <w:r w:rsidRPr="00986F85">
        <w:rPr>
          <w:szCs w:val="24"/>
        </w:rPr>
        <w:t>amelyek</w:t>
      </w:r>
      <w:r w:rsidRPr="00986F85">
        <w:rPr>
          <w:rFonts w:eastAsia="Liberation Serif" w:cs="Liberation Serif"/>
          <w:szCs w:val="24"/>
        </w:rPr>
        <w:t xml:space="preserve"> </w:t>
      </w:r>
      <w:r w:rsidRPr="00986F85">
        <w:rPr>
          <w:szCs w:val="24"/>
        </w:rPr>
        <w:t>pályáztak,</w:t>
      </w:r>
      <w:r w:rsidRPr="00986F85">
        <w:rPr>
          <w:rFonts w:eastAsia="Liberation Serif" w:cs="Liberation Serif"/>
          <w:szCs w:val="24"/>
        </w:rPr>
        <w:t xml:space="preserve"> </w:t>
      </w:r>
      <w:r w:rsidRPr="00986F85">
        <w:rPr>
          <w:szCs w:val="24"/>
        </w:rPr>
        <w:t>de</w:t>
      </w:r>
      <w:r w:rsidRPr="00986F85">
        <w:rPr>
          <w:rFonts w:eastAsia="Liberation Serif" w:cs="Liberation Serif"/>
          <w:szCs w:val="24"/>
        </w:rPr>
        <w:t xml:space="preserve"> </w:t>
      </w:r>
      <w:r w:rsidRPr="00986F85">
        <w:rPr>
          <w:szCs w:val="24"/>
        </w:rPr>
        <w:t>végül</w:t>
      </w:r>
      <w:r w:rsidRPr="00986F85">
        <w:rPr>
          <w:rFonts w:eastAsia="Liberation Serif" w:cs="Liberation Serif"/>
          <w:szCs w:val="24"/>
        </w:rPr>
        <w:t xml:space="preserve"> </w:t>
      </w:r>
      <w:r w:rsidRPr="00986F85">
        <w:rPr>
          <w:szCs w:val="24"/>
        </w:rPr>
        <w:t>nem</w:t>
      </w:r>
      <w:r w:rsidRPr="00986F85">
        <w:rPr>
          <w:rFonts w:eastAsia="Liberation Serif" w:cs="Liberation Serif"/>
          <w:szCs w:val="24"/>
        </w:rPr>
        <w:t xml:space="preserve"> </w:t>
      </w:r>
      <w:r w:rsidRPr="00986F85">
        <w:rPr>
          <w:szCs w:val="24"/>
        </w:rPr>
        <w:t>kaptak</w:t>
      </w:r>
      <w:r w:rsidRPr="00986F85">
        <w:rPr>
          <w:rFonts w:eastAsia="Liberation Serif" w:cs="Liberation Serif"/>
          <w:szCs w:val="24"/>
        </w:rPr>
        <w:t xml:space="preserve"> </w:t>
      </w:r>
      <w:r w:rsidRPr="00986F85">
        <w:rPr>
          <w:szCs w:val="24"/>
        </w:rPr>
        <w:t>támogatást.</w:t>
      </w:r>
      <w:r w:rsidR="00F75519" w:rsidRPr="00986F85">
        <w:rPr>
          <w:szCs w:val="24"/>
        </w:rPr>
        <w:t xml:space="preserve"> </w:t>
      </w:r>
    </w:p>
    <w:p w14:paraId="46A7521C" w14:textId="77777777" w:rsidR="00F75519" w:rsidRPr="00986F85" w:rsidRDefault="00F75519" w:rsidP="00B04415">
      <w:pPr>
        <w:spacing w:after="0" w:line="360" w:lineRule="auto"/>
        <w:jc w:val="both"/>
        <w:rPr>
          <w:szCs w:val="24"/>
        </w:rPr>
      </w:pPr>
    </w:p>
    <w:p w14:paraId="1C05D7F6" w14:textId="77777777" w:rsidR="00F75519" w:rsidRPr="00986F85" w:rsidRDefault="00533422" w:rsidP="00B04415">
      <w:pPr>
        <w:spacing w:after="0" w:line="360" w:lineRule="auto"/>
        <w:jc w:val="both"/>
        <w:rPr>
          <w:rFonts w:eastAsia="Times New Roman"/>
          <w:szCs w:val="24"/>
        </w:rPr>
      </w:pPr>
      <w:r w:rsidRPr="00986F85">
        <w:rPr>
          <w:rFonts w:eastAsia="Times New Roman"/>
          <w:szCs w:val="24"/>
        </w:rPr>
        <w:t xml:space="preserve">Agenda et al (2010) megerősíti az erős szelekció feltevését; leíró adataik </w:t>
      </w:r>
      <w:r w:rsidRPr="00986F85">
        <w:rPr>
          <w:szCs w:val="24"/>
        </w:rPr>
        <w:t>alapján a</w:t>
      </w:r>
      <w:r w:rsidRPr="00986F85">
        <w:rPr>
          <w:rFonts w:eastAsia="Times New Roman"/>
          <w:szCs w:val="24"/>
        </w:rPr>
        <w:t xml:space="preserve"> </w:t>
      </w:r>
      <w:r w:rsidRPr="00986F85">
        <w:rPr>
          <w:szCs w:val="24"/>
        </w:rPr>
        <w:t>pályázók</w:t>
      </w:r>
      <w:r w:rsidRPr="00986F85">
        <w:rPr>
          <w:rFonts w:eastAsia="Times New Roman"/>
          <w:szCs w:val="24"/>
        </w:rPr>
        <w:t xml:space="preserve"> </w:t>
      </w:r>
      <w:r w:rsidRPr="00986F85">
        <w:rPr>
          <w:szCs w:val="24"/>
        </w:rPr>
        <w:t>tőkeállománya,</w:t>
      </w:r>
      <w:r w:rsidRPr="00986F85">
        <w:rPr>
          <w:rFonts w:eastAsia="Times New Roman"/>
          <w:szCs w:val="24"/>
        </w:rPr>
        <w:t xml:space="preserve"> </w:t>
      </w:r>
      <w:r w:rsidRPr="00986F85">
        <w:rPr>
          <w:szCs w:val="24"/>
        </w:rPr>
        <w:t>árbevétele,</w:t>
      </w:r>
      <w:r w:rsidRPr="00986F85">
        <w:rPr>
          <w:rFonts w:eastAsia="Times New Roman"/>
          <w:szCs w:val="24"/>
        </w:rPr>
        <w:t xml:space="preserve"> </w:t>
      </w:r>
      <w:r w:rsidRPr="00986F85">
        <w:rPr>
          <w:szCs w:val="24"/>
        </w:rPr>
        <w:t>hosszú</w:t>
      </w:r>
      <w:r w:rsidRPr="00986F85">
        <w:rPr>
          <w:rFonts w:eastAsia="Times New Roman"/>
          <w:szCs w:val="24"/>
        </w:rPr>
        <w:t xml:space="preserve"> </w:t>
      </w:r>
      <w:r w:rsidRPr="00986F85">
        <w:rPr>
          <w:szCs w:val="24"/>
        </w:rPr>
        <w:t>lejáratú</w:t>
      </w:r>
      <w:r w:rsidRPr="00986F85">
        <w:rPr>
          <w:rFonts w:eastAsia="Times New Roman"/>
          <w:szCs w:val="24"/>
        </w:rPr>
        <w:t xml:space="preserve"> </w:t>
      </w:r>
      <w:r w:rsidRPr="00986F85">
        <w:rPr>
          <w:szCs w:val="24"/>
        </w:rPr>
        <w:t>forrásai</w:t>
      </w:r>
      <w:r w:rsidRPr="00986F85">
        <w:rPr>
          <w:rFonts w:eastAsia="Times New Roman"/>
          <w:szCs w:val="24"/>
        </w:rPr>
        <w:t xml:space="preserve"> </w:t>
      </w:r>
      <w:r w:rsidRPr="00986F85">
        <w:rPr>
          <w:szCs w:val="24"/>
        </w:rPr>
        <w:t>és</w:t>
      </w:r>
      <w:r w:rsidRPr="00986F85">
        <w:rPr>
          <w:rFonts w:eastAsia="Times New Roman"/>
          <w:szCs w:val="24"/>
        </w:rPr>
        <w:t xml:space="preserve"> </w:t>
      </w:r>
      <w:r w:rsidRPr="00986F85">
        <w:rPr>
          <w:szCs w:val="24"/>
        </w:rPr>
        <w:t>immateriális</w:t>
      </w:r>
      <w:r w:rsidRPr="00986F85">
        <w:rPr>
          <w:rFonts w:eastAsia="Times New Roman"/>
          <w:szCs w:val="24"/>
        </w:rPr>
        <w:t xml:space="preserve"> </w:t>
      </w:r>
      <w:r w:rsidRPr="00986F85">
        <w:rPr>
          <w:szCs w:val="24"/>
        </w:rPr>
        <w:t>eszközeinek</w:t>
      </w:r>
      <w:r w:rsidRPr="00986F85">
        <w:rPr>
          <w:rFonts w:eastAsia="Times New Roman"/>
          <w:szCs w:val="24"/>
        </w:rPr>
        <w:t xml:space="preserve"> </w:t>
      </w:r>
      <w:r w:rsidRPr="00986F85">
        <w:rPr>
          <w:szCs w:val="24"/>
        </w:rPr>
        <w:t>állománya</w:t>
      </w:r>
      <w:r w:rsidRPr="00986F85">
        <w:rPr>
          <w:rFonts w:eastAsia="Times New Roman"/>
          <w:szCs w:val="24"/>
        </w:rPr>
        <w:t xml:space="preserve"> </w:t>
      </w:r>
      <w:r w:rsidRPr="00986F85">
        <w:rPr>
          <w:szCs w:val="24"/>
        </w:rPr>
        <w:t>eleve</w:t>
      </w:r>
      <w:r w:rsidRPr="00986F85">
        <w:rPr>
          <w:rFonts w:eastAsia="Times New Roman"/>
          <w:szCs w:val="24"/>
        </w:rPr>
        <w:t xml:space="preserve"> </w:t>
      </w:r>
      <w:r w:rsidRPr="00986F85">
        <w:rPr>
          <w:szCs w:val="24"/>
        </w:rPr>
        <w:t>magasabb</w:t>
      </w:r>
      <w:r w:rsidRPr="00986F85">
        <w:rPr>
          <w:rFonts w:eastAsia="Times New Roman"/>
          <w:szCs w:val="24"/>
        </w:rPr>
        <w:t xml:space="preserve"> </w:t>
      </w:r>
      <w:r w:rsidRPr="00986F85">
        <w:rPr>
          <w:szCs w:val="24"/>
        </w:rPr>
        <w:t>volt</w:t>
      </w:r>
      <w:r w:rsidRPr="00986F85">
        <w:rPr>
          <w:rFonts w:eastAsia="Times New Roman"/>
          <w:szCs w:val="24"/>
        </w:rPr>
        <w:t xml:space="preserve"> </w:t>
      </w:r>
      <w:r w:rsidRPr="00986F85">
        <w:rPr>
          <w:szCs w:val="24"/>
        </w:rPr>
        <w:t>a</w:t>
      </w:r>
      <w:r w:rsidRPr="00986F85">
        <w:rPr>
          <w:rFonts w:eastAsia="Times New Roman"/>
          <w:szCs w:val="24"/>
        </w:rPr>
        <w:t xml:space="preserve"> </w:t>
      </w:r>
      <w:r w:rsidRPr="00986F85">
        <w:rPr>
          <w:szCs w:val="24"/>
        </w:rPr>
        <w:t>pályázat</w:t>
      </w:r>
      <w:r w:rsidRPr="00986F85">
        <w:rPr>
          <w:rFonts w:eastAsia="Times New Roman"/>
          <w:szCs w:val="24"/>
        </w:rPr>
        <w:t xml:space="preserve"> </w:t>
      </w:r>
      <w:r w:rsidRPr="00986F85">
        <w:rPr>
          <w:szCs w:val="24"/>
        </w:rPr>
        <w:t>előtt</w:t>
      </w:r>
      <w:r w:rsidRPr="00986F85">
        <w:rPr>
          <w:rFonts w:eastAsia="Times New Roman"/>
          <w:szCs w:val="24"/>
        </w:rPr>
        <w:t xml:space="preserve"> </w:t>
      </w:r>
      <w:r w:rsidRPr="00986F85">
        <w:rPr>
          <w:szCs w:val="24"/>
        </w:rPr>
        <w:t>is,</w:t>
      </w:r>
      <w:r w:rsidRPr="00986F85">
        <w:rPr>
          <w:rFonts w:eastAsia="Times New Roman"/>
          <w:szCs w:val="24"/>
        </w:rPr>
        <w:t xml:space="preserve"> valamint </w:t>
      </w:r>
      <w:r w:rsidRPr="00986F85">
        <w:rPr>
          <w:szCs w:val="24"/>
        </w:rPr>
        <w:t>már</w:t>
      </w:r>
      <w:r w:rsidRPr="00986F85">
        <w:rPr>
          <w:rFonts w:eastAsia="Times New Roman"/>
          <w:szCs w:val="24"/>
        </w:rPr>
        <w:t xml:space="preserve"> </w:t>
      </w:r>
      <w:r w:rsidRPr="00986F85">
        <w:rPr>
          <w:szCs w:val="24"/>
        </w:rPr>
        <w:t>a</w:t>
      </w:r>
      <w:r w:rsidRPr="00986F85">
        <w:rPr>
          <w:rFonts w:eastAsia="Times New Roman"/>
          <w:szCs w:val="24"/>
        </w:rPr>
        <w:t xml:space="preserve"> </w:t>
      </w:r>
      <w:r w:rsidRPr="00986F85">
        <w:rPr>
          <w:szCs w:val="24"/>
        </w:rPr>
        <w:t>pályázás</w:t>
      </w:r>
      <w:r w:rsidRPr="00986F85">
        <w:rPr>
          <w:rFonts w:eastAsia="Times New Roman"/>
          <w:szCs w:val="24"/>
        </w:rPr>
        <w:t xml:space="preserve"> </w:t>
      </w:r>
      <w:r w:rsidRPr="00986F85">
        <w:rPr>
          <w:szCs w:val="24"/>
        </w:rPr>
        <w:t>előtt</w:t>
      </w:r>
      <w:r w:rsidRPr="00986F85">
        <w:rPr>
          <w:rFonts w:eastAsia="Times New Roman"/>
          <w:szCs w:val="24"/>
        </w:rPr>
        <w:t xml:space="preserve"> </w:t>
      </w:r>
      <w:r w:rsidRPr="00986F85">
        <w:rPr>
          <w:szCs w:val="24"/>
        </w:rPr>
        <w:t>is</w:t>
      </w:r>
      <w:r w:rsidRPr="00986F85">
        <w:rPr>
          <w:rFonts w:eastAsia="Times New Roman"/>
          <w:szCs w:val="24"/>
        </w:rPr>
        <w:t xml:space="preserve"> </w:t>
      </w:r>
      <w:r w:rsidRPr="00986F85">
        <w:rPr>
          <w:szCs w:val="24"/>
        </w:rPr>
        <w:t>gyorsabb</w:t>
      </w:r>
      <w:r w:rsidRPr="00986F85">
        <w:rPr>
          <w:rFonts w:eastAsia="Times New Roman"/>
          <w:szCs w:val="24"/>
        </w:rPr>
        <w:t xml:space="preserve"> </w:t>
      </w:r>
      <w:r w:rsidRPr="00986F85">
        <w:rPr>
          <w:szCs w:val="24"/>
        </w:rPr>
        <w:t>ütemben</w:t>
      </w:r>
      <w:r w:rsidRPr="00986F85">
        <w:rPr>
          <w:rFonts w:eastAsia="Times New Roman"/>
          <w:szCs w:val="24"/>
        </w:rPr>
        <w:t xml:space="preserve"> </w:t>
      </w:r>
      <w:r w:rsidRPr="00986F85">
        <w:rPr>
          <w:szCs w:val="24"/>
        </w:rPr>
        <w:t>növelték</w:t>
      </w:r>
      <w:r w:rsidRPr="00986F85">
        <w:rPr>
          <w:rFonts w:eastAsia="Times New Roman"/>
          <w:szCs w:val="24"/>
        </w:rPr>
        <w:t xml:space="preserve"> </w:t>
      </w:r>
      <w:r w:rsidRPr="00986F85">
        <w:rPr>
          <w:szCs w:val="24"/>
        </w:rPr>
        <w:t>tőkeállományukat,</w:t>
      </w:r>
      <w:r w:rsidRPr="00986F85">
        <w:rPr>
          <w:rFonts w:eastAsia="Times New Roman"/>
          <w:szCs w:val="24"/>
        </w:rPr>
        <w:t xml:space="preserve"> </w:t>
      </w:r>
      <w:r w:rsidRPr="00986F85">
        <w:rPr>
          <w:szCs w:val="24"/>
        </w:rPr>
        <w:t>mint</w:t>
      </w:r>
      <w:r w:rsidRPr="00986F85">
        <w:rPr>
          <w:rFonts w:eastAsia="Times New Roman"/>
          <w:szCs w:val="24"/>
        </w:rPr>
        <w:t xml:space="preserve"> </w:t>
      </w:r>
      <w:r w:rsidRPr="00986F85">
        <w:rPr>
          <w:szCs w:val="24"/>
        </w:rPr>
        <w:t>a</w:t>
      </w:r>
      <w:r w:rsidRPr="00986F85">
        <w:rPr>
          <w:rFonts w:eastAsia="Times New Roman"/>
          <w:szCs w:val="24"/>
        </w:rPr>
        <w:t xml:space="preserve"> </w:t>
      </w:r>
      <w:r w:rsidRPr="00986F85">
        <w:rPr>
          <w:szCs w:val="24"/>
        </w:rPr>
        <w:t>nem</w:t>
      </w:r>
      <w:r w:rsidRPr="00986F85">
        <w:rPr>
          <w:rFonts w:eastAsia="Times New Roman"/>
          <w:szCs w:val="24"/>
        </w:rPr>
        <w:t xml:space="preserve"> </w:t>
      </w:r>
      <w:r w:rsidRPr="00986F85">
        <w:rPr>
          <w:szCs w:val="24"/>
        </w:rPr>
        <w:t>pályázó</w:t>
      </w:r>
      <w:r w:rsidRPr="00986F85">
        <w:rPr>
          <w:rFonts w:eastAsia="Times New Roman"/>
          <w:szCs w:val="24"/>
        </w:rPr>
        <w:t xml:space="preserve"> </w:t>
      </w:r>
      <w:r w:rsidRPr="00986F85">
        <w:rPr>
          <w:szCs w:val="24"/>
        </w:rPr>
        <w:t>vállalatok.</w:t>
      </w:r>
      <w:r w:rsidRPr="00986F85">
        <w:rPr>
          <w:rFonts w:eastAsia="Times New Roman"/>
          <w:szCs w:val="24"/>
        </w:rPr>
        <w:t xml:space="preserve"> Ezen túl a szelekciót tovább erősítette a pályázatok elbírálása, az</w:t>
      </w:r>
      <w:r w:rsidRPr="00986F85">
        <w:rPr>
          <w:szCs w:val="24"/>
        </w:rPr>
        <w:t>az</w:t>
      </w:r>
      <w:r w:rsidRPr="00986F85">
        <w:rPr>
          <w:rFonts w:eastAsia="Times New Roman"/>
          <w:szCs w:val="24"/>
        </w:rPr>
        <w:t xml:space="preserve"> az </w:t>
      </w:r>
      <w:r w:rsidRPr="00986F85">
        <w:rPr>
          <w:szCs w:val="24"/>
        </w:rPr>
        <w:t>Irányító</w:t>
      </w:r>
      <w:r w:rsidRPr="00986F85">
        <w:rPr>
          <w:rFonts w:eastAsia="Times New Roman"/>
          <w:szCs w:val="24"/>
        </w:rPr>
        <w:t xml:space="preserve"> </w:t>
      </w:r>
      <w:r w:rsidRPr="00986F85">
        <w:rPr>
          <w:szCs w:val="24"/>
        </w:rPr>
        <w:t>Hatóság</w:t>
      </w:r>
      <w:r w:rsidRPr="00986F85">
        <w:rPr>
          <w:rFonts w:eastAsia="Times New Roman"/>
          <w:szCs w:val="24"/>
        </w:rPr>
        <w:t xml:space="preserve"> </w:t>
      </w:r>
      <w:r w:rsidRPr="00986F85">
        <w:rPr>
          <w:szCs w:val="24"/>
        </w:rPr>
        <w:t>a</w:t>
      </w:r>
      <w:r w:rsidRPr="00986F85">
        <w:rPr>
          <w:rFonts w:eastAsia="Times New Roman"/>
          <w:szCs w:val="24"/>
        </w:rPr>
        <w:t xml:space="preserve"> </w:t>
      </w:r>
      <w:r w:rsidRPr="00986F85">
        <w:rPr>
          <w:szCs w:val="24"/>
        </w:rPr>
        <w:t>korábban</w:t>
      </w:r>
      <w:r w:rsidRPr="00986F85">
        <w:rPr>
          <w:rFonts w:eastAsia="Times New Roman"/>
          <w:szCs w:val="24"/>
        </w:rPr>
        <w:t xml:space="preserve"> </w:t>
      </w:r>
      <w:r w:rsidRPr="00986F85">
        <w:rPr>
          <w:szCs w:val="24"/>
        </w:rPr>
        <w:t>gyorsabban</w:t>
      </w:r>
      <w:r w:rsidRPr="00986F85">
        <w:rPr>
          <w:rFonts w:eastAsia="Times New Roman"/>
          <w:szCs w:val="24"/>
        </w:rPr>
        <w:t xml:space="preserve"> </w:t>
      </w:r>
      <w:r w:rsidRPr="00986F85">
        <w:rPr>
          <w:szCs w:val="24"/>
        </w:rPr>
        <w:t>növekvő</w:t>
      </w:r>
      <w:r w:rsidRPr="00986F85">
        <w:rPr>
          <w:rFonts w:eastAsia="Times New Roman"/>
          <w:szCs w:val="24"/>
        </w:rPr>
        <w:t xml:space="preserve"> </w:t>
      </w:r>
      <w:r w:rsidRPr="00986F85">
        <w:rPr>
          <w:szCs w:val="24"/>
        </w:rPr>
        <w:t>vállalatokat</w:t>
      </w:r>
      <w:r w:rsidRPr="00986F85">
        <w:rPr>
          <w:rFonts w:eastAsia="Times New Roman"/>
          <w:szCs w:val="24"/>
        </w:rPr>
        <w:t xml:space="preserve"> </w:t>
      </w:r>
      <w:r w:rsidRPr="00986F85">
        <w:rPr>
          <w:szCs w:val="24"/>
        </w:rPr>
        <w:t>választotta</w:t>
      </w:r>
      <w:r w:rsidRPr="00986F85">
        <w:rPr>
          <w:rFonts w:eastAsia="Times New Roman"/>
          <w:szCs w:val="24"/>
        </w:rPr>
        <w:t xml:space="preserve"> </w:t>
      </w:r>
      <w:r w:rsidRPr="00986F85">
        <w:rPr>
          <w:szCs w:val="24"/>
        </w:rPr>
        <w:t>ki</w:t>
      </w:r>
      <w:r w:rsidRPr="00986F85">
        <w:rPr>
          <w:rFonts w:eastAsia="Times New Roman"/>
          <w:szCs w:val="24"/>
        </w:rPr>
        <w:t xml:space="preserve"> </w:t>
      </w:r>
      <w:r w:rsidRPr="00986F85">
        <w:rPr>
          <w:szCs w:val="24"/>
        </w:rPr>
        <w:t>a</w:t>
      </w:r>
      <w:r w:rsidRPr="00986F85">
        <w:rPr>
          <w:rFonts w:eastAsia="Times New Roman"/>
          <w:szCs w:val="24"/>
        </w:rPr>
        <w:t xml:space="preserve"> </w:t>
      </w:r>
      <w:r w:rsidRPr="00986F85">
        <w:rPr>
          <w:szCs w:val="24"/>
        </w:rPr>
        <w:t>folyamat</w:t>
      </w:r>
      <w:r w:rsidRPr="00986F85">
        <w:rPr>
          <w:rFonts w:eastAsia="Times New Roman"/>
          <w:szCs w:val="24"/>
        </w:rPr>
        <w:t xml:space="preserve"> </w:t>
      </w:r>
      <w:r w:rsidRPr="00986F85">
        <w:rPr>
          <w:szCs w:val="24"/>
        </w:rPr>
        <w:t>során.</w:t>
      </w:r>
      <w:r w:rsidRPr="00986F85">
        <w:rPr>
          <w:rFonts w:eastAsia="Times New Roman"/>
          <w:szCs w:val="24"/>
        </w:rPr>
        <w:t xml:space="preserve"> </w:t>
      </w:r>
      <w:r w:rsidR="00F75519" w:rsidRPr="00986F85">
        <w:rPr>
          <w:rFonts w:eastAsia="Times New Roman"/>
          <w:szCs w:val="24"/>
        </w:rPr>
        <w:t xml:space="preserve"> </w:t>
      </w:r>
    </w:p>
    <w:p w14:paraId="273ABF67" w14:textId="77777777" w:rsidR="00F75519" w:rsidRPr="00986F85" w:rsidRDefault="00F75519" w:rsidP="00B04415">
      <w:pPr>
        <w:spacing w:after="0" w:line="360" w:lineRule="auto"/>
        <w:jc w:val="both"/>
        <w:rPr>
          <w:rFonts w:eastAsia="Times New Roman" w:cs="Times New Roman"/>
          <w:szCs w:val="24"/>
        </w:rPr>
      </w:pPr>
    </w:p>
    <w:p w14:paraId="13CD8D64" w14:textId="77777777" w:rsidR="00F75519" w:rsidRPr="00986F85" w:rsidRDefault="00533422" w:rsidP="00B04415">
      <w:pPr>
        <w:spacing w:after="0" w:line="360" w:lineRule="auto"/>
        <w:jc w:val="both"/>
        <w:rPr>
          <w:szCs w:val="24"/>
        </w:rPr>
      </w:pPr>
      <w:r w:rsidRPr="00986F85">
        <w:rPr>
          <w:szCs w:val="24"/>
        </w:rPr>
        <w:t>A</w:t>
      </w:r>
      <w:r w:rsidRPr="00986F85">
        <w:rPr>
          <w:rFonts w:eastAsia="Liberation Serif" w:cs="Liberation Serif"/>
          <w:szCs w:val="24"/>
        </w:rPr>
        <w:t xml:space="preserve"> </w:t>
      </w:r>
      <w:r w:rsidRPr="00986F85">
        <w:rPr>
          <w:szCs w:val="24"/>
        </w:rPr>
        <w:t>kutatás</w:t>
      </w:r>
      <w:r w:rsidRPr="00986F85">
        <w:rPr>
          <w:rFonts w:eastAsia="Liberation Serif" w:cs="Liberation Serif"/>
          <w:szCs w:val="24"/>
        </w:rPr>
        <w:t xml:space="preserve"> </w:t>
      </w:r>
      <w:r w:rsidRPr="00986F85">
        <w:rPr>
          <w:szCs w:val="24"/>
        </w:rPr>
        <w:t>továbbá</w:t>
      </w:r>
      <w:r w:rsidRPr="00986F85">
        <w:rPr>
          <w:rFonts w:eastAsia="Liberation Serif" w:cs="Liberation Serif"/>
          <w:szCs w:val="24"/>
        </w:rPr>
        <w:t xml:space="preserve"> </w:t>
      </w:r>
      <w:r w:rsidRPr="00986F85">
        <w:rPr>
          <w:szCs w:val="24"/>
        </w:rPr>
        <w:t>megerősíti,</w:t>
      </w:r>
      <w:r w:rsidRPr="00986F85">
        <w:rPr>
          <w:rFonts w:eastAsia="Liberation Serif" w:cs="Liberation Serif"/>
          <w:szCs w:val="24"/>
        </w:rPr>
        <w:t xml:space="preserve"> </w:t>
      </w:r>
      <w:r w:rsidRPr="00986F85">
        <w:rPr>
          <w:szCs w:val="24"/>
        </w:rPr>
        <w:t>hogy</w:t>
      </w:r>
      <w:r w:rsidRPr="00986F85">
        <w:rPr>
          <w:rFonts w:eastAsia="Liberation Serif" w:cs="Liberation Serif"/>
          <w:szCs w:val="24"/>
        </w:rPr>
        <w:t xml:space="preserve"> </w:t>
      </w:r>
      <w:r w:rsidRPr="00986F85">
        <w:rPr>
          <w:szCs w:val="24"/>
        </w:rPr>
        <w:t>a</w:t>
      </w:r>
      <w:r w:rsidRPr="00986F85">
        <w:rPr>
          <w:rFonts w:eastAsia="Liberation Serif" w:cs="Liberation Serif"/>
          <w:szCs w:val="24"/>
        </w:rPr>
        <w:t xml:space="preserve"> </w:t>
      </w:r>
      <w:r w:rsidRPr="00986F85">
        <w:rPr>
          <w:szCs w:val="24"/>
        </w:rPr>
        <w:t>nyertes</w:t>
      </w:r>
      <w:r w:rsidRPr="00986F85">
        <w:rPr>
          <w:rFonts w:eastAsia="Liberation Serif" w:cs="Liberation Serif"/>
          <w:szCs w:val="24"/>
        </w:rPr>
        <w:t xml:space="preserve"> </w:t>
      </w:r>
      <w:r w:rsidRPr="00986F85">
        <w:rPr>
          <w:szCs w:val="24"/>
        </w:rPr>
        <w:t>pályázók</w:t>
      </w:r>
      <w:r w:rsidRPr="00986F85">
        <w:rPr>
          <w:rFonts w:eastAsia="Liberation Serif" w:cs="Liberation Serif"/>
          <w:szCs w:val="24"/>
        </w:rPr>
        <w:t xml:space="preserve"> </w:t>
      </w:r>
      <w:r w:rsidRPr="00986F85">
        <w:rPr>
          <w:szCs w:val="24"/>
        </w:rPr>
        <w:t>előrehozták beruházásaikat és átlagosan tárgyi eszköz állományuk 34%-ának megfelelő, tehát igen jelentős mértékű többletberuházást valósítottak meg a támogatás eredményeként az egységnyi támogatásra átlagosan 1,38 egységnyi többlet-magánberuházást fordítva.</w:t>
      </w:r>
      <w:r w:rsidRPr="00986F85">
        <w:rPr>
          <w:rFonts w:eastAsia="Liberation Serif" w:cs="Liberation Serif"/>
          <w:szCs w:val="24"/>
        </w:rPr>
        <w:t xml:space="preserve"> </w:t>
      </w:r>
      <w:r w:rsidRPr="00986F85">
        <w:rPr>
          <w:szCs w:val="24"/>
        </w:rPr>
        <w:t xml:space="preserve">Ugyanakkor e beruházás megvalósítása után visszafogták </w:t>
      </w:r>
      <w:r w:rsidRPr="00986F85">
        <w:rPr>
          <w:szCs w:val="24"/>
        </w:rPr>
        <w:sym w:font="Symbol" w:char="F02D"/>
      </w:r>
      <w:r w:rsidRPr="00986F85">
        <w:rPr>
          <w:szCs w:val="24"/>
        </w:rPr>
        <w:t xml:space="preserve"> a támogatás előtti években a KKV-átlagot jelentősen meghaladó </w:t>
      </w:r>
      <w:r w:rsidRPr="00986F85">
        <w:rPr>
          <w:szCs w:val="24"/>
        </w:rPr>
        <w:sym w:font="Symbol" w:char="F02D"/>
      </w:r>
      <w:r w:rsidRPr="00986F85">
        <w:rPr>
          <w:szCs w:val="24"/>
        </w:rPr>
        <w:t xml:space="preserve"> beruházási aktivitásukat és a nem pályázó, nem támogatott vállalatokra jellemzőnél is kevesebbet ruháztak be. Ez a szerzők értelmezésében arra utal, hogy a támogatás hatása nem tartós, következésképpen nem tud hozzájárulni a pályázás előtt az átlagot jelentősen meghaladó árbevétel-, illetve hozzáadott érték növekedési dinamikával jellemezhető vállalkozói kör növekedéséhez, a megfigyelt növekedési ütemek javításához. </w:t>
      </w:r>
    </w:p>
    <w:p w14:paraId="4FB5E6EE" w14:textId="77777777" w:rsidR="00F75519" w:rsidRPr="00986F85" w:rsidRDefault="00F75519" w:rsidP="00B04415">
      <w:pPr>
        <w:spacing w:after="0" w:line="360" w:lineRule="auto"/>
        <w:jc w:val="both"/>
        <w:rPr>
          <w:szCs w:val="24"/>
        </w:rPr>
      </w:pPr>
    </w:p>
    <w:p w14:paraId="10691BBF" w14:textId="77777777" w:rsidR="00F75519" w:rsidRPr="00986F85" w:rsidRDefault="00533422" w:rsidP="00B04415">
      <w:pPr>
        <w:spacing w:after="0" w:line="360" w:lineRule="auto"/>
        <w:jc w:val="both"/>
        <w:rPr>
          <w:szCs w:val="24"/>
        </w:rPr>
      </w:pPr>
      <w:r w:rsidRPr="00986F85">
        <w:rPr>
          <w:szCs w:val="24"/>
        </w:rPr>
        <w:t xml:space="preserve">A vállalati termelés hatékonyságát jelző „egy foglalkoztatottra jutó tőkeállomány” mutató a foglalkoztatás-növekedés (a támogatott KKV-k esetében átlagosan 1,85-tel nőtt a foglalkoztatottak száma) mellett is javult, ezt azonban nem tudták kihasználni a </w:t>
      </w:r>
      <w:r w:rsidRPr="00986F85">
        <w:rPr>
          <w:szCs w:val="24"/>
        </w:rPr>
        <w:lastRenderedPageBreak/>
        <w:t>támogatott vállalatok, ami a termelést jellemző munkahatékonysági mutatók (egy foglalkoztatottra jutó árbevétel, illetve hozzáadott érték) romlásában ragadható meg. Mindez arra utal, hogy a foglalkoztatottak létszámának növelése gazdaságilag nem volt indokolt, csupán a támogatás igénybevételéhez szabott feltételek teljesítése miatt történt meg.</w:t>
      </w:r>
      <w:r w:rsidR="00F75519" w:rsidRPr="00986F85">
        <w:rPr>
          <w:szCs w:val="24"/>
        </w:rPr>
        <w:t xml:space="preserve"> </w:t>
      </w:r>
    </w:p>
    <w:p w14:paraId="2B5A155A" w14:textId="77777777" w:rsidR="00F75519" w:rsidRPr="00986F85" w:rsidRDefault="00F75519" w:rsidP="00B04415">
      <w:pPr>
        <w:spacing w:after="0" w:line="360" w:lineRule="auto"/>
        <w:jc w:val="both"/>
        <w:rPr>
          <w:szCs w:val="24"/>
        </w:rPr>
      </w:pPr>
    </w:p>
    <w:p w14:paraId="39F1E28E" w14:textId="77777777" w:rsidR="00F75519" w:rsidRPr="00986F85" w:rsidRDefault="00533422" w:rsidP="00B04415">
      <w:pPr>
        <w:spacing w:after="0" w:line="360" w:lineRule="auto"/>
        <w:jc w:val="both"/>
        <w:rPr>
          <w:szCs w:val="24"/>
        </w:rPr>
      </w:pPr>
      <w:r w:rsidRPr="00986F85">
        <w:rPr>
          <w:szCs w:val="24"/>
        </w:rPr>
        <w:t xml:space="preserve">Ugyanezen tanulmány hívja fel a figyelmet arra, hogy a pályázó, de nem támogatott vállalkozások is jelentős arányban megvalósították (előrehozták) a pályázatban foglalt beruházásaikat; a – nem pályázóknál eleve nagyobb értékű – tárgyieszköz-állományuk 17%-ának megfelelő mértékben. Eközben azonban, a támogatott vállalkozásokkal ellentétben, jelentősen megnőtt a nem támogatott pályázók hosszú lejáratú kötelezettség állománya, ami arra enged következtetni, hogy a nem támogatott pályázók hitel igénybevételével valósították meg beruházásaikat, ami közvetett bizonyítékul szolgál arra, hogy a támogatott vállalkozások is kaptak volna hitelt támogatással megvalósított beruházásukhoz. A szerzők kalkulációja alapján a kedvezményezettek a támogatás hiányában az alintézkedés támogatásával megvalósuló projektekhez felhasznált magánforrás 66%-át, az összes beruházás 35%-át fektették volna be. </w:t>
      </w:r>
    </w:p>
    <w:p w14:paraId="0F8D38A8" w14:textId="77777777" w:rsidR="00F75519" w:rsidRPr="00986F85" w:rsidRDefault="00533422" w:rsidP="00B04415">
      <w:pPr>
        <w:spacing w:after="0" w:line="360" w:lineRule="auto"/>
        <w:jc w:val="both"/>
        <w:rPr>
          <w:szCs w:val="24"/>
        </w:rPr>
      </w:pPr>
      <w:r w:rsidRPr="00986F85">
        <w:rPr>
          <w:szCs w:val="24"/>
        </w:rPr>
        <w:t xml:space="preserve">Az amúgy is megvalósuló beruházások támogatása </w:t>
      </w:r>
      <w:r w:rsidR="006E1796" w:rsidRPr="00986F85">
        <w:rPr>
          <w:rFonts w:cs="Times New Roman"/>
          <w:szCs w:val="24"/>
        </w:rPr>
        <w:t xml:space="preserve">másrészről egy </w:t>
      </w:r>
      <w:r w:rsidRPr="00986F85">
        <w:rPr>
          <w:szCs w:val="24"/>
        </w:rPr>
        <w:t>állami újraelosztásként értelmezhető.</w:t>
      </w:r>
      <w:r w:rsidR="006E1796" w:rsidRPr="00986F85">
        <w:rPr>
          <w:szCs w:val="24"/>
        </w:rPr>
        <w:t xml:space="preserve"> Ezt </w:t>
      </w:r>
      <w:r w:rsidRPr="00986F85">
        <w:rPr>
          <w:szCs w:val="24"/>
        </w:rPr>
        <w:t xml:space="preserve">támasztja </w:t>
      </w:r>
      <w:r w:rsidR="006E1796" w:rsidRPr="00986F85">
        <w:rPr>
          <w:rFonts w:cs="Times New Roman"/>
          <w:szCs w:val="24"/>
        </w:rPr>
        <w:t xml:space="preserve">alá </w:t>
      </w:r>
      <w:r w:rsidRPr="00986F85">
        <w:rPr>
          <w:szCs w:val="24"/>
        </w:rPr>
        <w:t xml:space="preserve">a szerzők érvelése: míg az intézkedés az állami beavatkozást a szektor szuboptimális piaci finanszírozásával magyarázza, célcsoportként a piaci finanszírozásban nem részesülő KKV-k helyett a „fejlődésre képes” mikro-, kis- és középvállalkozásokat jelöli ki. </w:t>
      </w:r>
      <w:r w:rsidRPr="00986F85">
        <w:rPr>
          <w:i/>
          <w:szCs w:val="24"/>
        </w:rPr>
        <w:t xml:space="preserve">Nota bene: </w:t>
      </w:r>
      <w:r w:rsidRPr="00986F85">
        <w:rPr>
          <w:szCs w:val="24"/>
        </w:rPr>
        <w:t xml:space="preserve">arra, </w:t>
      </w:r>
      <w:r w:rsidR="006E1796" w:rsidRPr="00986F85">
        <w:rPr>
          <w:rFonts w:cs="Times New Roman"/>
          <w:szCs w:val="24"/>
        </w:rPr>
        <w:t xml:space="preserve">hogy </w:t>
      </w:r>
      <w:r w:rsidRPr="00986F85">
        <w:rPr>
          <w:szCs w:val="24"/>
        </w:rPr>
        <w:t>indokolt-e az ilyen újraelosztás, már nem tér</w:t>
      </w:r>
      <w:r w:rsidR="006E1796" w:rsidRPr="00986F85">
        <w:rPr>
          <w:rFonts w:cs="Times New Roman"/>
          <w:szCs w:val="24"/>
        </w:rPr>
        <w:t>nek</w:t>
      </w:r>
      <w:r w:rsidRPr="00986F85">
        <w:rPr>
          <w:szCs w:val="24"/>
        </w:rPr>
        <w:t xml:space="preserve"> ki a program</w:t>
      </w:r>
      <w:r w:rsidR="006E1796" w:rsidRPr="00986F85">
        <w:rPr>
          <w:rFonts w:cs="Times New Roman"/>
          <w:szCs w:val="24"/>
        </w:rPr>
        <w:t xml:space="preserve">tervezők a programdokumentumban. </w:t>
      </w:r>
    </w:p>
    <w:p w14:paraId="37C33B0E" w14:textId="77777777" w:rsidR="00F75519" w:rsidRPr="00986F85" w:rsidRDefault="00F75519" w:rsidP="00B04415">
      <w:pPr>
        <w:spacing w:after="0" w:line="360" w:lineRule="auto"/>
        <w:jc w:val="both"/>
        <w:rPr>
          <w:szCs w:val="24"/>
        </w:rPr>
      </w:pPr>
    </w:p>
    <w:p w14:paraId="57BD6080" w14:textId="77777777" w:rsidR="00533422" w:rsidRPr="00986F85" w:rsidRDefault="00533422" w:rsidP="00B04415">
      <w:pPr>
        <w:spacing w:after="0" w:line="360" w:lineRule="auto"/>
        <w:jc w:val="both"/>
        <w:rPr>
          <w:szCs w:val="24"/>
        </w:rPr>
      </w:pPr>
      <w:r w:rsidRPr="00986F85">
        <w:rPr>
          <w:szCs w:val="24"/>
        </w:rPr>
        <w:t>A fenti eredmények a hatásvizsgálati irodalomban jól azonosított problémák mentén csoportosíthatók (lásd Hudomiet és Kézdi 2011):</w:t>
      </w:r>
    </w:p>
    <w:p w14:paraId="172BF53B" w14:textId="77777777" w:rsidR="00533422" w:rsidRPr="00986F85" w:rsidRDefault="00533422" w:rsidP="00B04415">
      <w:pPr>
        <w:numPr>
          <w:ilvl w:val="0"/>
          <w:numId w:val="24"/>
        </w:numPr>
        <w:suppressAutoHyphens w:val="0"/>
        <w:spacing w:after="0" w:line="360" w:lineRule="auto"/>
        <w:ind w:left="709"/>
        <w:jc w:val="both"/>
        <w:rPr>
          <w:b/>
          <w:i/>
          <w:szCs w:val="24"/>
        </w:rPr>
      </w:pPr>
      <w:r w:rsidRPr="00986F85">
        <w:rPr>
          <w:b/>
          <w:i/>
          <w:szCs w:val="24"/>
        </w:rPr>
        <w:t>Újraelosztás - szelekciós probléma:</w:t>
      </w:r>
      <w:r w:rsidR="00FB3DB3" w:rsidRPr="00986F85">
        <w:rPr>
          <w:b/>
          <w:i/>
          <w:szCs w:val="24"/>
        </w:rPr>
        <w:t xml:space="preserve"> </w:t>
      </w:r>
      <w:r w:rsidRPr="00986F85">
        <w:rPr>
          <w:szCs w:val="24"/>
        </w:rPr>
        <w:t>A</w:t>
      </w:r>
      <w:r w:rsidRPr="00986F85">
        <w:rPr>
          <w:rFonts w:eastAsia="Times New Roman"/>
          <w:szCs w:val="24"/>
        </w:rPr>
        <w:t xml:space="preserve"> </w:t>
      </w:r>
      <w:r w:rsidRPr="00986F85">
        <w:rPr>
          <w:szCs w:val="24"/>
        </w:rPr>
        <w:t>pályázók</w:t>
      </w:r>
      <w:r w:rsidRPr="00986F85">
        <w:rPr>
          <w:rFonts w:eastAsia="Times New Roman"/>
          <w:szCs w:val="24"/>
        </w:rPr>
        <w:t xml:space="preserve"> </w:t>
      </w:r>
      <w:r w:rsidRPr="00986F85">
        <w:rPr>
          <w:szCs w:val="24"/>
        </w:rPr>
        <w:t>tőkeállománya,</w:t>
      </w:r>
      <w:r w:rsidRPr="00986F85">
        <w:rPr>
          <w:rFonts w:eastAsia="Times New Roman"/>
          <w:szCs w:val="24"/>
        </w:rPr>
        <w:t xml:space="preserve"> </w:t>
      </w:r>
      <w:r w:rsidRPr="00986F85">
        <w:rPr>
          <w:szCs w:val="24"/>
        </w:rPr>
        <w:t>árbevétele,</w:t>
      </w:r>
      <w:r w:rsidRPr="00986F85">
        <w:rPr>
          <w:rFonts w:eastAsia="Times New Roman"/>
          <w:szCs w:val="24"/>
        </w:rPr>
        <w:t xml:space="preserve"> </w:t>
      </w:r>
      <w:r w:rsidRPr="00986F85">
        <w:rPr>
          <w:szCs w:val="24"/>
        </w:rPr>
        <w:t>hosszú</w:t>
      </w:r>
      <w:r w:rsidRPr="00986F85">
        <w:rPr>
          <w:rFonts w:eastAsia="Times New Roman"/>
          <w:szCs w:val="24"/>
        </w:rPr>
        <w:t xml:space="preserve"> </w:t>
      </w:r>
      <w:r w:rsidRPr="00986F85">
        <w:rPr>
          <w:szCs w:val="24"/>
        </w:rPr>
        <w:t>lejáratú</w:t>
      </w:r>
      <w:r w:rsidRPr="00986F85">
        <w:rPr>
          <w:rFonts w:eastAsia="Times New Roman"/>
          <w:szCs w:val="24"/>
        </w:rPr>
        <w:t xml:space="preserve"> </w:t>
      </w:r>
      <w:r w:rsidRPr="00986F85">
        <w:rPr>
          <w:szCs w:val="24"/>
        </w:rPr>
        <w:t>forrásai</w:t>
      </w:r>
      <w:r w:rsidRPr="00986F85">
        <w:rPr>
          <w:rFonts w:eastAsia="Times New Roman"/>
          <w:szCs w:val="24"/>
        </w:rPr>
        <w:t xml:space="preserve"> </w:t>
      </w:r>
      <w:r w:rsidRPr="00986F85">
        <w:rPr>
          <w:szCs w:val="24"/>
        </w:rPr>
        <w:t>és</w:t>
      </w:r>
      <w:r w:rsidRPr="00986F85">
        <w:rPr>
          <w:rFonts w:eastAsia="Times New Roman"/>
          <w:szCs w:val="24"/>
        </w:rPr>
        <w:t xml:space="preserve"> </w:t>
      </w:r>
      <w:r w:rsidRPr="00986F85">
        <w:rPr>
          <w:szCs w:val="24"/>
        </w:rPr>
        <w:t>immateriális</w:t>
      </w:r>
      <w:r w:rsidRPr="00986F85">
        <w:rPr>
          <w:rFonts w:eastAsia="Times New Roman"/>
          <w:szCs w:val="24"/>
        </w:rPr>
        <w:t xml:space="preserve"> </w:t>
      </w:r>
      <w:r w:rsidRPr="00986F85">
        <w:rPr>
          <w:szCs w:val="24"/>
        </w:rPr>
        <w:t>eszközeinek</w:t>
      </w:r>
      <w:r w:rsidRPr="00986F85">
        <w:rPr>
          <w:rFonts w:eastAsia="Times New Roman"/>
          <w:szCs w:val="24"/>
        </w:rPr>
        <w:t xml:space="preserve"> </w:t>
      </w:r>
      <w:r w:rsidRPr="00986F85">
        <w:rPr>
          <w:szCs w:val="24"/>
        </w:rPr>
        <w:t>állománya</w:t>
      </w:r>
      <w:r w:rsidRPr="00986F85">
        <w:rPr>
          <w:rFonts w:eastAsia="Times New Roman"/>
          <w:szCs w:val="24"/>
        </w:rPr>
        <w:t xml:space="preserve"> </w:t>
      </w:r>
      <w:r w:rsidRPr="00986F85">
        <w:rPr>
          <w:szCs w:val="24"/>
        </w:rPr>
        <w:t>eleve</w:t>
      </w:r>
      <w:r w:rsidRPr="00986F85">
        <w:rPr>
          <w:rFonts w:eastAsia="Times New Roman"/>
          <w:szCs w:val="24"/>
        </w:rPr>
        <w:t xml:space="preserve"> </w:t>
      </w:r>
      <w:r w:rsidRPr="00986F85">
        <w:rPr>
          <w:szCs w:val="24"/>
        </w:rPr>
        <w:t>magasabb</w:t>
      </w:r>
      <w:r w:rsidRPr="00986F85">
        <w:rPr>
          <w:rFonts w:eastAsia="Times New Roman"/>
          <w:szCs w:val="24"/>
        </w:rPr>
        <w:t xml:space="preserve"> </w:t>
      </w:r>
      <w:r w:rsidRPr="00986F85">
        <w:rPr>
          <w:szCs w:val="24"/>
        </w:rPr>
        <w:t>volt,</w:t>
      </w:r>
      <w:r w:rsidRPr="00986F85">
        <w:rPr>
          <w:rFonts w:eastAsia="Times New Roman"/>
          <w:szCs w:val="24"/>
        </w:rPr>
        <w:t xml:space="preserve"> valamint </w:t>
      </w:r>
      <w:r w:rsidRPr="00986F85">
        <w:rPr>
          <w:szCs w:val="24"/>
        </w:rPr>
        <w:t>már</w:t>
      </w:r>
      <w:r w:rsidRPr="00986F85">
        <w:rPr>
          <w:rFonts w:eastAsia="Times New Roman"/>
          <w:szCs w:val="24"/>
        </w:rPr>
        <w:t xml:space="preserve"> </w:t>
      </w:r>
      <w:r w:rsidRPr="00986F85">
        <w:rPr>
          <w:szCs w:val="24"/>
        </w:rPr>
        <w:t>a</w:t>
      </w:r>
      <w:r w:rsidRPr="00986F85">
        <w:rPr>
          <w:rFonts w:eastAsia="Times New Roman"/>
          <w:szCs w:val="24"/>
        </w:rPr>
        <w:t xml:space="preserve"> </w:t>
      </w:r>
      <w:r w:rsidRPr="00986F85">
        <w:rPr>
          <w:szCs w:val="24"/>
        </w:rPr>
        <w:t>pályázás</w:t>
      </w:r>
      <w:r w:rsidRPr="00986F85">
        <w:rPr>
          <w:rFonts w:eastAsia="Times New Roman"/>
          <w:szCs w:val="24"/>
        </w:rPr>
        <w:t xml:space="preserve"> </w:t>
      </w:r>
      <w:r w:rsidRPr="00986F85">
        <w:rPr>
          <w:szCs w:val="24"/>
        </w:rPr>
        <w:t>előtt</w:t>
      </w:r>
      <w:r w:rsidRPr="00986F85">
        <w:rPr>
          <w:rFonts w:eastAsia="Times New Roman"/>
          <w:szCs w:val="24"/>
        </w:rPr>
        <w:t xml:space="preserve"> </w:t>
      </w:r>
      <w:r w:rsidRPr="00986F85">
        <w:rPr>
          <w:szCs w:val="24"/>
        </w:rPr>
        <w:t>is</w:t>
      </w:r>
      <w:r w:rsidRPr="00986F85">
        <w:rPr>
          <w:rFonts w:eastAsia="Times New Roman"/>
          <w:szCs w:val="24"/>
        </w:rPr>
        <w:t xml:space="preserve"> </w:t>
      </w:r>
      <w:r w:rsidRPr="00986F85">
        <w:rPr>
          <w:szCs w:val="24"/>
        </w:rPr>
        <w:t>gyorsabb</w:t>
      </w:r>
      <w:r w:rsidRPr="00986F85">
        <w:rPr>
          <w:rFonts w:eastAsia="Times New Roman"/>
          <w:szCs w:val="24"/>
        </w:rPr>
        <w:t xml:space="preserve"> </w:t>
      </w:r>
      <w:r w:rsidRPr="00986F85">
        <w:rPr>
          <w:szCs w:val="24"/>
        </w:rPr>
        <w:t>ütemben</w:t>
      </w:r>
      <w:r w:rsidRPr="00986F85">
        <w:rPr>
          <w:rFonts w:eastAsia="Times New Roman"/>
          <w:szCs w:val="24"/>
        </w:rPr>
        <w:t xml:space="preserve"> </w:t>
      </w:r>
      <w:r w:rsidRPr="00986F85">
        <w:rPr>
          <w:szCs w:val="24"/>
        </w:rPr>
        <w:t>növelték</w:t>
      </w:r>
      <w:r w:rsidRPr="00986F85">
        <w:rPr>
          <w:rFonts w:eastAsia="Times New Roman"/>
          <w:szCs w:val="24"/>
        </w:rPr>
        <w:t xml:space="preserve"> </w:t>
      </w:r>
      <w:r w:rsidRPr="00986F85">
        <w:rPr>
          <w:szCs w:val="24"/>
        </w:rPr>
        <w:t>tőkeállományukat,</w:t>
      </w:r>
      <w:r w:rsidRPr="00986F85">
        <w:rPr>
          <w:rFonts w:eastAsia="Times New Roman"/>
          <w:szCs w:val="24"/>
        </w:rPr>
        <w:t xml:space="preserve"> </w:t>
      </w:r>
      <w:r w:rsidRPr="00986F85">
        <w:rPr>
          <w:szCs w:val="24"/>
        </w:rPr>
        <w:t>mint</w:t>
      </w:r>
      <w:r w:rsidRPr="00986F85">
        <w:rPr>
          <w:rFonts w:eastAsia="Times New Roman"/>
          <w:szCs w:val="24"/>
        </w:rPr>
        <w:t xml:space="preserve"> </w:t>
      </w:r>
      <w:r w:rsidRPr="00986F85">
        <w:rPr>
          <w:szCs w:val="24"/>
        </w:rPr>
        <w:t>a</w:t>
      </w:r>
      <w:r w:rsidRPr="00986F85">
        <w:rPr>
          <w:rFonts w:eastAsia="Times New Roman"/>
          <w:szCs w:val="24"/>
        </w:rPr>
        <w:t xml:space="preserve"> </w:t>
      </w:r>
      <w:r w:rsidRPr="00986F85">
        <w:rPr>
          <w:szCs w:val="24"/>
        </w:rPr>
        <w:t>nem</w:t>
      </w:r>
      <w:r w:rsidRPr="00986F85">
        <w:rPr>
          <w:rFonts w:eastAsia="Times New Roman"/>
          <w:szCs w:val="24"/>
        </w:rPr>
        <w:t xml:space="preserve"> </w:t>
      </w:r>
      <w:r w:rsidRPr="00986F85">
        <w:rPr>
          <w:szCs w:val="24"/>
        </w:rPr>
        <w:t>pályázó</w:t>
      </w:r>
      <w:r w:rsidRPr="00986F85">
        <w:rPr>
          <w:rFonts w:eastAsia="Times New Roman"/>
          <w:szCs w:val="24"/>
        </w:rPr>
        <w:t xml:space="preserve"> </w:t>
      </w:r>
      <w:r w:rsidRPr="00986F85">
        <w:rPr>
          <w:szCs w:val="24"/>
        </w:rPr>
        <w:t>vállalatok.</w:t>
      </w:r>
      <w:r w:rsidRPr="00986F85">
        <w:rPr>
          <w:rFonts w:eastAsia="Times New Roman"/>
          <w:szCs w:val="24"/>
        </w:rPr>
        <w:t xml:space="preserve"> Ezen túl a szelekciót tovább erősítette a pályázatok </w:t>
      </w:r>
      <w:r w:rsidRPr="00986F85">
        <w:rPr>
          <w:rFonts w:eastAsia="Times New Roman"/>
          <w:szCs w:val="24"/>
        </w:rPr>
        <w:lastRenderedPageBreak/>
        <w:t>elbírálása. A t</w:t>
      </w:r>
      <w:r w:rsidRPr="00986F85">
        <w:rPr>
          <w:szCs w:val="24"/>
        </w:rPr>
        <w:t xml:space="preserve">ámogatott vállalkozások </w:t>
      </w:r>
      <w:r w:rsidR="00693F72" w:rsidRPr="00986F85">
        <w:rPr>
          <w:rFonts w:cs="Times New Roman"/>
          <w:szCs w:val="24"/>
        </w:rPr>
        <w:t xml:space="preserve">akát hitelt is </w:t>
      </w:r>
      <w:r w:rsidRPr="00986F85">
        <w:rPr>
          <w:szCs w:val="24"/>
        </w:rPr>
        <w:t>kaptak volna támogatással megvalósított beruházásukhoz.</w:t>
      </w:r>
      <w:r w:rsidR="00FB3DB3" w:rsidRPr="00986F85">
        <w:rPr>
          <w:szCs w:val="24"/>
        </w:rPr>
        <w:t xml:space="preserve"> </w:t>
      </w:r>
    </w:p>
    <w:p w14:paraId="0C6B8D09" w14:textId="77777777" w:rsidR="00533422" w:rsidRPr="00986F85" w:rsidRDefault="00533422" w:rsidP="00B04415">
      <w:pPr>
        <w:numPr>
          <w:ilvl w:val="0"/>
          <w:numId w:val="24"/>
        </w:numPr>
        <w:suppressAutoHyphens w:val="0"/>
        <w:spacing w:after="0" w:line="360" w:lineRule="auto"/>
        <w:ind w:left="709"/>
        <w:jc w:val="both"/>
        <w:rPr>
          <w:szCs w:val="24"/>
        </w:rPr>
      </w:pPr>
      <w:r w:rsidRPr="00986F85">
        <w:rPr>
          <w:b/>
          <w:i/>
          <w:szCs w:val="24"/>
        </w:rPr>
        <w:t>Nem szándékolt hatás:</w:t>
      </w:r>
      <w:r w:rsidR="00FB3DB3" w:rsidRPr="00986F85">
        <w:rPr>
          <w:b/>
          <w:i/>
          <w:szCs w:val="24"/>
        </w:rPr>
        <w:t xml:space="preserve"> </w:t>
      </w:r>
      <w:r w:rsidRPr="00986F85">
        <w:rPr>
          <w:rFonts w:eastAsia="Times New Roman"/>
          <w:szCs w:val="24"/>
        </w:rPr>
        <w:t>A t</w:t>
      </w:r>
      <w:r w:rsidRPr="00986F85">
        <w:rPr>
          <w:szCs w:val="24"/>
        </w:rPr>
        <w:t>ámogatott vállalkozások előrehozták beruházásaikat, majd azt a beruházás megvalósítása után visszafogták. A támogatás így hatását tekintve nem tartós.</w:t>
      </w:r>
      <w:r w:rsidR="00FB3DB3" w:rsidRPr="00986F85">
        <w:rPr>
          <w:szCs w:val="24"/>
        </w:rPr>
        <w:t xml:space="preserve"> </w:t>
      </w:r>
      <w:r w:rsidRPr="00986F85">
        <w:rPr>
          <w:szCs w:val="24"/>
        </w:rPr>
        <w:t>A foglalkoztatottak létszámának növelése a gazdaságilag indokoltnál nagyobb ütemű, csupán a támogatás igénybevételéhez szabott feltételek teljesítése miatt történt meg.</w:t>
      </w:r>
    </w:p>
    <w:p w14:paraId="150E5961" w14:textId="77777777" w:rsidR="00533422" w:rsidRPr="00986F85" w:rsidRDefault="00533422" w:rsidP="00B04415">
      <w:pPr>
        <w:numPr>
          <w:ilvl w:val="0"/>
          <w:numId w:val="24"/>
        </w:numPr>
        <w:suppressAutoHyphens w:val="0"/>
        <w:autoSpaceDE w:val="0"/>
        <w:autoSpaceDN w:val="0"/>
        <w:adjustRightInd w:val="0"/>
        <w:spacing w:after="0" w:line="360" w:lineRule="auto"/>
        <w:ind w:left="709"/>
        <w:jc w:val="both"/>
        <w:rPr>
          <w:rFonts w:cs="Times New Roman"/>
          <w:szCs w:val="24"/>
        </w:rPr>
      </w:pPr>
      <w:r w:rsidRPr="00986F85">
        <w:rPr>
          <w:b/>
          <w:i/>
          <w:szCs w:val="24"/>
        </w:rPr>
        <w:t>Hiányzó szándékolt hatás:</w:t>
      </w:r>
      <w:r w:rsidR="00FB3DB3" w:rsidRPr="00986F85">
        <w:rPr>
          <w:b/>
          <w:i/>
          <w:szCs w:val="24"/>
        </w:rPr>
        <w:t xml:space="preserve"> </w:t>
      </w:r>
      <w:r w:rsidRPr="00986F85">
        <w:rPr>
          <w:rFonts w:eastAsia="Liberation Serif" w:cs="Liberation Serif"/>
          <w:szCs w:val="24"/>
        </w:rPr>
        <w:t xml:space="preserve">A </w:t>
      </w:r>
      <w:r w:rsidRPr="00986F85">
        <w:rPr>
          <w:szCs w:val="24"/>
        </w:rPr>
        <w:t>többletberuházások</w:t>
      </w:r>
      <w:r w:rsidRPr="00986F85">
        <w:rPr>
          <w:rFonts w:eastAsia="Liberation Serif" w:cs="Liberation Serif"/>
          <w:szCs w:val="24"/>
        </w:rPr>
        <w:t xml:space="preserve"> </w:t>
      </w:r>
      <w:r w:rsidRPr="00986F85">
        <w:rPr>
          <w:szCs w:val="24"/>
        </w:rPr>
        <w:t>hatására</w:t>
      </w:r>
      <w:r w:rsidRPr="00986F85">
        <w:rPr>
          <w:rFonts w:eastAsia="Liberation Serif" w:cs="Liberation Serif"/>
          <w:szCs w:val="24"/>
        </w:rPr>
        <w:t xml:space="preserve"> </w:t>
      </w:r>
      <w:r w:rsidRPr="00986F85">
        <w:rPr>
          <w:szCs w:val="24"/>
        </w:rPr>
        <w:t>a</w:t>
      </w:r>
      <w:r w:rsidRPr="00986F85">
        <w:rPr>
          <w:rFonts w:eastAsia="Liberation Serif" w:cs="Liberation Serif"/>
          <w:szCs w:val="24"/>
        </w:rPr>
        <w:t xml:space="preserve"> </w:t>
      </w:r>
      <w:r w:rsidRPr="00986F85">
        <w:rPr>
          <w:szCs w:val="24"/>
        </w:rPr>
        <w:t>vállalkozások</w:t>
      </w:r>
      <w:r w:rsidRPr="00986F85">
        <w:rPr>
          <w:rFonts w:eastAsia="Liberation Serif" w:cs="Liberation Serif"/>
          <w:szCs w:val="24"/>
        </w:rPr>
        <w:t xml:space="preserve"> </w:t>
      </w:r>
      <w:r w:rsidRPr="00986F85">
        <w:rPr>
          <w:szCs w:val="24"/>
        </w:rPr>
        <w:t>eladásaikat</w:t>
      </w:r>
      <w:r w:rsidRPr="00986F85">
        <w:rPr>
          <w:rFonts w:eastAsia="Liberation Serif" w:cs="Liberation Serif"/>
          <w:szCs w:val="24"/>
        </w:rPr>
        <w:t xml:space="preserve"> </w:t>
      </w:r>
      <w:r w:rsidRPr="00986F85">
        <w:rPr>
          <w:szCs w:val="24"/>
        </w:rPr>
        <w:t>rövid</w:t>
      </w:r>
      <w:r w:rsidRPr="00986F85">
        <w:rPr>
          <w:rFonts w:eastAsia="Liberation Serif" w:cs="Liberation Serif"/>
          <w:szCs w:val="24"/>
        </w:rPr>
        <w:t xml:space="preserve"> </w:t>
      </w:r>
      <w:r w:rsidRPr="00986F85">
        <w:rPr>
          <w:szCs w:val="24"/>
        </w:rPr>
        <w:t>távon</w:t>
      </w:r>
      <w:r w:rsidRPr="00986F85">
        <w:rPr>
          <w:rFonts w:eastAsia="Liberation Serif" w:cs="Liberation Serif"/>
          <w:szCs w:val="24"/>
        </w:rPr>
        <w:t xml:space="preserve"> </w:t>
      </w:r>
      <w:r w:rsidRPr="00986F85">
        <w:rPr>
          <w:szCs w:val="24"/>
        </w:rPr>
        <w:t>nem</w:t>
      </w:r>
      <w:r w:rsidRPr="00986F85">
        <w:rPr>
          <w:rFonts w:eastAsia="Liberation Serif" w:cs="Liberation Serif"/>
          <w:szCs w:val="24"/>
        </w:rPr>
        <w:t xml:space="preserve"> </w:t>
      </w:r>
      <w:r w:rsidRPr="00986F85">
        <w:rPr>
          <w:szCs w:val="24"/>
        </w:rPr>
        <w:t>tudták</w:t>
      </w:r>
      <w:r w:rsidRPr="00986F85">
        <w:rPr>
          <w:rFonts w:eastAsia="Liberation Serif" w:cs="Liberation Serif"/>
          <w:szCs w:val="24"/>
        </w:rPr>
        <w:t xml:space="preserve"> </w:t>
      </w:r>
      <w:r w:rsidRPr="00986F85">
        <w:rPr>
          <w:szCs w:val="24"/>
        </w:rPr>
        <w:t>szignifikánsan</w:t>
      </w:r>
      <w:r w:rsidRPr="00986F85">
        <w:rPr>
          <w:rFonts w:eastAsia="Liberation Serif" w:cs="Liberation Serif"/>
          <w:szCs w:val="24"/>
        </w:rPr>
        <w:t xml:space="preserve"> </w:t>
      </w:r>
      <w:r w:rsidRPr="00986F85">
        <w:rPr>
          <w:szCs w:val="24"/>
        </w:rPr>
        <w:t>növelni.</w:t>
      </w:r>
      <w:r w:rsidR="00324637" w:rsidRPr="00986F85">
        <w:rPr>
          <w:rFonts w:cs="Times New Roman"/>
          <w:szCs w:val="24"/>
        </w:rPr>
        <w:t xml:space="preserve"> (Béres 2008)</w:t>
      </w:r>
      <w:r w:rsidRPr="00986F85">
        <w:rPr>
          <w:szCs w:val="24"/>
        </w:rPr>
        <w:t xml:space="preserve"> </w:t>
      </w:r>
      <w:r w:rsidR="00B034FE" w:rsidRPr="00986F85">
        <w:rPr>
          <w:rFonts w:cs="Times New Roman"/>
          <w:szCs w:val="24"/>
        </w:rPr>
        <w:t xml:space="preserve"> </w:t>
      </w:r>
      <w:r w:rsidRPr="00986F85">
        <w:rPr>
          <w:rFonts w:eastAsia="MS Mincho"/>
          <w:bCs/>
          <w:iCs/>
          <w:szCs w:val="24"/>
          <w:lang w:eastAsia="hu-HU"/>
        </w:rPr>
        <w:t>A vissza nem térítendő beruházási támogatások nem ösztönzik a vállalkozások piaci részesedésének és hozzáadott értékének növekedését</w:t>
      </w:r>
      <w:r w:rsidR="00324637" w:rsidRPr="00986F85">
        <w:rPr>
          <w:rFonts w:eastAsia="MS Mincho" w:cs="Times New Roman"/>
          <w:bCs/>
          <w:iCs/>
          <w:szCs w:val="24"/>
          <w:lang w:eastAsia="hu-HU"/>
        </w:rPr>
        <w:t xml:space="preserve"> (</w:t>
      </w:r>
      <w:r w:rsidR="00324637" w:rsidRPr="00986F85">
        <w:rPr>
          <w:szCs w:val="24"/>
        </w:rPr>
        <w:t>Agenda et al, 2010: 72</w:t>
      </w:r>
      <w:r w:rsidR="00324637" w:rsidRPr="00986F85">
        <w:rPr>
          <w:rFonts w:cs="Times New Roman"/>
          <w:szCs w:val="24"/>
        </w:rPr>
        <w:t>).</w:t>
      </w:r>
    </w:p>
    <w:p w14:paraId="6287A02C" w14:textId="77777777" w:rsidR="00533422" w:rsidRPr="00986F85" w:rsidRDefault="00533422" w:rsidP="00B04415">
      <w:pPr>
        <w:spacing w:after="0" w:line="360" w:lineRule="auto"/>
        <w:jc w:val="both"/>
        <w:rPr>
          <w:szCs w:val="24"/>
        </w:rPr>
      </w:pPr>
    </w:p>
    <w:p w14:paraId="0818B232" w14:textId="77777777" w:rsidR="00793D20" w:rsidRPr="00986F85" w:rsidRDefault="00B82897" w:rsidP="00F1208B">
      <w:pPr>
        <w:pStyle w:val="Cmsor2"/>
        <w:spacing w:before="0" w:after="0" w:line="360" w:lineRule="auto"/>
        <w:jc w:val="both"/>
        <w:rPr>
          <w:rFonts w:ascii="Myriad Pro" w:hAnsi="Myriad Pro"/>
          <w:szCs w:val="24"/>
        </w:rPr>
      </w:pPr>
      <w:r w:rsidRPr="00986F85">
        <w:rPr>
          <w:rFonts w:ascii="Myriad Pro" w:hAnsi="Myriad Pro"/>
          <w:szCs w:val="24"/>
        </w:rPr>
        <w:t xml:space="preserve"> </w:t>
      </w:r>
      <w:bookmarkStart w:id="17" w:name="_Toc230854313"/>
      <w:r w:rsidR="0076036B" w:rsidRPr="00986F85">
        <w:rPr>
          <w:rFonts w:ascii="Myriad Pro" w:hAnsi="Myriad Pro"/>
          <w:szCs w:val="24"/>
        </w:rPr>
        <w:t>ADATBÁZISOK BEMUTATÁSA</w:t>
      </w:r>
      <w:bookmarkEnd w:id="17"/>
    </w:p>
    <w:p w14:paraId="3678E575" w14:textId="77777777" w:rsidR="0076036B" w:rsidRPr="00986F85" w:rsidRDefault="00C13522" w:rsidP="00B04415">
      <w:pPr>
        <w:pStyle w:val="Cmsor3"/>
        <w:spacing w:before="0" w:after="0" w:line="360" w:lineRule="auto"/>
        <w:jc w:val="both"/>
        <w:rPr>
          <w:szCs w:val="24"/>
        </w:rPr>
      </w:pPr>
      <w:bookmarkStart w:id="18" w:name="_Toc230854314"/>
      <w:r w:rsidRPr="00986F85">
        <w:rPr>
          <w:szCs w:val="24"/>
        </w:rPr>
        <w:t>Kontrol</w:t>
      </w:r>
      <w:r w:rsidR="00793D20" w:rsidRPr="00986F85">
        <w:rPr>
          <w:szCs w:val="24"/>
        </w:rPr>
        <w:t>l</w:t>
      </w:r>
      <w:r w:rsidRPr="00986F85">
        <w:rPr>
          <w:szCs w:val="24"/>
        </w:rPr>
        <w:t xml:space="preserve"> </w:t>
      </w:r>
      <w:r w:rsidR="00705288" w:rsidRPr="00986F85">
        <w:rPr>
          <w:szCs w:val="24"/>
        </w:rPr>
        <w:t xml:space="preserve">(NAV) </w:t>
      </w:r>
      <w:r w:rsidRPr="00986F85">
        <w:rPr>
          <w:szCs w:val="24"/>
        </w:rPr>
        <w:t>adatbázis jellemzése</w:t>
      </w:r>
      <w:bookmarkEnd w:id="18"/>
    </w:p>
    <w:p w14:paraId="5707834F" w14:textId="77777777" w:rsidR="00793D20" w:rsidRPr="00986F85" w:rsidRDefault="00793D20" w:rsidP="00B04415">
      <w:pPr>
        <w:spacing w:after="0" w:line="360" w:lineRule="auto"/>
        <w:jc w:val="both"/>
        <w:rPr>
          <w:rFonts w:cs="Times New Roman"/>
        </w:rPr>
      </w:pPr>
      <w:r w:rsidRPr="00986F85">
        <w:t xml:space="preserve">A rendelkezésünkre bocsátott anonim vállalait adatbázis a 2006-2011 között, folyamatos adóalanyként megjelenő, max. </w:t>
      </w:r>
      <w:r w:rsidR="00D938E3" w:rsidRPr="00986F85">
        <w:rPr>
          <w:rFonts w:cs="Times New Roman"/>
        </w:rPr>
        <w:t>99</w:t>
      </w:r>
      <w:r w:rsidRPr="00986F85">
        <w:t xml:space="preserve"> főt foglalkoztató cégeket tartalmazza</w:t>
      </w:r>
      <w:r w:rsidRPr="00986F85">
        <w:rPr>
          <w:rFonts w:cs="Times New Roman"/>
        </w:rPr>
        <w:t>. Az ano</w:t>
      </w:r>
      <w:r w:rsidR="00D938E3" w:rsidRPr="00986F85">
        <w:rPr>
          <w:rFonts w:cs="Times New Roman"/>
        </w:rPr>
        <w:t xml:space="preserve">nimizált mérlegadatokat körét a Módszertani Mellékletben </w:t>
      </w:r>
      <w:r w:rsidRPr="00986F85">
        <w:rPr>
          <w:rFonts w:cs="Times New Roman"/>
        </w:rPr>
        <w:t xml:space="preserve">listázzuk. </w:t>
      </w:r>
      <w:r w:rsidR="003A221B" w:rsidRPr="00986F85">
        <w:rPr>
          <w:rFonts w:cs="Times New Roman"/>
        </w:rPr>
        <w:t xml:space="preserve">Ágazati és területi megoszlását tekintve </w:t>
      </w:r>
      <w:r w:rsidR="006C4C87" w:rsidRPr="00986F85">
        <w:rPr>
          <w:rFonts w:cs="Times New Roman"/>
        </w:rPr>
        <w:t xml:space="preserve">az </w:t>
      </w:r>
      <w:r w:rsidR="003A221B" w:rsidRPr="00986F85">
        <w:rPr>
          <w:rFonts w:cs="Times New Roman"/>
        </w:rPr>
        <w:t>adatbázis</w:t>
      </w:r>
      <w:r w:rsidR="006C4C87" w:rsidRPr="00986F85">
        <w:rPr>
          <w:rFonts w:cs="Times New Roman"/>
        </w:rPr>
        <w:t xml:space="preserve"> reprezentatív</w:t>
      </w:r>
      <w:r w:rsidR="003A221B" w:rsidRPr="00986F85">
        <w:rPr>
          <w:rFonts w:cs="Times New Roman"/>
        </w:rPr>
        <w:t>.</w:t>
      </w:r>
    </w:p>
    <w:p w14:paraId="56454451" w14:textId="77777777" w:rsidR="007351A1" w:rsidRPr="00986F85" w:rsidRDefault="003A221B" w:rsidP="00B04415">
      <w:pPr>
        <w:spacing w:after="0" w:line="360" w:lineRule="auto"/>
        <w:jc w:val="both"/>
        <w:rPr>
          <w:rFonts w:cs="Times New Roman"/>
        </w:rPr>
      </w:pPr>
      <w:r w:rsidRPr="00986F85">
        <w:rPr>
          <w:rFonts w:cs="Times New Roman"/>
        </w:rPr>
        <w:t>Az adatok feltérképezése és az adattisztítás során a következő kritikus adathiányokat és –hibákat tártuk fel:</w:t>
      </w:r>
    </w:p>
    <w:p w14:paraId="3A5AB05E" w14:textId="77777777" w:rsidR="00B449D5" w:rsidRPr="00986F85" w:rsidRDefault="006C4C87" w:rsidP="00B04415">
      <w:pPr>
        <w:numPr>
          <w:ilvl w:val="0"/>
          <w:numId w:val="29"/>
        </w:numPr>
        <w:suppressAutoHyphens w:val="0"/>
        <w:spacing w:after="0" w:line="360" w:lineRule="auto"/>
        <w:jc w:val="both"/>
        <w:rPr>
          <w:szCs w:val="24"/>
        </w:rPr>
      </w:pPr>
      <w:r w:rsidRPr="00986F85">
        <w:rPr>
          <w:rFonts w:cs="Times New Roman"/>
          <w:szCs w:val="24"/>
        </w:rPr>
        <w:t xml:space="preserve">a </w:t>
      </w:r>
      <w:r w:rsidR="003A221B" w:rsidRPr="00986F85">
        <w:rPr>
          <w:rFonts w:cs="Times New Roman"/>
          <w:szCs w:val="24"/>
        </w:rPr>
        <w:t xml:space="preserve">vállalati adatbázis </w:t>
      </w:r>
      <w:r w:rsidRPr="00986F85">
        <w:rPr>
          <w:rFonts w:cs="Times New Roman"/>
          <w:szCs w:val="24"/>
        </w:rPr>
        <w:t xml:space="preserve">nem teljes körű </w:t>
      </w:r>
      <w:r w:rsidR="003A221B" w:rsidRPr="00986F85">
        <w:t>(</w:t>
      </w:r>
      <w:r w:rsidR="003A221B" w:rsidRPr="00986F85">
        <w:rPr>
          <w:rFonts w:cs="Times New Roman"/>
        </w:rPr>
        <w:t>összesen: 140508 vállalat)</w:t>
      </w:r>
    </w:p>
    <w:p w14:paraId="442CD0ED" w14:textId="77777777" w:rsidR="00B449D5" w:rsidRPr="00986F85" w:rsidRDefault="00B449D5" w:rsidP="00B04415">
      <w:pPr>
        <w:numPr>
          <w:ilvl w:val="0"/>
          <w:numId w:val="29"/>
        </w:numPr>
        <w:suppressAutoHyphens w:val="0"/>
        <w:spacing w:after="0" w:line="360" w:lineRule="auto"/>
        <w:jc w:val="both"/>
        <w:rPr>
          <w:szCs w:val="24"/>
        </w:rPr>
      </w:pPr>
      <w:r w:rsidRPr="00986F85">
        <w:rPr>
          <w:szCs w:val="24"/>
        </w:rPr>
        <w:t>iparágváltás  4310 vállalat esetében (</w:t>
      </w:r>
      <w:r w:rsidR="003A221B" w:rsidRPr="00986F85">
        <w:rPr>
          <w:rFonts w:cs="Times New Roman"/>
          <w:szCs w:val="24"/>
        </w:rPr>
        <w:t xml:space="preserve">részben a </w:t>
      </w:r>
      <w:r w:rsidRPr="00986F85">
        <w:rPr>
          <w:szCs w:val="24"/>
        </w:rPr>
        <w:t>2008. évi TEÁOR módosítás miatt is)</w:t>
      </w:r>
    </w:p>
    <w:p w14:paraId="0657F895" w14:textId="77777777" w:rsidR="00B449D5" w:rsidRPr="00986F85" w:rsidRDefault="00B449D5" w:rsidP="00B04415">
      <w:pPr>
        <w:numPr>
          <w:ilvl w:val="0"/>
          <w:numId w:val="29"/>
        </w:numPr>
        <w:suppressAutoHyphens w:val="0"/>
        <w:spacing w:after="0" w:line="360" w:lineRule="auto"/>
        <w:jc w:val="both"/>
        <w:rPr>
          <w:szCs w:val="24"/>
        </w:rPr>
      </w:pPr>
      <w:r w:rsidRPr="00986F85">
        <w:rPr>
          <w:szCs w:val="24"/>
        </w:rPr>
        <w:t>sorszámmal nem rendelkező cég</w:t>
      </w:r>
      <w:r w:rsidR="003A221B" w:rsidRPr="00986F85">
        <w:rPr>
          <w:rFonts w:cs="Times New Roman"/>
          <w:szCs w:val="24"/>
        </w:rPr>
        <w:t>ek</w:t>
      </w:r>
      <w:r w:rsidRPr="00986F85">
        <w:rPr>
          <w:szCs w:val="24"/>
        </w:rPr>
        <w:t xml:space="preserve"> (</w:t>
      </w:r>
      <w:r w:rsidR="003A221B" w:rsidRPr="00986F85">
        <w:rPr>
          <w:rFonts w:cs="Times New Roman"/>
          <w:szCs w:val="24"/>
        </w:rPr>
        <w:t>összesen: 157</w:t>
      </w:r>
      <w:r w:rsidRPr="00986F85">
        <w:rPr>
          <w:szCs w:val="24"/>
        </w:rPr>
        <w:t>)</w:t>
      </w:r>
    </w:p>
    <w:p w14:paraId="77E80F7E" w14:textId="77777777" w:rsidR="00B449D5" w:rsidRPr="00986F85" w:rsidRDefault="006C4C87" w:rsidP="00B04415">
      <w:pPr>
        <w:numPr>
          <w:ilvl w:val="0"/>
          <w:numId w:val="29"/>
        </w:numPr>
        <w:suppressAutoHyphens w:val="0"/>
        <w:spacing w:after="0" w:line="360" w:lineRule="auto"/>
        <w:jc w:val="both"/>
        <w:rPr>
          <w:szCs w:val="24"/>
        </w:rPr>
      </w:pPr>
      <w:r w:rsidRPr="00986F85">
        <w:rPr>
          <w:rFonts w:cs="Times New Roman"/>
          <w:szCs w:val="24"/>
        </w:rPr>
        <w:t xml:space="preserve">vizsgálatunk szempontjából fontos </w:t>
      </w:r>
      <w:r w:rsidR="00B449D5" w:rsidRPr="00986F85">
        <w:rPr>
          <w:szCs w:val="24"/>
        </w:rPr>
        <w:t>mérlegadat</w:t>
      </w:r>
      <w:r w:rsidR="003A221B" w:rsidRPr="00986F85">
        <w:rPr>
          <w:rFonts w:cs="Times New Roman"/>
          <w:szCs w:val="24"/>
        </w:rPr>
        <w:t xml:space="preserve">ok hiánya </w:t>
      </w:r>
      <w:r w:rsidR="00B449D5" w:rsidRPr="00986F85">
        <w:rPr>
          <w:szCs w:val="24"/>
        </w:rPr>
        <w:t>(pl. hosszú lejáratú kötelezettség, immateriális javak)</w:t>
      </w:r>
    </w:p>
    <w:p w14:paraId="1CA74ACA" w14:textId="77777777" w:rsidR="00B449D5" w:rsidRPr="00986F85" w:rsidRDefault="00B449D5" w:rsidP="00B04415">
      <w:pPr>
        <w:numPr>
          <w:ilvl w:val="0"/>
          <w:numId w:val="29"/>
        </w:numPr>
        <w:suppressAutoHyphens w:val="0"/>
        <w:spacing w:after="0" w:line="360" w:lineRule="auto"/>
        <w:jc w:val="both"/>
        <w:rPr>
          <w:szCs w:val="24"/>
        </w:rPr>
      </w:pPr>
      <w:r w:rsidRPr="00986F85">
        <w:rPr>
          <w:szCs w:val="24"/>
        </w:rPr>
        <w:t xml:space="preserve">kistérségi kódok </w:t>
      </w:r>
      <w:r w:rsidR="003A221B" w:rsidRPr="00986F85">
        <w:rPr>
          <w:rFonts w:cs="Times New Roman"/>
          <w:szCs w:val="24"/>
        </w:rPr>
        <w:t xml:space="preserve">nem </w:t>
      </w:r>
      <w:r w:rsidR="003A221B" w:rsidRPr="00986F85">
        <w:rPr>
          <w:szCs w:val="24"/>
        </w:rPr>
        <w:t>teljes körűek</w:t>
      </w:r>
    </w:p>
    <w:p w14:paraId="58ECDE27" w14:textId="77777777" w:rsidR="00B449D5" w:rsidRPr="00986F85" w:rsidRDefault="0046798B" w:rsidP="00B04415">
      <w:pPr>
        <w:spacing w:after="0" w:line="360" w:lineRule="auto"/>
        <w:jc w:val="both"/>
        <w:rPr>
          <w:rFonts w:cs="Times New Roman"/>
          <w:szCs w:val="24"/>
        </w:rPr>
      </w:pPr>
      <w:r w:rsidRPr="00986F85">
        <w:rPr>
          <w:rFonts w:cs="Times New Roman"/>
          <w:szCs w:val="24"/>
        </w:rPr>
        <w:t>A fenti problémák kezelését követően leválogattuk a GOP2.1.1. és KMOP 1.2.1. intézkedések szempontjából releváns sokaságot – azaz, a vonatkozó kiírások pályázati feltételei mentén szűrtük a potenciális kontroll vállalatokat (létszám, árbevétel és sakát tőkére vonatkozó kritériumok, illetve az agrár vállalkozások kizárása). Így összességében</w:t>
      </w:r>
      <w:r w:rsidR="00A8504C" w:rsidRPr="00986F85">
        <w:rPr>
          <w:rFonts w:cs="Times New Roman"/>
          <w:szCs w:val="24"/>
        </w:rPr>
        <w:t xml:space="preserve"> </w:t>
      </w:r>
      <w:r w:rsidR="00A8504C" w:rsidRPr="00986F85">
        <w:rPr>
          <w:rFonts w:cs="Times New Roman"/>
          <w:szCs w:val="24"/>
        </w:rPr>
        <w:lastRenderedPageBreak/>
        <w:t>108148 cég maradt, és amennyiben a</w:t>
      </w:r>
      <w:r w:rsidR="008D7FA5" w:rsidRPr="00986F85">
        <w:rPr>
          <w:rFonts w:cs="Times New Roman"/>
          <w:szCs w:val="24"/>
        </w:rPr>
        <w:t xml:space="preserve">z 5 főnél kevesebb főt foglalkoztató </w:t>
      </w:r>
      <w:r w:rsidR="00A8504C" w:rsidRPr="00986F85">
        <w:rPr>
          <w:rFonts w:cs="Times New Roman"/>
          <w:szCs w:val="24"/>
        </w:rPr>
        <w:t xml:space="preserve">mikrovállalkozásokat is kiszűrjük (vállalati mérlegadataik </w:t>
      </w:r>
      <w:r w:rsidR="008D7FA5" w:rsidRPr="00986F85">
        <w:rPr>
          <w:rFonts w:cs="Times New Roman"/>
          <w:szCs w:val="24"/>
        </w:rPr>
        <w:t xml:space="preserve">hiányossága és </w:t>
      </w:r>
      <w:r w:rsidR="00A8504C" w:rsidRPr="00986F85">
        <w:rPr>
          <w:rFonts w:cs="Times New Roman"/>
          <w:szCs w:val="24"/>
        </w:rPr>
        <w:t xml:space="preserve">rossz minősége okán), akkor </w:t>
      </w:r>
      <w:r w:rsidR="007620FC" w:rsidRPr="00986F85">
        <w:rPr>
          <w:rFonts w:cs="Times New Roman"/>
          <w:szCs w:val="24"/>
        </w:rPr>
        <w:t xml:space="preserve">34 727 </w:t>
      </w:r>
      <w:r w:rsidR="00A8504C" w:rsidRPr="00986F85">
        <w:rPr>
          <w:rFonts w:cs="Times New Roman"/>
          <w:szCs w:val="24"/>
        </w:rPr>
        <w:t xml:space="preserve">cég marad az adatbázisban. </w:t>
      </w:r>
      <w:r w:rsidR="007620FC" w:rsidRPr="00986F85">
        <w:rPr>
          <w:rFonts w:cs="Times New Roman"/>
          <w:szCs w:val="24"/>
        </w:rPr>
        <w:t xml:space="preserve">Területi és ágazati eloszlások tekintetében nem torzul a minta a leválogatások során, azonban mérlegadat-, és kistérségi kódok hiánya miatt tovább szűkül a vizsgálatra alkalmas sokaság tovább csökken. Így végeredményképpen összesen 15453 vállalat adja a kontroll adatbázist. </w:t>
      </w:r>
    </w:p>
    <w:p w14:paraId="121375E8" w14:textId="77777777" w:rsidR="00B04415" w:rsidRPr="00986F85" w:rsidRDefault="00B04415" w:rsidP="00B04415">
      <w:pPr>
        <w:spacing w:after="0" w:line="360" w:lineRule="auto"/>
        <w:jc w:val="both"/>
        <w:rPr>
          <w:rFonts w:cs="Times New Roman"/>
          <w:b/>
          <w:szCs w:val="24"/>
          <w:lang w:eastAsia="en-US"/>
        </w:rPr>
      </w:pPr>
    </w:p>
    <w:p w14:paraId="0F9F02CD" w14:textId="77777777" w:rsidR="0076036B" w:rsidRPr="00986F85" w:rsidRDefault="007C4B11" w:rsidP="00B04415">
      <w:pPr>
        <w:pStyle w:val="Cmsor3"/>
        <w:spacing w:before="0" w:after="0" w:line="360" w:lineRule="auto"/>
        <w:jc w:val="both"/>
        <w:rPr>
          <w:szCs w:val="24"/>
        </w:rPr>
      </w:pPr>
      <w:bookmarkStart w:id="19" w:name="_Toc230854315"/>
      <w:r w:rsidRPr="00986F85">
        <w:rPr>
          <w:szCs w:val="24"/>
        </w:rPr>
        <w:t>Kezelt (</w:t>
      </w:r>
      <w:r w:rsidR="00705288" w:rsidRPr="00986F85">
        <w:rPr>
          <w:szCs w:val="24"/>
        </w:rPr>
        <w:t>EMIR-NAV</w:t>
      </w:r>
      <w:r w:rsidRPr="00986F85">
        <w:rPr>
          <w:szCs w:val="24"/>
        </w:rPr>
        <w:t>)</w:t>
      </w:r>
      <w:r w:rsidR="00C13522" w:rsidRPr="00986F85">
        <w:rPr>
          <w:szCs w:val="24"/>
        </w:rPr>
        <w:t xml:space="preserve"> adatbázis jellemzése</w:t>
      </w:r>
      <w:bookmarkEnd w:id="19"/>
    </w:p>
    <w:p w14:paraId="623B2AD1" w14:textId="77777777" w:rsidR="007224B4" w:rsidRPr="00986F85" w:rsidRDefault="007224B4" w:rsidP="00B04415">
      <w:pPr>
        <w:spacing w:after="0" w:line="360" w:lineRule="auto"/>
        <w:jc w:val="both"/>
        <w:rPr>
          <w:rFonts w:cs="Times New Roman"/>
        </w:rPr>
      </w:pPr>
      <w:r w:rsidRPr="00986F85">
        <w:t xml:space="preserve">A rendelkezésünkre bocsátott adatbázis a 2005 és </w:t>
      </w:r>
      <w:r w:rsidRPr="00986F85">
        <w:rPr>
          <w:rFonts w:cs="Times New Roman"/>
        </w:rPr>
        <w:t>2</w:t>
      </w:r>
      <w:r w:rsidRPr="00986F85">
        <w:t>011 között</w:t>
      </w:r>
      <w:r w:rsidRPr="00986F85">
        <w:rPr>
          <w:rFonts w:cs="Times New Roman"/>
        </w:rPr>
        <w:t>i időszakra tartalmazza a GOP, a KMOP és számos további OP nyertes pályázatainak, vállalati mérlegadatokkal összekapcsolt adatait</w:t>
      </w:r>
      <w:r w:rsidR="00E35908" w:rsidRPr="00986F85">
        <w:rPr>
          <w:rFonts w:cs="Times New Roman"/>
        </w:rPr>
        <w:t xml:space="preserve"> (összesen: 24 436 cég)</w:t>
      </w:r>
      <w:r w:rsidRPr="00986F85">
        <w:rPr>
          <w:rFonts w:cs="Times New Roman"/>
        </w:rPr>
        <w:t xml:space="preserve">. </w:t>
      </w:r>
    </w:p>
    <w:p w14:paraId="12E6848C" w14:textId="77777777" w:rsidR="008D7FA5" w:rsidRPr="00986F85" w:rsidRDefault="008D7FA5" w:rsidP="00B04415">
      <w:pPr>
        <w:spacing w:after="0" w:line="360" w:lineRule="auto"/>
        <w:jc w:val="both"/>
        <w:rPr>
          <w:rFonts w:cs="Times New Roman"/>
        </w:rPr>
      </w:pPr>
    </w:p>
    <w:p w14:paraId="3077A290" w14:textId="77777777" w:rsidR="002D1F84" w:rsidRPr="00986F85" w:rsidRDefault="00E35908" w:rsidP="00B04415">
      <w:pPr>
        <w:spacing w:after="0" w:line="360" w:lineRule="auto"/>
        <w:jc w:val="both"/>
        <w:rPr>
          <w:rFonts w:cs="Times New Roman"/>
          <w:szCs w:val="24"/>
        </w:rPr>
      </w:pPr>
      <w:r w:rsidRPr="00986F85">
        <w:rPr>
          <w:rFonts w:cs="Times New Roman"/>
        </w:rPr>
        <w:t xml:space="preserve">Az EMIR mutatók közül a következőket fedi az adatbázis: </w:t>
      </w:r>
      <w:r w:rsidR="002D1F84" w:rsidRPr="00986F85">
        <w:rPr>
          <w:szCs w:val="24"/>
        </w:rPr>
        <w:t>nyertes pályázatok támogatási intenzítását, a támogatási összeget intervallumonként, első és utolsó kifizetés dátumát, a nyertes pályázatok számát , a pá</w:t>
      </w:r>
      <w:r w:rsidRPr="00986F85">
        <w:rPr>
          <w:szCs w:val="24"/>
        </w:rPr>
        <w:t>lyázat nyerés évét, kétjegyű TEÁ</w:t>
      </w:r>
      <w:r w:rsidR="002D1F84" w:rsidRPr="00986F85">
        <w:rPr>
          <w:szCs w:val="24"/>
        </w:rPr>
        <w:t>OR-t, kistérséget</w:t>
      </w:r>
      <w:r w:rsidR="007E7E7E" w:rsidRPr="00986F85">
        <w:rPr>
          <w:szCs w:val="24"/>
        </w:rPr>
        <w:t xml:space="preserve">, valamint </w:t>
      </w:r>
      <w:r w:rsidR="002D1F84" w:rsidRPr="00986F85">
        <w:rPr>
          <w:szCs w:val="24"/>
        </w:rPr>
        <w:t>mérleg és eredménykimutatás adatokat</w:t>
      </w:r>
      <w:r w:rsidR="007E7E7E" w:rsidRPr="00986F85">
        <w:rPr>
          <w:rFonts w:cs="Times New Roman"/>
          <w:szCs w:val="24"/>
        </w:rPr>
        <w:t xml:space="preserve"> (</w:t>
      </w:r>
      <w:r w:rsidR="008D7FA5" w:rsidRPr="00986F85">
        <w:rPr>
          <w:rFonts w:cs="Times New Roman"/>
          <w:szCs w:val="24"/>
        </w:rPr>
        <w:t xml:space="preserve">részletesebben - </w:t>
      </w:r>
      <w:r w:rsidR="007E7E7E" w:rsidRPr="00986F85">
        <w:rPr>
          <w:rFonts w:cs="Times New Roman"/>
          <w:szCs w:val="24"/>
        </w:rPr>
        <w:t xml:space="preserve">lásd </w:t>
      </w:r>
      <w:r w:rsidR="008D7FA5" w:rsidRPr="00986F85">
        <w:rPr>
          <w:rFonts w:cs="Times New Roman"/>
          <w:szCs w:val="24"/>
        </w:rPr>
        <w:t xml:space="preserve">Módszertani </w:t>
      </w:r>
      <w:r w:rsidR="007E7E7E" w:rsidRPr="00986F85">
        <w:rPr>
          <w:rFonts w:cs="Times New Roman"/>
          <w:szCs w:val="24"/>
        </w:rPr>
        <w:t>Melléklet).</w:t>
      </w:r>
    </w:p>
    <w:p w14:paraId="78A42E86" w14:textId="77777777" w:rsidR="008D7FA5" w:rsidRPr="00986F85" w:rsidRDefault="008D7FA5" w:rsidP="00B04415">
      <w:pPr>
        <w:spacing w:after="0" w:line="360" w:lineRule="auto"/>
        <w:jc w:val="both"/>
        <w:rPr>
          <w:rFonts w:cs="Times New Roman"/>
        </w:rPr>
      </w:pPr>
    </w:p>
    <w:p w14:paraId="4D99BE12" w14:textId="77777777" w:rsidR="00BB6A43" w:rsidRPr="00986F85" w:rsidRDefault="00BB6A43" w:rsidP="00B04415">
      <w:pPr>
        <w:spacing w:after="0" w:line="360" w:lineRule="auto"/>
        <w:jc w:val="both"/>
        <w:rPr>
          <w:rFonts w:cs="Times New Roman"/>
        </w:rPr>
      </w:pPr>
      <w:r w:rsidRPr="00986F85">
        <w:rPr>
          <w:rFonts w:cs="Times New Roman"/>
        </w:rPr>
        <w:t>Az adatok feltérképezése és az adattisztítás során a következő kritikus adathiányokat és –hibákat tártuk fel:</w:t>
      </w:r>
    </w:p>
    <w:p w14:paraId="1E1D87E4" w14:textId="77777777" w:rsidR="00AB2F04" w:rsidRPr="00986F85" w:rsidRDefault="00BB6A43" w:rsidP="00B04415">
      <w:pPr>
        <w:numPr>
          <w:ilvl w:val="0"/>
          <w:numId w:val="29"/>
        </w:numPr>
        <w:suppressAutoHyphens w:val="0"/>
        <w:spacing w:after="0" w:line="360" w:lineRule="auto"/>
        <w:jc w:val="both"/>
        <w:rPr>
          <w:szCs w:val="24"/>
        </w:rPr>
      </w:pPr>
      <w:r w:rsidRPr="00986F85">
        <w:rPr>
          <w:szCs w:val="24"/>
        </w:rPr>
        <w:t xml:space="preserve">az adatbázis nem tartalmaz információt </w:t>
      </w:r>
      <w:r w:rsidRPr="00986F85">
        <w:rPr>
          <w:rFonts w:cs="Times New Roman"/>
          <w:szCs w:val="24"/>
        </w:rPr>
        <w:t xml:space="preserve">pályázó, de </w:t>
      </w:r>
      <w:r w:rsidRPr="00986F85">
        <w:rPr>
          <w:szCs w:val="24"/>
        </w:rPr>
        <w:t xml:space="preserve">nem nyertes vállalkozásokról </w:t>
      </w:r>
    </w:p>
    <w:p w14:paraId="6DF2F703" w14:textId="77777777" w:rsidR="00BB6A43" w:rsidRPr="00986F85" w:rsidRDefault="00BB6A43" w:rsidP="00B04415">
      <w:pPr>
        <w:numPr>
          <w:ilvl w:val="0"/>
          <w:numId w:val="29"/>
        </w:numPr>
        <w:suppressAutoHyphens w:val="0"/>
        <w:spacing w:after="0" w:line="360" w:lineRule="auto"/>
        <w:jc w:val="both"/>
        <w:rPr>
          <w:szCs w:val="24"/>
        </w:rPr>
      </w:pPr>
      <w:r w:rsidRPr="00986F85">
        <w:rPr>
          <w:szCs w:val="24"/>
        </w:rPr>
        <w:t xml:space="preserve">GOP211 </w:t>
      </w:r>
      <w:r w:rsidR="00AB2F04" w:rsidRPr="00986F85">
        <w:rPr>
          <w:szCs w:val="24"/>
        </w:rPr>
        <w:t xml:space="preserve">konstrukciók </w:t>
      </w:r>
      <w:r w:rsidRPr="00986F85">
        <w:rPr>
          <w:rFonts w:cs="Times New Roman"/>
          <w:szCs w:val="24"/>
        </w:rPr>
        <w:t xml:space="preserve">nem jelennek meg teljes körűen (feltételezhetően kódolási hiba folytán, melyet nem sikerült korrigálni) </w:t>
      </w:r>
    </w:p>
    <w:p w14:paraId="1CFB2F58" w14:textId="77777777" w:rsidR="00AB2F04" w:rsidRPr="00986F85" w:rsidRDefault="00CE6645" w:rsidP="00B04415">
      <w:pPr>
        <w:numPr>
          <w:ilvl w:val="0"/>
          <w:numId w:val="29"/>
        </w:numPr>
        <w:suppressAutoHyphens w:val="0"/>
        <w:spacing w:after="0" w:line="360" w:lineRule="auto"/>
        <w:jc w:val="both"/>
        <w:rPr>
          <w:szCs w:val="24"/>
        </w:rPr>
      </w:pPr>
      <w:r w:rsidRPr="00986F85">
        <w:rPr>
          <w:rFonts w:cs="Times New Roman"/>
          <w:szCs w:val="24"/>
        </w:rPr>
        <w:t xml:space="preserve">teljes körű mérlegadatok csak korlátozott számú cég esetében állnak rendelkezésre </w:t>
      </w:r>
      <w:r w:rsidR="00AB2F04" w:rsidRPr="00986F85">
        <w:rPr>
          <w:szCs w:val="24"/>
        </w:rPr>
        <w:t>(</w:t>
      </w:r>
      <w:r w:rsidRPr="00986F85">
        <w:rPr>
          <w:rFonts w:cs="Times New Roman"/>
          <w:szCs w:val="24"/>
        </w:rPr>
        <w:t xml:space="preserve">összesen: </w:t>
      </w:r>
      <w:r w:rsidR="00CE18C6" w:rsidRPr="00986F85">
        <w:rPr>
          <w:rFonts w:cs="Times New Roman"/>
          <w:szCs w:val="24"/>
        </w:rPr>
        <w:t>4795 vállalat</w:t>
      </w:r>
      <w:r w:rsidR="00AB2F04" w:rsidRPr="00986F85">
        <w:rPr>
          <w:szCs w:val="24"/>
        </w:rPr>
        <w:t>)</w:t>
      </w:r>
    </w:p>
    <w:p w14:paraId="6B54032E" w14:textId="77777777" w:rsidR="00AB2F04" w:rsidRPr="00986F85" w:rsidRDefault="00AB2F04" w:rsidP="00B04415">
      <w:pPr>
        <w:numPr>
          <w:ilvl w:val="0"/>
          <w:numId w:val="29"/>
        </w:numPr>
        <w:suppressAutoHyphens w:val="0"/>
        <w:spacing w:after="0" w:line="360" w:lineRule="auto"/>
        <w:jc w:val="both"/>
        <w:rPr>
          <w:szCs w:val="24"/>
        </w:rPr>
      </w:pPr>
      <w:r w:rsidRPr="00986F85">
        <w:rPr>
          <w:szCs w:val="24"/>
        </w:rPr>
        <w:t>709 pályázati rekord nem azonosítható (</w:t>
      </w:r>
      <w:r w:rsidR="00BB6A43" w:rsidRPr="00986F85">
        <w:rPr>
          <w:rFonts w:cs="Times New Roman"/>
          <w:szCs w:val="24"/>
        </w:rPr>
        <w:t>hiányzó</w:t>
      </w:r>
      <w:r w:rsidR="00BB6A43" w:rsidRPr="00986F85">
        <w:rPr>
          <w:szCs w:val="24"/>
        </w:rPr>
        <w:t xml:space="preserve"> sorszám</w:t>
      </w:r>
      <w:r w:rsidRPr="00986F85">
        <w:rPr>
          <w:szCs w:val="24"/>
        </w:rPr>
        <w:t>)</w:t>
      </w:r>
    </w:p>
    <w:p w14:paraId="110AEF1B" w14:textId="77777777" w:rsidR="00360922" w:rsidRPr="00986F85" w:rsidRDefault="00360922" w:rsidP="00B04415">
      <w:pPr>
        <w:suppressAutoHyphens w:val="0"/>
        <w:spacing w:after="0" w:line="360" w:lineRule="auto"/>
        <w:jc w:val="both"/>
        <w:rPr>
          <w:rFonts w:cs="Times New Roman"/>
          <w:szCs w:val="24"/>
        </w:rPr>
      </w:pPr>
    </w:p>
    <w:p w14:paraId="6B8387CB" w14:textId="77777777" w:rsidR="00A62E4C" w:rsidRPr="00986F85" w:rsidRDefault="00CD36C6" w:rsidP="00F1208B">
      <w:pPr>
        <w:suppressAutoHyphens w:val="0"/>
        <w:spacing w:after="0" w:line="360" w:lineRule="auto"/>
        <w:jc w:val="both"/>
        <w:rPr>
          <w:rFonts w:cs="Times New Roman"/>
          <w:szCs w:val="24"/>
        </w:rPr>
      </w:pPr>
      <w:r w:rsidRPr="00986F85">
        <w:rPr>
          <w:rFonts w:cs="Times New Roman"/>
          <w:szCs w:val="24"/>
        </w:rPr>
        <w:t xml:space="preserve">A GOP 2.1.1. intézkedés alatti nyertes cégek és pályázatok </w:t>
      </w:r>
      <w:r w:rsidR="00A61835" w:rsidRPr="00986F85">
        <w:rPr>
          <w:rFonts w:cs="Times New Roman"/>
          <w:szCs w:val="24"/>
        </w:rPr>
        <w:t xml:space="preserve">konstrukciók és évek szerinti számosságát, illetve </w:t>
      </w:r>
      <w:r w:rsidR="00F95947" w:rsidRPr="00986F85">
        <w:rPr>
          <w:rFonts w:cs="Times New Roman"/>
          <w:szCs w:val="24"/>
        </w:rPr>
        <w:t xml:space="preserve">ezen belül a 100 fő feletti foglalkoztatotti létszámmal rendelkező cégek számának alakulását </w:t>
      </w:r>
      <w:r w:rsidR="00A61835" w:rsidRPr="00986F85">
        <w:rPr>
          <w:rFonts w:cs="Times New Roman"/>
          <w:szCs w:val="24"/>
        </w:rPr>
        <w:t xml:space="preserve">mutatja be az alábbi táblázat. </w:t>
      </w:r>
    </w:p>
    <w:p w14:paraId="2FFD5E4C" w14:textId="77777777" w:rsidR="008356A8" w:rsidRPr="00986F85" w:rsidRDefault="008356A8" w:rsidP="00F1208B">
      <w:pPr>
        <w:suppressAutoHyphens w:val="0"/>
        <w:spacing w:after="0" w:line="360" w:lineRule="auto"/>
        <w:jc w:val="both"/>
        <w:rPr>
          <w:rFonts w:cs="Times New Roman"/>
          <w:szCs w:val="24"/>
        </w:rPr>
      </w:pPr>
    </w:p>
    <w:p w14:paraId="261764A6" w14:textId="77777777" w:rsidR="00A152C2" w:rsidRPr="00986F85" w:rsidRDefault="005657E8" w:rsidP="00A152C2">
      <w:pPr>
        <w:pStyle w:val="Kpalrs"/>
        <w:keepNext/>
      </w:pPr>
      <w:fldSimple w:instr=" SEQ táblázat \* ARABIC ">
        <w:bookmarkStart w:id="20" w:name="_Toc230854349"/>
        <w:r w:rsidR="00255252" w:rsidRPr="00986F85">
          <w:rPr>
            <w:noProof/>
          </w:rPr>
          <w:t>4</w:t>
        </w:r>
      </w:fldSimple>
      <w:r w:rsidR="00A152C2" w:rsidRPr="00986F85">
        <w:t xml:space="preserve">. táblázat: </w:t>
      </w:r>
      <w:r w:rsidR="00A152C2" w:rsidRPr="00986F85">
        <w:rPr>
          <w:rFonts w:cs="Times New Roman"/>
        </w:rPr>
        <w:t xml:space="preserve">GOP és KMOP nyertes </w:t>
      </w:r>
      <w:r w:rsidR="00EA5828" w:rsidRPr="00986F85">
        <w:rPr>
          <w:rFonts w:cs="Times New Roman"/>
        </w:rPr>
        <w:t>vállalkozások</w:t>
      </w:r>
      <w:r w:rsidR="00A152C2" w:rsidRPr="00986F85">
        <w:rPr>
          <w:rFonts w:cs="Times New Roman"/>
        </w:rPr>
        <w:t xml:space="preserve"> száma, megoszlása</w:t>
      </w:r>
      <w:r w:rsidR="0071679E" w:rsidRPr="00986F85">
        <w:rPr>
          <w:rFonts w:cs="Times New Roman"/>
        </w:rPr>
        <w:t xml:space="preserve"> (</w:t>
      </w:r>
      <w:r w:rsidR="00EA5828" w:rsidRPr="00986F85">
        <w:rPr>
          <w:rFonts w:cs="Times New Roman"/>
        </w:rPr>
        <w:t>2011</w:t>
      </w:r>
      <w:r w:rsidR="0071679E" w:rsidRPr="00986F85">
        <w:rPr>
          <w:rFonts w:cs="Times New Roman"/>
        </w:rPr>
        <w:t>)</w:t>
      </w:r>
      <w:bookmarkEnd w:id="20"/>
    </w:p>
    <w:tbl>
      <w:tblPr>
        <w:tblW w:w="0" w:type="auto"/>
        <w:tblLook w:val="04A0" w:firstRow="1" w:lastRow="0" w:firstColumn="1" w:lastColumn="0" w:noHBand="0" w:noVBand="1"/>
      </w:tblPr>
      <w:tblGrid>
        <w:gridCol w:w="2041"/>
        <w:gridCol w:w="1483"/>
        <w:gridCol w:w="1324"/>
        <w:gridCol w:w="1570"/>
        <w:gridCol w:w="2868"/>
      </w:tblGrid>
      <w:tr w:rsidR="00BB41F6" w:rsidRPr="00986F85" w14:paraId="64F710E4" w14:textId="77777777" w:rsidTr="0015414F">
        <w:trPr>
          <w:trHeight w:val="560"/>
        </w:trPr>
        <w:tc>
          <w:tcPr>
            <w:tcW w:w="0" w:type="auto"/>
            <w:tcBorders>
              <w:top w:val="single" w:sz="4" w:space="0" w:color="auto"/>
            </w:tcBorders>
            <w:shd w:val="clear" w:color="auto" w:fill="C00000"/>
            <w:noWrap/>
            <w:vAlign w:val="center"/>
            <w:hideMark/>
          </w:tcPr>
          <w:p w14:paraId="6A7D0261" w14:textId="77777777" w:rsidR="00BB41F6" w:rsidRPr="00986F85" w:rsidRDefault="00BB41F6" w:rsidP="0015414F">
            <w:pPr>
              <w:suppressAutoHyphens w:val="0"/>
              <w:spacing w:after="0" w:line="360" w:lineRule="auto"/>
              <w:jc w:val="center"/>
              <w:rPr>
                <w:rFonts w:eastAsia="Times New Roman" w:cs="Times New Roman"/>
                <w:b/>
                <w:color w:val="FFFFFF"/>
                <w:sz w:val="22"/>
                <w:lang w:val="en-US" w:eastAsia="en-US"/>
              </w:rPr>
            </w:pPr>
            <w:r w:rsidRPr="00986F85">
              <w:rPr>
                <w:rFonts w:eastAsia="Times New Roman" w:cs="Times New Roman"/>
                <w:b/>
                <w:color w:val="FFFFFF"/>
                <w:sz w:val="22"/>
                <w:lang w:val="en-US" w:eastAsia="en-US"/>
              </w:rPr>
              <w:t>Pályázatok</w:t>
            </w:r>
          </w:p>
        </w:tc>
        <w:tc>
          <w:tcPr>
            <w:tcW w:w="0" w:type="auto"/>
            <w:tcBorders>
              <w:top w:val="single" w:sz="4" w:space="0" w:color="auto"/>
            </w:tcBorders>
            <w:shd w:val="clear" w:color="auto" w:fill="C00000"/>
            <w:vAlign w:val="center"/>
            <w:hideMark/>
          </w:tcPr>
          <w:p w14:paraId="58D1276B" w14:textId="77777777" w:rsidR="00BB41F6" w:rsidRPr="00986F85" w:rsidRDefault="00BB41F6" w:rsidP="0015414F">
            <w:pPr>
              <w:suppressAutoHyphens w:val="0"/>
              <w:spacing w:after="0" w:line="360" w:lineRule="auto"/>
              <w:jc w:val="center"/>
              <w:rPr>
                <w:rFonts w:eastAsia="Times New Roman" w:cs="Times New Roman"/>
                <w:b/>
                <w:color w:val="FFFFFF"/>
                <w:sz w:val="22"/>
                <w:lang w:val="en-US" w:eastAsia="en-US"/>
              </w:rPr>
            </w:pPr>
            <w:r w:rsidRPr="00986F85">
              <w:rPr>
                <w:rFonts w:eastAsia="Times New Roman" w:cs="Times New Roman"/>
                <w:b/>
                <w:color w:val="FFFFFF"/>
                <w:sz w:val="22"/>
                <w:lang w:val="en-US" w:eastAsia="en-US"/>
              </w:rPr>
              <w:t>Nyertesek száma</w:t>
            </w:r>
          </w:p>
        </w:tc>
        <w:tc>
          <w:tcPr>
            <w:tcW w:w="0" w:type="auto"/>
            <w:tcBorders>
              <w:top w:val="single" w:sz="4" w:space="0" w:color="auto"/>
            </w:tcBorders>
            <w:shd w:val="clear" w:color="auto" w:fill="C00000"/>
            <w:vAlign w:val="center"/>
            <w:hideMark/>
          </w:tcPr>
          <w:p w14:paraId="6AE20817" w14:textId="77777777" w:rsidR="00BB41F6" w:rsidRPr="00986F85" w:rsidRDefault="00BB41F6" w:rsidP="0015414F">
            <w:pPr>
              <w:suppressAutoHyphens w:val="0"/>
              <w:spacing w:after="0" w:line="360" w:lineRule="auto"/>
              <w:jc w:val="center"/>
              <w:rPr>
                <w:rFonts w:eastAsia="Times New Roman" w:cs="Times New Roman"/>
                <w:b/>
                <w:color w:val="FFFFFF"/>
                <w:sz w:val="22"/>
                <w:lang w:val="en-US" w:eastAsia="en-US"/>
              </w:rPr>
            </w:pPr>
            <w:r w:rsidRPr="00986F85">
              <w:rPr>
                <w:rFonts w:eastAsia="Times New Roman" w:cs="Times New Roman"/>
                <w:b/>
                <w:color w:val="FFFFFF"/>
                <w:sz w:val="22"/>
                <w:lang w:val="en-US" w:eastAsia="en-US"/>
              </w:rPr>
              <w:t>Csak ezt nyerték</w:t>
            </w:r>
          </w:p>
        </w:tc>
        <w:tc>
          <w:tcPr>
            <w:tcW w:w="0" w:type="auto"/>
            <w:tcBorders>
              <w:top w:val="single" w:sz="4" w:space="0" w:color="auto"/>
            </w:tcBorders>
            <w:shd w:val="clear" w:color="auto" w:fill="C00000"/>
            <w:vAlign w:val="center"/>
          </w:tcPr>
          <w:p w14:paraId="7C5D3A7C" w14:textId="77777777" w:rsidR="00BB41F6" w:rsidRPr="00986F85" w:rsidRDefault="00BB41F6" w:rsidP="0015414F">
            <w:pPr>
              <w:suppressAutoHyphens w:val="0"/>
              <w:spacing w:after="0" w:line="360" w:lineRule="auto"/>
              <w:jc w:val="center"/>
              <w:rPr>
                <w:rFonts w:eastAsia="Times New Roman" w:cs="Times New Roman"/>
                <w:b/>
                <w:color w:val="FFFFFF"/>
                <w:sz w:val="22"/>
                <w:lang w:val="en-US" w:eastAsia="en-US"/>
              </w:rPr>
            </w:pPr>
            <w:r w:rsidRPr="00986F85">
              <w:rPr>
                <w:rFonts w:eastAsia="Times New Roman" w:cs="Times New Roman"/>
                <w:b/>
                <w:color w:val="FFFFFF"/>
                <w:sz w:val="22"/>
                <w:lang w:val="en-US" w:eastAsia="en-US"/>
              </w:rPr>
              <w:t>Pályázatok száma</w:t>
            </w:r>
          </w:p>
        </w:tc>
        <w:tc>
          <w:tcPr>
            <w:tcW w:w="0" w:type="auto"/>
            <w:tcBorders>
              <w:top w:val="single" w:sz="4" w:space="0" w:color="auto"/>
            </w:tcBorders>
            <w:shd w:val="clear" w:color="auto" w:fill="C00000"/>
            <w:vAlign w:val="center"/>
            <w:hideMark/>
          </w:tcPr>
          <w:p w14:paraId="1F99A90D" w14:textId="77777777" w:rsidR="00BB41F6" w:rsidRPr="00986F85" w:rsidRDefault="00BB41F6" w:rsidP="0015414F">
            <w:pPr>
              <w:suppressAutoHyphens w:val="0"/>
              <w:spacing w:after="0" w:line="360" w:lineRule="auto"/>
              <w:jc w:val="center"/>
              <w:rPr>
                <w:rFonts w:eastAsia="Times New Roman" w:cs="Times New Roman"/>
                <w:b/>
                <w:color w:val="FFFFFF"/>
                <w:sz w:val="22"/>
                <w:lang w:val="en-US" w:eastAsia="en-US"/>
              </w:rPr>
            </w:pPr>
            <w:r w:rsidRPr="00986F85">
              <w:rPr>
                <w:rFonts w:eastAsia="Times New Roman" w:cs="Times New Roman"/>
                <w:b/>
                <w:color w:val="FFFFFF"/>
                <w:sz w:val="22"/>
                <w:lang w:val="en-US" w:eastAsia="en-US"/>
              </w:rPr>
              <w:t>100 fő feletti létszámmal rendelkező cégek száma</w:t>
            </w:r>
          </w:p>
        </w:tc>
      </w:tr>
      <w:tr w:rsidR="00BB41F6" w:rsidRPr="00986F85" w14:paraId="4400EC2B" w14:textId="77777777" w:rsidTr="0015414F">
        <w:trPr>
          <w:trHeight w:val="280"/>
        </w:trPr>
        <w:tc>
          <w:tcPr>
            <w:tcW w:w="0" w:type="auto"/>
            <w:tcBorders>
              <w:bottom w:val="single" w:sz="4" w:space="0" w:color="auto"/>
            </w:tcBorders>
            <w:shd w:val="clear" w:color="auto" w:fill="C00000"/>
            <w:noWrap/>
            <w:vAlign w:val="center"/>
            <w:hideMark/>
          </w:tcPr>
          <w:p w14:paraId="754FEB5E" w14:textId="77777777" w:rsidR="00BB41F6" w:rsidRPr="00986F85" w:rsidRDefault="00BB41F6" w:rsidP="0015414F">
            <w:pPr>
              <w:suppressAutoHyphens w:val="0"/>
              <w:spacing w:after="0" w:line="360" w:lineRule="auto"/>
              <w:jc w:val="center"/>
              <w:rPr>
                <w:rFonts w:eastAsia="Times New Roman" w:cs="Times New Roman"/>
                <w:b/>
                <w:color w:val="FFFFFF"/>
                <w:sz w:val="22"/>
                <w:lang w:val="en-US" w:eastAsia="en-US"/>
              </w:rPr>
            </w:pPr>
          </w:p>
        </w:tc>
        <w:tc>
          <w:tcPr>
            <w:tcW w:w="0" w:type="auto"/>
            <w:tcBorders>
              <w:bottom w:val="single" w:sz="4" w:space="0" w:color="auto"/>
            </w:tcBorders>
            <w:shd w:val="clear" w:color="auto" w:fill="C00000"/>
            <w:vAlign w:val="center"/>
            <w:hideMark/>
          </w:tcPr>
          <w:p w14:paraId="16056E9C" w14:textId="77777777" w:rsidR="00BB41F6" w:rsidRPr="00986F85" w:rsidRDefault="00BB41F6" w:rsidP="0015414F">
            <w:pPr>
              <w:suppressAutoHyphens w:val="0"/>
              <w:spacing w:after="0" w:line="360" w:lineRule="auto"/>
              <w:jc w:val="center"/>
              <w:rPr>
                <w:rFonts w:eastAsia="Times New Roman" w:cs="Times New Roman"/>
                <w:b/>
                <w:color w:val="FFFFFF"/>
                <w:sz w:val="22"/>
                <w:lang w:val="en-US" w:eastAsia="en-US"/>
              </w:rPr>
            </w:pPr>
            <w:r w:rsidRPr="00986F85">
              <w:rPr>
                <w:rFonts w:eastAsia="Times New Roman" w:cs="Times New Roman"/>
                <w:b/>
                <w:color w:val="FFFFFF"/>
                <w:sz w:val="22"/>
                <w:lang w:val="en-US" w:eastAsia="en-US"/>
              </w:rPr>
              <w:t>db</w:t>
            </w:r>
          </w:p>
        </w:tc>
        <w:tc>
          <w:tcPr>
            <w:tcW w:w="0" w:type="auto"/>
            <w:tcBorders>
              <w:bottom w:val="single" w:sz="4" w:space="0" w:color="auto"/>
            </w:tcBorders>
            <w:shd w:val="clear" w:color="auto" w:fill="C00000"/>
            <w:vAlign w:val="center"/>
            <w:hideMark/>
          </w:tcPr>
          <w:p w14:paraId="69711B14" w14:textId="77777777" w:rsidR="00BB41F6" w:rsidRPr="00986F85" w:rsidRDefault="00BB41F6" w:rsidP="0015414F">
            <w:pPr>
              <w:suppressAutoHyphens w:val="0"/>
              <w:spacing w:after="0" w:line="360" w:lineRule="auto"/>
              <w:jc w:val="center"/>
              <w:rPr>
                <w:rFonts w:eastAsia="Times New Roman" w:cs="Times New Roman"/>
                <w:b/>
                <w:color w:val="FFFFFF"/>
                <w:sz w:val="22"/>
                <w:lang w:val="en-US" w:eastAsia="en-US"/>
              </w:rPr>
            </w:pPr>
            <w:r w:rsidRPr="00986F85">
              <w:rPr>
                <w:rFonts w:eastAsia="Times New Roman" w:cs="Times New Roman"/>
                <w:b/>
                <w:color w:val="FFFFFF"/>
                <w:sz w:val="22"/>
                <w:lang w:val="en-US" w:eastAsia="en-US"/>
              </w:rPr>
              <w:t>db</w:t>
            </w:r>
          </w:p>
        </w:tc>
        <w:tc>
          <w:tcPr>
            <w:tcW w:w="0" w:type="auto"/>
            <w:tcBorders>
              <w:bottom w:val="single" w:sz="4" w:space="0" w:color="auto"/>
            </w:tcBorders>
            <w:shd w:val="clear" w:color="auto" w:fill="C00000"/>
            <w:vAlign w:val="center"/>
          </w:tcPr>
          <w:p w14:paraId="3328C840" w14:textId="77777777" w:rsidR="00BB41F6" w:rsidRPr="00986F85" w:rsidRDefault="00BB41F6" w:rsidP="0015414F">
            <w:pPr>
              <w:suppressAutoHyphens w:val="0"/>
              <w:spacing w:after="0" w:line="360" w:lineRule="auto"/>
              <w:jc w:val="center"/>
              <w:rPr>
                <w:rFonts w:eastAsia="Times New Roman" w:cs="Times New Roman"/>
                <w:b/>
                <w:color w:val="FFFFFF"/>
                <w:sz w:val="22"/>
                <w:lang w:val="en-US" w:eastAsia="en-US"/>
              </w:rPr>
            </w:pPr>
            <w:r w:rsidRPr="00986F85">
              <w:rPr>
                <w:rFonts w:eastAsia="Times New Roman" w:cs="Times New Roman"/>
                <w:b/>
                <w:color w:val="FFFFFF"/>
                <w:sz w:val="22"/>
                <w:lang w:val="en-US" w:eastAsia="en-US"/>
              </w:rPr>
              <w:t>db</w:t>
            </w:r>
          </w:p>
        </w:tc>
        <w:tc>
          <w:tcPr>
            <w:tcW w:w="0" w:type="auto"/>
            <w:tcBorders>
              <w:bottom w:val="single" w:sz="4" w:space="0" w:color="auto"/>
            </w:tcBorders>
            <w:shd w:val="clear" w:color="auto" w:fill="C00000"/>
            <w:noWrap/>
            <w:vAlign w:val="center"/>
            <w:hideMark/>
          </w:tcPr>
          <w:p w14:paraId="3E970E00" w14:textId="77777777" w:rsidR="00BB41F6" w:rsidRPr="00986F85" w:rsidRDefault="00BB41F6" w:rsidP="0015414F">
            <w:pPr>
              <w:suppressAutoHyphens w:val="0"/>
              <w:spacing w:after="0" w:line="360" w:lineRule="auto"/>
              <w:jc w:val="center"/>
              <w:rPr>
                <w:rFonts w:eastAsia="Times New Roman" w:cs="Times New Roman"/>
                <w:b/>
                <w:color w:val="FFFFFF"/>
                <w:sz w:val="22"/>
                <w:lang w:val="en-US" w:eastAsia="en-US"/>
              </w:rPr>
            </w:pPr>
            <w:r w:rsidRPr="00986F85">
              <w:rPr>
                <w:rFonts w:eastAsia="Times New Roman" w:cs="Times New Roman"/>
                <w:b/>
                <w:color w:val="FFFFFF"/>
                <w:sz w:val="22"/>
                <w:lang w:val="en-US" w:eastAsia="en-US"/>
              </w:rPr>
              <w:t>db</w:t>
            </w:r>
          </w:p>
        </w:tc>
      </w:tr>
      <w:tr w:rsidR="00BB41F6" w:rsidRPr="00986F85" w14:paraId="60C9C690" w14:textId="77777777" w:rsidTr="0015414F">
        <w:trPr>
          <w:trHeight w:val="280"/>
        </w:trPr>
        <w:tc>
          <w:tcPr>
            <w:tcW w:w="0" w:type="auto"/>
            <w:tcBorders>
              <w:top w:val="single" w:sz="4" w:space="0" w:color="auto"/>
              <w:bottom w:val="single" w:sz="4" w:space="0" w:color="auto"/>
            </w:tcBorders>
            <w:shd w:val="clear" w:color="auto" w:fill="auto"/>
            <w:noWrap/>
            <w:vAlign w:val="center"/>
            <w:hideMark/>
          </w:tcPr>
          <w:p w14:paraId="7271031D" w14:textId="77777777" w:rsidR="00BB41F6" w:rsidRPr="00986F85" w:rsidRDefault="00BB41F6" w:rsidP="0015414F">
            <w:pPr>
              <w:suppressAutoHyphens w:val="0"/>
              <w:spacing w:after="0" w:line="360" w:lineRule="auto"/>
              <w:rPr>
                <w:rFonts w:eastAsia="Times New Roman" w:cs="Times New Roman"/>
                <w:color w:val="000000"/>
                <w:sz w:val="22"/>
                <w:lang w:val="en-US" w:eastAsia="en-US"/>
              </w:rPr>
            </w:pPr>
            <w:r w:rsidRPr="00986F85">
              <w:rPr>
                <w:rFonts w:eastAsia="Times New Roman" w:cs="Times New Roman"/>
                <w:color w:val="000000"/>
                <w:sz w:val="22"/>
                <w:lang w:val="en-US" w:eastAsia="en-US"/>
              </w:rPr>
              <w:t>GOP211/A összesen</w:t>
            </w:r>
          </w:p>
        </w:tc>
        <w:tc>
          <w:tcPr>
            <w:tcW w:w="0" w:type="auto"/>
            <w:tcBorders>
              <w:top w:val="single" w:sz="4" w:space="0" w:color="auto"/>
              <w:bottom w:val="single" w:sz="4" w:space="0" w:color="auto"/>
            </w:tcBorders>
            <w:shd w:val="clear" w:color="auto" w:fill="auto"/>
            <w:noWrap/>
            <w:vAlign w:val="center"/>
            <w:hideMark/>
          </w:tcPr>
          <w:p w14:paraId="74915309" w14:textId="77777777" w:rsidR="00BB41F6" w:rsidRPr="00986F85" w:rsidRDefault="00BB41F6" w:rsidP="0015414F">
            <w:pPr>
              <w:suppressAutoHyphens w:val="0"/>
              <w:spacing w:after="0" w:line="360" w:lineRule="auto"/>
              <w:jc w:val="center"/>
              <w:rPr>
                <w:rFonts w:eastAsia="Times New Roman" w:cs="Times New Roman"/>
                <w:color w:val="000000"/>
                <w:sz w:val="22"/>
                <w:lang w:val="en-US" w:eastAsia="en-US"/>
              </w:rPr>
            </w:pPr>
            <w:r w:rsidRPr="00986F85">
              <w:rPr>
                <w:rFonts w:eastAsia="Times New Roman" w:cs="Times New Roman"/>
                <w:color w:val="000000"/>
                <w:sz w:val="22"/>
                <w:lang w:val="en-US" w:eastAsia="en-US"/>
              </w:rPr>
              <w:t>3352</w:t>
            </w:r>
          </w:p>
        </w:tc>
        <w:tc>
          <w:tcPr>
            <w:tcW w:w="0" w:type="auto"/>
            <w:tcBorders>
              <w:top w:val="single" w:sz="4" w:space="0" w:color="auto"/>
              <w:bottom w:val="single" w:sz="4" w:space="0" w:color="auto"/>
            </w:tcBorders>
            <w:shd w:val="clear" w:color="auto" w:fill="auto"/>
            <w:noWrap/>
            <w:vAlign w:val="center"/>
            <w:hideMark/>
          </w:tcPr>
          <w:p w14:paraId="062B88DE" w14:textId="77777777" w:rsidR="00BB41F6" w:rsidRPr="00986F85" w:rsidRDefault="00BB41F6" w:rsidP="0015414F">
            <w:pPr>
              <w:suppressAutoHyphens w:val="0"/>
              <w:spacing w:after="0" w:line="360" w:lineRule="auto"/>
              <w:jc w:val="center"/>
              <w:rPr>
                <w:rFonts w:eastAsia="Times New Roman" w:cs="Times New Roman"/>
                <w:color w:val="000000"/>
                <w:sz w:val="22"/>
                <w:lang w:val="en-US" w:eastAsia="en-US"/>
              </w:rPr>
            </w:pPr>
            <w:r w:rsidRPr="00986F85">
              <w:rPr>
                <w:rFonts w:eastAsia="Times New Roman" w:cs="Times New Roman"/>
                <w:color w:val="000000"/>
                <w:sz w:val="22"/>
                <w:lang w:val="en-US" w:eastAsia="en-US"/>
              </w:rPr>
              <w:t>2396</w:t>
            </w:r>
          </w:p>
        </w:tc>
        <w:tc>
          <w:tcPr>
            <w:tcW w:w="0" w:type="auto"/>
            <w:tcBorders>
              <w:top w:val="single" w:sz="4" w:space="0" w:color="auto"/>
              <w:bottom w:val="single" w:sz="4" w:space="0" w:color="auto"/>
            </w:tcBorders>
            <w:vAlign w:val="center"/>
          </w:tcPr>
          <w:p w14:paraId="4F2E6538" w14:textId="77777777" w:rsidR="00BB41F6" w:rsidRPr="00986F85" w:rsidRDefault="00BB41F6" w:rsidP="0015414F">
            <w:pPr>
              <w:suppressAutoHyphens w:val="0"/>
              <w:spacing w:after="0" w:line="360" w:lineRule="auto"/>
              <w:jc w:val="center"/>
              <w:rPr>
                <w:rFonts w:eastAsia="Times New Roman" w:cs="Times New Roman"/>
                <w:color w:val="000000"/>
                <w:sz w:val="22"/>
                <w:lang w:val="en-US" w:eastAsia="en-US"/>
              </w:rPr>
            </w:pPr>
          </w:p>
        </w:tc>
        <w:tc>
          <w:tcPr>
            <w:tcW w:w="0" w:type="auto"/>
            <w:tcBorders>
              <w:top w:val="single" w:sz="4" w:space="0" w:color="auto"/>
              <w:bottom w:val="single" w:sz="4" w:space="0" w:color="auto"/>
            </w:tcBorders>
            <w:shd w:val="clear" w:color="auto" w:fill="auto"/>
            <w:noWrap/>
            <w:vAlign w:val="center"/>
            <w:hideMark/>
          </w:tcPr>
          <w:p w14:paraId="41EDF481" w14:textId="77777777" w:rsidR="00BB41F6" w:rsidRPr="00986F85" w:rsidRDefault="00BB41F6" w:rsidP="0015414F">
            <w:pPr>
              <w:suppressAutoHyphens w:val="0"/>
              <w:spacing w:after="0" w:line="360" w:lineRule="auto"/>
              <w:jc w:val="center"/>
              <w:rPr>
                <w:rFonts w:eastAsia="Times New Roman" w:cs="Times New Roman"/>
                <w:color w:val="000000"/>
                <w:sz w:val="22"/>
                <w:lang w:val="en-US" w:eastAsia="en-US"/>
              </w:rPr>
            </w:pPr>
          </w:p>
        </w:tc>
      </w:tr>
      <w:tr w:rsidR="00BB41F6" w:rsidRPr="00986F85" w14:paraId="1F2022AD" w14:textId="77777777" w:rsidTr="0015414F">
        <w:trPr>
          <w:trHeight w:val="280"/>
        </w:trPr>
        <w:tc>
          <w:tcPr>
            <w:tcW w:w="0" w:type="auto"/>
            <w:tcBorders>
              <w:top w:val="single" w:sz="4" w:space="0" w:color="auto"/>
              <w:bottom w:val="single" w:sz="4" w:space="0" w:color="auto"/>
            </w:tcBorders>
            <w:shd w:val="clear" w:color="auto" w:fill="auto"/>
            <w:noWrap/>
            <w:vAlign w:val="center"/>
            <w:hideMark/>
          </w:tcPr>
          <w:p w14:paraId="37D36A04" w14:textId="77777777" w:rsidR="00BB41F6" w:rsidRPr="00986F85" w:rsidRDefault="00BB41F6" w:rsidP="0015414F">
            <w:pPr>
              <w:suppressAutoHyphens w:val="0"/>
              <w:spacing w:after="0" w:line="360" w:lineRule="auto"/>
              <w:rPr>
                <w:rFonts w:eastAsia="Times New Roman" w:cs="Times New Roman"/>
                <w:color w:val="000000"/>
                <w:sz w:val="22"/>
                <w:lang w:val="en-US" w:eastAsia="en-US"/>
              </w:rPr>
            </w:pPr>
            <w:r w:rsidRPr="00986F85">
              <w:rPr>
                <w:rFonts w:eastAsia="Times New Roman" w:cs="Times New Roman"/>
                <w:color w:val="000000"/>
                <w:sz w:val="22"/>
                <w:lang w:val="en-US" w:eastAsia="en-US"/>
              </w:rPr>
              <w:t>GOP-2.1.1/A</w:t>
            </w:r>
          </w:p>
        </w:tc>
        <w:tc>
          <w:tcPr>
            <w:tcW w:w="0" w:type="auto"/>
            <w:tcBorders>
              <w:top w:val="single" w:sz="4" w:space="0" w:color="auto"/>
              <w:bottom w:val="single" w:sz="4" w:space="0" w:color="auto"/>
            </w:tcBorders>
            <w:shd w:val="clear" w:color="auto" w:fill="auto"/>
            <w:noWrap/>
            <w:vAlign w:val="center"/>
            <w:hideMark/>
          </w:tcPr>
          <w:p w14:paraId="4496DDEA" w14:textId="77777777" w:rsidR="00BB41F6" w:rsidRPr="00986F85" w:rsidRDefault="00BB41F6" w:rsidP="0015414F">
            <w:pPr>
              <w:suppressAutoHyphens w:val="0"/>
              <w:spacing w:after="0" w:line="360" w:lineRule="auto"/>
              <w:jc w:val="center"/>
              <w:rPr>
                <w:rFonts w:eastAsia="Times New Roman" w:cs="Times New Roman"/>
                <w:color w:val="000000"/>
                <w:sz w:val="22"/>
                <w:lang w:val="en-US" w:eastAsia="en-US"/>
              </w:rPr>
            </w:pPr>
            <w:r w:rsidRPr="00986F85">
              <w:rPr>
                <w:rFonts w:eastAsia="Times New Roman" w:cs="Times New Roman"/>
                <w:color w:val="000000"/>
                <w:sz w:val="22"/>
                <w:lang w:val="en-US" w:eastAsia="en-US"/>
              </w:rPr>
              <w:t>299</w:t>
            </w:r>
          </w:p>
        </w:tc>
        <w:tc>
          <w:tcPr>
            <w:tcW w:w="0" w:type="auto"/>
            <w:tcBorders>
              <w:top w:val="single" w:sz="4" w:space="0" w:color="auto"/>
              <w:bottom w:val="single" w:sz="4" w:space="0" w:color="auto"/>
            </w:tcBorders>
            <w:shd w:val="clear" w:color="auto" w:fill="auto"/>
            <w:noWrap/>
            <w:vAlign w:val="center"/>
            <w:hideMark/>
          </w:tcPr>
          <w:p w14:paraId="6ACC3844" w14:textId="77777777" w:rsidR="00BB41F6" w:rsidRPr="00986F85" w:rsidRDefault="00BB41F6" w:rsidP="0015414F">
            <w:pPr>
              <w:suppressAutoHyphens w:val="0"/>
              <w:spacing w:after="0" w:line="360" w:lineRule="auto"/>
              <w:jc w:val="center"/>
              <w:rPr>
                <w:rFonts w:eastAsia="Times New Roman" w:cs="Times New Roman"/>
                <w:color w:val="000000"/>
                <w:sz w:val="22"/>
                <w:lang w:val="en-US" w:eastAsia="en-US"/>
              </w:rPr>
            </w:pPr>
            <w:r w:rsidRPr="00986F85">
              <w:rPr>
                <w:rFonts w:eastAsia="Times New Roman" w:cs="Times New Roman"/>
                <w:color w:val="000000"/>
                <w:sz w:val="22"/>
                <w:lang w:val="en-US" w:eastAsia="en-US"/>
              </w:rPr>
              <w:t>223</w:t>
            </w:r>
          </w:p>
        </w:tc>
        <w:tc>
          <w:tcPr>
            <w:tcW w:w="0" w:type="auto"/>
            <w:tcBorders>
              <w:top w:val="single" w:sz="4" w:space="0" w:color="auto"/>
              <w:bottom w:val="single" w:sz="4" w:space="0" w:color="auto"/>
            </w:tcBorders>
            <w:vAlign w:val="center"/>
          </w:tcPr>
          <w:p w14:paraId="379775E0" w14:textId="77777777" w:rsidR="00BB41F6" w:rsidRPr="00986F85" w:rsidRDefault="00BB41F6" w:rsidP="0015414F">
            <w:pPr>
              <w:suppressAutoHyphens w:val="0"/>
              <w:spacing w:after="0" w:line="360" w:lineRule="auto"/>
              <w:jc w:val="center"/>
              <w:rPr>
                <w:rFonts w:eastAsia="Times New Roman" w:cs="Times New Roman"/>
                <w:color w:val="000000"/>
                <w:sz w:val="22"/>
                <w:lang w:val="en-US" w:eastAsia="en-US"/>
              </w:rPr>
            </w:pPr>
            <w:r w:rsidRPr="00986F85">
              <w:rPr>
                <w:rFonts w:eastAsia="Times New Roman" w:cs="Times New Roman"/>
                <w:color w:val="000000"/>
                <w:sz w:val="22"/>
                <w:lang w:val="en-US" w:eastAsia="en-US"/>
              </w:rPr>
              <w:t>573</w:t>
            </w:r>
          </w:p>
        </w:tc>
        <w:tc>
          <w:tcPr>
            <w:tcW w:w="0" w:type="auto"/>
            <w:tcBorders>
              <w:top w:val="single" w:sz="4" w:space="0" w:color="auto"/>
              <w:bottom w:val="single" w:sz="4" w:space="0" w:color="auto"/>
            </w:tcBorders>
            <w:shd w:val="clear" w:color="auto" w:fill="auto"/>
            <w:noWrap/>
            <w:vAlign w:val="center"/>
            <w:hideMark/>
          </w:tcPr>
          <w:p w14:paraId="4891DEE0" w14:textId="77777777" w:rsidR="00BB41F6" w:rsidRPr="00986F85" w:rsidRDefault="00BB41F6" w:rsidP="0015414F">
            <w:pPr>
              <w:suppressAutoHyphens w:val="0"/>
              <w:spacing w:after="0" w:line="360" w:lineRule="auto"/>
              <w:jc w:val="center"/>
              <w:rPr>
                <w:rFonts w:eastAsia="Times New Roman" w:cs="Times New Roman"/>
                <w:color w:val="000000"/>
                <w:sz w:val="22"/>
                <w:lang w:val="en-US" w:eastAsia="en-US"/>
              </w:rPr>
            </w:pPr>
            <w:r w:rsidRPr="00986F85">
              <w:rPr>
                <w:rFonts w:eastAsia="Times New Roman" w:cs="Times New Roman"/>
                <w:color w:val="000000"/>
                <w:sz w:val="22"/>
                <w:lang w:val="en-US" w:eastAsia="en-US"/>
              </w:rPr>
              <w:t>1</w:t>
            </w:r>
          </w:p>
        </w:tc>
      </w:tr>
      <w:tr w:rsidR="00BB41F6" w:rsidRPr="00986F85" w14:paraId="0F674A9C" w14:textId="77777777" w:rsidTr="0015414F">
        <w:trPr>
          <w:trHeight w:val="280"/>
        </w:trPr>
        <w:tc>
          <w:tcPr>
            <w:tcW w:w="0" w:type="auto"/>
            <w:tcBorders>
              <w:top w:val="single" w:sz="4" w:space="0" w:color="auto"/>
              <w:bottom w:val="single" w:sz="4" w:space="0" w:color="auto"/>
            </w:tcBorders>
            <w:shd w:val="clear" w:color="auto" w:fill="auto"/>
            <w:noWrap/>
            <w:vAlign w:val="center"/>
            <w:hideMark/>
          </w:tcPr>
          <w:p w14:paraId="2EDEFE85" w14:textId="77777777" w:rsidR="00BB41F6" w:rsidRPr="00986F85" w:rsidRDefault="00BB41F6" w:rsidP="0015414F">
            <w:pPr>
              <w:suppressAutoHyphens w:val="0"/>
              <w:spacing w:after="0" w:line="360" w:lineRule="auto"/>
              <w:rPr>
                <w:rFonts w:eastAsia="Times New Roman" w:cs="Times New Roman"/>
                <w:color w:val="000000"/>
                <w:sz w:val="22"/>
                <w:lang w:val="en-US" w:eastAsia="en-US"/>
              </w:rPr>
            </w:pPr>
            <w:r w:rsidRPr="00986F85">
              <w:rPr>
                <w:rFonts w:eastAsia="Times New Roman" w:cs="Times New Roman"/>
                <w:color w:val="000000"/>
                <w:sz w:val="22"/>
                <w:lang w:val="en-US" w:eastAsia="en-US"/>
              </w:rPr>
              <w:t>GOP-2.1.1-08/A</w:t>
            </w:r>
          </w:p>
        </w:tc>
        <w:tc>
          <w:tcPr>
            <w:tcW w:w="0" w:type="auto"/>
            <w:tcBorders>
              <w:top w:val="single" w:sz="4" w:space="0" w:color="auto"/>
              <w:bottom w:val="single" w:sz="4" w:space="0" w:color="auto"/>
            </w:tcBorders>
            <w:shd w:val="clear" w:color="auto" w:fill="auto"/>
            <w:noWrap/>
            <w:vAlign w:val="center"/>
            <w:hideMark/>
          </w:tcPr>
          <w:p w14:paraId="3BD70C95" w14:textId="77777777" w:rsidR="00BB41F6" w:rsidRPr="00986F85" w:rsidRDefault="00BB41F6" w:rsidP="0015414F">
            <w:pPr>
              <w:suppressAutoHyphens w:val="0"/>
              <w:spacing w:after="0" w:line="360" w:lineRule="auto"/>
              <w:jc w:val="center"/>
              <w:rPr>
                <w:rFonts w:eastAsia="Times New Roman" w:cs="Times New Roman"/>
                <w:color w:val="000000"/>
                <w:sz w:val="22"/>
                <w:lang w:val="en-US" w:eastAsia="en-US"/>
              </w:rPr>
            </w:pPr>
            <w:r w:rsidRPr="00986F85">
              <w:rPr>
                <w:rFonts w:eastAsia="Times New Roman" w:cs="Times New Roman"/>
                <w:color w:val="000000"/>
                <w:sz w:val="22"/>
                <w:lang w:val="en-US" w:eastAsia="en-US"/>
              </w:rPr>
              <w:t>437</w:t>
            </w:r>
          </w:p>
        </w:tc>
        <w:tc>
          <w:tcPr>
            <w:tcW w:w="0" w:type="auto"/>
            <w:tcBorders>
              <w:top w:val="single" w:sz="4" w:space="0" w:color="auto"/>
              <w:bottom w:val="single" w:sz="4" w:space="0" w:color="auto"/>
            </w:tcBorders>
            <w:shd w:val="clear" w:color="auto" w:fill="auto"/>
            <w:noWrap/>
            <w:vAlign w:val="center"/>
            <w:hideMark/>
          </w:tcPr>
          <w:p w14:paraId="440A88EB" w14:textId="77777777" w:rsidR="00BB41F6" w:rsidRPr="00986F85" w:rsidRDefault="00BB41F6" w:rsidP="0015414F">
            <w:pPr>
              <w:suppressAutoHyphens w:val="0"/>
              <w:spacing w:after="0" w:line="360" w:lineRule="auto"/>
              <w:jc w:val="center"/>
              <w:rPr>
                <w:rFonts w:eastAsia="Times New Roman" w:cs="Times New Roman"/>
                <w:color w:val="000000"/>
                <w:sz w:val="22"/>
                <w:lang w:val="en-US" w:eastAsia="en-US"/>
              </w:rPr>
            </w:pPr>
            <w:r w:rsidRPr="00986F85">
              <w:rPr>
                <w:rFonts w:eastAsia="Times New Roman" w:cs="Times New Roman"/>
                <w:color w:val="000000"/>
                <w:sz w:val="22"/>
                <w:lang w:val="en-US" w:eastAsia="en-US"/>
              </w:rPr>
              <w:t>306</w:t>
            </w:r>
          </w:p>
        </w:tc>
        <w:tc>
          <w:tcPr>
            <w:tcW w:w="0" w:type="auto"/>
            <w:tcBorders>
              <w:top w:val="single" w:sz="4" w:space="0" w:color="auto"/>
              <w:bottom w:val="single" w:sz="4" w:space="0" w:color="auto"/>
            </w:tcBorders>
            <w:vAlign w:val="center"/>
          </w:tcPr>
          <w:p w14:paraId="63338293" w14:textId="77777777" w:rsidR="00BB41F6" w:rsidRPr="00986F85" w:rsidRDefault="00BB41F6" w:rsidP="0015414F">
            <w:pPr>
              <w:suppressAutoHyphens w:val="0"/>
              <w:spacing w:after="0" w:line="360" w:lineRule="auto"/>
              <w:jc w:val="center"/>
              <w:rPr>
                <w:rFonts w:eastAsia="Times New Roman" w:cs="Times New Roman"/>
                <w:color w:val="000000"/>
                <w:sz w:val="22"/>
                <w:lang w:val="en-US" w:eastAsia="en-US"/>
              </w:rPr>
            </w:pPr>
            <w:r w:rsidRPr="00986F85">
              <w:rPr>
                <w:rFonts w:eastAsia="Times New Roman" w:cs="Times New Roman"/>
                <w:color w:val="000000"/>
                <w:sz w:val="22"/>
                <w:lang w:val="en-US" w:eastAsia="en-US"/>
              </w:rPr>
              <w:t>765</w:t>
            </w:r>
          </w:p>
        </w:tc>
        <w:tc>
          <w:tcPr>
            <w:tcW w:w="0" w:type="auto"/>
            <w:tcBorders>
              <w:top w:val="single" w:sz="4" w:space="0" w:color="auto"/>
              <w:bottom w:val="single" w:sz="4" w:space="0" w:color="auto"/>
            </w:tcBorders>
            <w:shd w:val="clear" w:color="auto" w:fill="auto"/>
            <w:noWrap/>
            <w:vAlign w:val="center"/>
            <w:hideMark/>
          </w:tcPr>
          <w:p w14:paraId="4A252E1F" w14:textId="77777777" w:rsidR="00BB41F6" w:rsidRPr="00986F85" w:rsidRDefault="00BB41F6" w:rsidP="0015414F">
            <w:pPr>
              <w:suppressAutoHyphens w:val="0"/>
              <w:spacing w:after="0" w:line="360" w:lineRule="auto"/>
              <w:jc w:val="center"/>
              <w:rPr>
                <w:rFonts w:eastAsia="Times New Roman" w:cs="Times New Roman"/>
                <w:color w:val="000000"/>
                <w:sz w:val="22"/>
                <w:lang w:val="en-US" w:eastAsia="en-US"/>
              </w:rPr>
            </w:pPr>
            <w:r w:rsidRPr="00986F85">
              <w:rPr>
                <w:rFonts w:eastAsia="Times New Roman" w:cs="Times New Roman"/>
                <w:color w:val="000000"/>
                <w:sz w:val="22"/>
                <w:lang w:val="en-US" w:eastAsia="en-US"/>
              </w:rPr>
              <w:t>2</w:t>
            </w:r>
          </w:p>
        </w:tc>
      </w:tr>
      <w:tr w:rsidR="00BB41F6" w:rsidRPr="00986F85" w14:paraId="52D783DB" w14:textId="77777777" w:rsidTr="0015414F">
        <w:trPr>
          <w:trHeight w:val="280"/>
        </w:trPr>
        <w:tc>
          <w:tcPr>
            <w:tcW w:w="0" w:type="auto"/>
            <w:tcBorders>
              <w:top w:val="single" w:sz="4" w:space="0" w:color="auto"/>
              <w:bottom w:val="single" w:sz="4" w:space="0" w:color="auto"/>
            </w:tcBorders>
            <w:shd w:val="clear" w:color="auto" w:fill="auto"/>
            <w:noWrap/>
            <w:vAlign w:val="center"/>
            <w:hideMark/>
          </w:tcPr>
          <w:p w14:paraId="08A5F301" w14:textId="77777777" w:rsidR="00BB41F6" w:rsidRPr="00986F85" w:rsidRDefault="00BB41F6" w:rsidP="0015414F">
            <w:pPr>
              <w:suppressAutoHyphens w:val="0"/>
              <w:spacing w:after="0" w:line="360" w:lineRule="auto"/>
              <w:rPr>
                <w:rFonts w:eastAsia="Times New Roman" w:cs="Times New Roman"/>
                <w:color w:val="000000"/>
                <w:sz w:val="22"/>
                <w:lang w:val="en-US" w:eastAsia="en-US"/>
              </w:rPr>
            </w:pPr>
            <w:r w:rsidRPr="00986F85">
              <w:rPr>
                <w:rFonts w:eastAsia="Times New Roman" w:cs="Times New Roman"/>
                <w:color w:val="000000"/>
                <w:sz w:val="22"/>
                <w:lang w:val="en-US" w:eastAsia="en-US"/>
              </w:rPr>
              <w:t>GOP-2.1.1-09/A</w:t>
            </w:r>
          </w:p>
        </w:tc>
        <w:tc>
          <w:tcPr>
            <w:tcW w:w="0" w:type="auto"/>
            <w:tcBorders>
              <w:top w:val="single" w:sz="4" w:space="0" w:color="auto"/>
              <w:bottom w:val="single" w:sz="4" w:space="0" w:color="auto"/>
            </w:tcBorders>
            <w:shd w:val="clear" w:color="auto" w:fill="auto"/>
            <w:noWrap/>
            <w:vAlign w:val="center"/>
            <w:hideMark/>
          </w:tcPr>
          <w:p w14:paraId="616826E8" w14:textId="77777777" w:rsidR="00BB41F6" w:rsidRPr="00986F85" w:rsidRDefault="00BB41F6" w:rsidP="0015414F">
            <w:pPr>
              <w:suppressAutoHyphens w:val="0"/>
              <w:spacing w:after="0" w:line="360" w:lineRule="auto"/>
              <w:jc w:val="center"/>
              <w:rPr>
                <w:rFonts w:eastAsia="Times New Roman" w:cs="Times New Roman"/>
                <w:color w:val="000000"/>
                <w:sz w:val="22"/>
                <w:lang w:val="en-US" w:eastAsia="en-US"/>
              </w:rPr>
            </w:pPr>
            <w:r w:rsidRPr="00986F85">
              <w:rPr>
                <w:rFonts w:eastAsia="Times New Roman" w:cs="Times New Roman"/>
                <w:color w:val="000000"/>
                <w:sz w:val="22"/>
                <w:lang w:val="en-US" w:eastAsia="en-US"/>
              </w:rPr>
              <w:t>896</w:t>
            </w:r>
          </w:p>
        </w:tc>
        <w:tc>
          <w:tcPr>
            <w:tcW w:w="0" w:type="auto"/>
            <w:tcBorders>
              <w:top w:val="single" w:sz="4" w:space="0" w:color="auto"/>
              <w:bottom w:val="single" w:sz="4" w:space="0" w:color="auto"/>
            </w:tcBorders>
            <w:shd w:val="clear" w:color="auto" w:fill="auto"/>
            <w:noWrap/>
            <w:vAlign w:val="center"/>
            <w:hideMark/>
          </w:tcPr>
          <w:p w14:paraId="73A97F4D" w14:textId="77777777" w:rsidR="00BB41F6" w:rsidRPr="00986F85" w:rsidRDefault="00BB41F6" w:rsidP="0015414F">
            <w:pPr>
              <w:suppressAutoHyphens w:val="0"/>
              <w:spacing w:after="0" w:line="360" w:lineRule="auto"/>
              <w:jc w:val="center"/>
              <w:rPr>
                <w:rFonts w:eastAsia="Times New Roman" w:cs="Times New Roman"/>
                <w:color w:val="000000"/>
                <w:sz w:val="22"/>
                <w:lang w:val="en-US" w:eastAsia="en-US"/>
              </w:rPr>
            </w:pPr>
            <w:r w:rsidRPr="00986F85">
              <w:rPr>
                <w:rFonts w:eastAsia="Times New Roman" w:cs="Times New Roman"/>
                <w:color w:val="000000"/>
                <w:sz w:val="22"/>
                <w:lang w:val="en-US" w:eastAsia="en-US"/>
              </w:rPr>
              <w:t>631</w:t>
            </w:r>
          </w:p>
        </w:tc>
        <w:tc>
          <w:tcPr>
            <w:tcW w:w="0" w:type="auto"/>
            <w:tcBorders>
              <w:top w:val="single" w:sz="4" w:space="0" w:color="auto"/>
              <w:bottom w:val="single" w:sz="4" w:space="0" w:color="auto"/>
            </w:tcBorders>
            <w:vAlign w:val="center"/>
          </w:tcPr>
          <w:p w14:paraId="488591D3" w14:textId="77777777" w:rsidR="00BB41F6" w:rsidRPr="00986F85" w:rsidRDefault="00BB41F6" w:rsidP="0015414F">
            <w:pPr>
              <w:suppressAutoHyphens w:val="0"/>
              <w:spacing w:after="0" w:line="360" w:lineRule="auto"/>
              <w:jc w:val="center"/>
              <w:rPr>
                <w:rFonts w:eastAsia="Times New Roman" w:cs="Times New Roman"/>
                <w:color w:val="000000"/>
                <w:sz w:val="22"/>
                <w:lang w:val="en-US" w:eastAsia="en-US"/>
              </w:rPr>
            </w:pPr>
            <w:r w:rsidRPr="00986F85">
              <w:rPr>
                <w:rFonts w:eastAsia="Times New Roman" w:cs="Times New Roman"/>
                <w:color w:val="000000"/>
                <w:sz w:val="22"/>
                <w:lang w:val="en-US" w:eastAsia="en-US"/>
              </w:rPr>
              <w:t>1275</w:t>
            </w:r>
          </w:p>
        </w:tc>
        <w:tc>
          <w:tcPr>
            <w:tcW w:w="0" w:type="auto"/>
            <w:tcBorders>
              <w:top w:val="single" w:sz="4" w:space="0" w:color="auto"/>
              <w:bottom w:val="single" w:sz="4" w:space="0" w:color="auto"/>
            </w:tcBorders>
            <w:shd w:val="clear" w:color="auto" w:fill="auto"/>
            <w:noWrap/>
            <w:vAlign w:val="center"/>
            <w:hideMark/>
          </w:tcPr>
          <w:p w14:paraId="47383860" w14:textId="77777777" w:rsidR="00BB41F6" w:rsidRPr="00986F85" w:rsidRDefault="00BB41F6" w:rsidP="0015414F">
            <w:pPr>
              <w:suppressAutoHyphens w:val="0"/>
              <w:spacing w:after="0" w:line="360" w:lineRule="auto"/>
              <w:jc w:val="center"/>
              <w:rPr>
                <w:rFonts w:eastAsia="Times New Roman" w:cs="Times New Roman"/>
                <w:color w:val="000000"/>
                <w:sz w:val="22"/>
                <w:lang w:val="en-US" w:eastAsia="en-US"/>
              </w:rPr>
            </w:pPr>
            <w:r w:rsidRPr="00986F85">
              <w:rPr>
                <w:rFonts w:eastAsia="Times New Roman" w:cs="Times New Roman"/>
                <w:color w:val="000000"/>
                <w:sz w:val="22"/>
                <w:lang w:val="en-US" w:eastAsia="en-US"/>
              </w:rPr>
              <w:t>24</w:t>
            </w:r>
          </w:p>
        </w:tc>
      </w:tr>
      <w:tr w:rsidR="00BB41F6" w:rsidRPr="00986F85" w14:paraId="558B5B5D" w14:textId="77777777" w:rsidTr="0015414F">
        <w:trPr>
          <w:trHeight w:val="280"/>
        </w:trPr>
        <w:tc>
          <w:tcPr>
            <w:tcW w:w="0" w:type="auto"/>
            <w:tcBorders>
              <w:top w:val="single" w:sz="4" w:space="0" w:color="auto"/>
              <w:bottom w:val="single" w:sz="4" w:space="0" w:color="auto"/>
            </w:tcBorders>
            <w:shd w:val="clear" w:color="auto" w:fill="auto"/>
            <w:noWrap/>
            <w:vAlign w:val="center"/>
            <w:hideMark/>
          </w:tcPr>
          <w:p w14:paraId="30EA3F40" w14:textId="77777777" w:rsidR="00BB41F6" w:rsidRPr="00986F85" w:rsidRDefault="00BB41F6" w:rsidP="0015414F">
            <w:pPr>
              <w:suppressAutoHyphens w:val="0"/>
              <w:spacing w:after="0" w:line="360" w:lineRule="auto"/>
              <w:rPr>
                <w:rFonts w:eastAsia="Times New Roman" w:cs="Times New Roman"/>
                <w:color w:val="000000"/>
                <w:sz w:val="22"/>
                <w:lang w:val="en-US" w:eastAsia="en-US"/>
              </w:rPr>
            </w:pPr>
            <w:r w:rsidRPr="00986F85">
              <w:rPr>
                <w:rFonts w:eastAsia="Times New Roman" w:cs="Times New Roman"/>
                <w:color w:val="000000"/>
                <w:sz w:val="22"/>
                <w:lang w:val="en-US" w:eastAsia="en-US"/>
              </w:rPr>
              <w:t>GOP-2.1.1-09/A/2</w:t>
            </w:r>
          </w:p>
        </w:tc>
        <w:tc>
          <w:tcPr>
            <w:tcW w:w="0" w:type="auto"/>
            <w:tcBorders>
              <w:top w:val="single" w:sz="4" w:space="0" w:color="auto"/>
              <w:bottom w:val="single" w:sz="4" w:space="0" w:color="auto"/>
            </w:tcBorders>
            <w:shd w:val="clear" w:color="auto" w:fill="auto"/>
            <w:noWrap/>
            <w:vAlign w:val="center"/>
            <w:hideMark/>
          </w:tcPr>
          <w:p w14:paraId="25895A29" w14:textId="77777777" w:rsidR="00BB41F6" w:rsidRPr="00986F85" w:rsidRDefault="00BB41F6" w:rsidP="0015414F">
            <w:pPr>
              <w:suppressAutoHyphens w:val="0"/>
              <w:spacing w:after="0" w:line="360" w:lineRule="auto"/>
              <w:jc w:val="center"/>
              <w:rPr>
                <w:rFonts w:eastAsia="Times New Roman" w:cs="Times New Roman"/>
                <w:color w:val="000000"/>
                <w:sz w:val="22"/>
                <w:lang w:val="en-US" w:eastAsia="en-US"/>
              </w:rPr>
            </w:pPr>
            <w:r w:rsidRPr="00986F85">
              <w:rPr>
                <w:rFonts w:eastAsia="Times New Roman" w:cs="Times New Roman"/>
                <w:color w:val="000000"/>
                <w:sz w:val="22"/>
                <w:lang w:val="en-US" w:eastAsia="en-US"/>
              </w:rPr>
              <w:t>515</w:t>
            </w:r>
          </w:p>
        </w:tc>
        <w:tc>
          <w:tcPr>
            <w:tcW w:w="0" w:type="auto"/>
            <w:tcBorders>
              <w:top w:val="single" w:sz="4" w:space="0" w:color="auto"/>
              <w:bottom w:val="single" w:sz="4" w:space="0" w:color="auto"/>
            </w:tcBorders>
            <w:shd w:val="clear" w:color="auto" w:fill="auto"/>
            <w:noWrap/>
            <w:vAlign w:val="center"/>
            <w:hideMark/>
          </w:tcPr>
          <w:p w14:paraId="21549D8E" w14:textId="77777777" w:rsidR="00BB41F6" w:rsidRPr="00986F85" w:rsidRDefault="00BB41F6" w:rsidP="0015414F">
            <w:pPr>
              <w:suppressAutoHyphens w:val="0"/>
              <w:spacing w:after="0" w:line="360" w:lineRule="auto"/>
              <w:jc w:val="center"/>
              <w:rPr>
                <w:rFonts w:eastAsia="Times New Roman" w:cs="Times New Roman"/>
                <w:color w:val="000000"/>
                <w:sz w:val="22"/>
                <w:lang w:val="en-US" w:eastAsia="en-US"/>
              </w:rPr>
            </w:pPr>
            <w:r w:rsidRPr="00986F85">
              <w:rPr>
                <w:rFonts w:eastAsia="Times New Roman" w:cs="Times New Roman"/>
                <w:color w:val="000000"/>
                <w:sz w:val="22"/>
                <w:lang w:val="en-US" w:eastAsia="en-US"/>
              </w:rPr>
              <w:t>365</w:t>
            </w:r>
          </w:p>
        </w:tc>
        <w:tc>
          <w:tcPr>
            <w:tcW w:w="0" w:type="auto"/>
            <w:tcBorders>
              <w:top w:val="single" w:sz="4" w:space="0" w:color="auto"/>
              <w:bottom w:val="single" w:sz="4" w:space="0" w:color="auto"/>
            </w:tcBorders>
            <w:vAlign w:val="center"/>
          </w:tcPr>
          <w:p w14:paraId="462D0F13" w14:textId="77777777" w:rsidR="00BB41F6" w:rsidRPr="00986F85" w:rsidRDefault="00BB41F6" w:rsidP="0015414F">
            <w:pPr>
              <w:suppressAutoHyphens w:val="0"/>
              <w:spacing w:after="0" w:line="360" w:lineRule="auto"/>
              <w:jc w:val="center"/>
              <w:rPr>
                <w:rFonts w:eastAsia="Times New Roman" w:cs="Times New Roman"/>
                <w:color w:val="000000"/>
                <w:sz w:val="22"/>
                <w:lang w:val="en-US" w:eastAsia="en-US"/>
              </w:rPr>
            </w:pPr>
            <w:r w:rsidRPr="00986F85">
              <w:rPr>
                <w:rFonts w:eastAsia="Times New Roman" w:cs="Times New Roman"/>
                <w:color w:val="000000"/>
                <w:sz w:val="22"/>
                <w:lang w:val="en-US" w:eastAsia="en-US"/>
              </w:rPr>
              <w:t>839</w:t>
            </w:r>
          </w:p>
        </w:tc>
        <w:tc>
          <w:tcPr>
            <w:tcW w:w="0" w:type="auto"/>
            <w:tcBorders>
              <w:top w:val="single" w:sz="4" w:space="0" w:color="auto"/>
              <w:bottom w:val="single" w:sz="4" w:space="0" w:color="auto"/>
            </w:tcBorders>
            <w:shd w:val="clear" w:color="auto" w:fill="auto"/>
            <w:noWrap/>
            <w:vAlign w:val="center"/>
            <w:hideMark/>
          </w:tcPr>
          <w:p w14:paraId="49A83879" w14:textId="77777777" w:rsidR="00BB41F6" w:rsidRPr="00986F85" w:rsidRDefault="00BB41F6" w:rsidP="0015414F">
            <w:pPr>
              <w:suppressAutoHyphens w:val="0"/>
              <w:spacing w:after="0" w:line="360" w:lineRule="auto"/>
              <w:jc w:val="center"/>
              <w:rPr>
                <w:rFonts w:eastAsia="Times New Roman" w:cs="Times New Roman"/>
                <w:color w:val="000000"/>
                <w:sz w:val="22"/>
                <w:lang w:val="en-US" w:eastAsia="en-US"/>
              </w:rPr>
            </w:pPr>
            <w:r w:rsidRPr="00986F85">
              <w:rPr>
                <w:rFonts w:eastAsia="Times New Roman" w:cs="Times New Roman"/>
                <w:color w:val="000000"/>
                <w:sz w:val="22"/>
                <w:lang w:val="en-US" w:eastAsia="en-US"/>
              </w:rPr>
              <w:t>19</w:t>
            </w:r>
          </w:p>
        </w:tc>
      </w:tr>
      <w:tr w:rsidR="00BB41F6" w:rsidRPr="00986F85" w14:paraId="62AFC6C4" w14:textId="77777777" w:rsidTr="0015414F">
        <w:trPr>
          <w:trHeight w:val="280"/>
        </w:trPr>
        <w:tc>
          <w:tcPr>
            <w:tcW w:w="0" w:type="auto"/>
            <w:tcBorders>
              <w:top w:val="single" w:sz="4" w:space="0" w:color="auto"/>
              <w:bottom w:val="single" w:sz="4" w:space="0" w:color="auto"/>
            </w:tcBorders>
            <w:shd w:val="clear" w:color="auto" w:fill="auto"/>
            <w:noWrap/>
            <w:vAlign w:val="center"/>
            <w:hideMark/>
          </w:tcPr>
          <w:p w14:paraId="5E3CDDB8" w14:textId="77777777" w:rsidR="00BB41F6" w:rsidRPr="00986F85" w:rsidRDefault="00BB41F6" w:rsidP="0015414F">
            <w:pPr>
              <w:suppressAutoHyphens w:val="0"/>
              <w:spacing w:after="0" w:line="360" w:lineRule="auto"/>
              <w:rPr>
                <w:rFonts w:eastAsia="Times New Roman" w:cs="Times New Roman"/>
                <w:color w:val="000000"/>
                <w:sz w:val="22"/>
                <w:lang w:val="en-US" w:eastAsia="en-US"/>
              </w:rPr>
            </w:pPr>
            <w:r w:rsidRPr="00986F85">
              <w:rPr>
                <w:rFonts w:eastAsia="Times New Roman" w:cs="Times New Roman"/>
                <w:color w:val="000000"/>
                <w:sz w:val="22"/>
                <w:lang w:val="en-US" w:eastAsia="en-US"/>
              </w:rPr>
              <w:t>GOP-2.1.1-10/A</w:t>
            </w:r>
          </w:p>
        </w:tc>
        <w:tc>
          <w:tcPr>
            <w:tcW w:w="0" w:type="auto"/>
            <w:tcBorders>
              <w:top w:val="single" w:sz="4" w:space="0" w:color="auto"/>
              <w:bottom w:val="single" w:sz="4" w:space="0" w:color="auto"/>
            </w:tcBorders>
            <w:shd w:val="clear" w:color="auto" w:fill="auto"/>
            <w:noWrap/>
            <w:vAlign w:val="center"/>
            <w:hideMark/>
          </w:tcPr>
          <w:p w14:paraId="6012BB00" w14:textId="77777777" w:rsidR="00BB41F6" w:rsidRPr="00986F85" w:rsidRDefault="00BB41F6" w:rsidP="0015414F">
            <w:pPr>
              <w:suppressAutoHyphens w:val="0"/>
              <w:spacing w:after="0" w:line="360" w:lineRule="auto"/>
              <w:jc w:val="center"/>
              <w:rPr>
                <w:rFonts w:eastAsia="Times New Roman" w:cs="Times New Roman"/>
                <w:color w:val="000000"/>
                <w:sz w:val="22"/>
                <w:lang w:val="en-US" w:eastAsia="en-US"/>
              </w:rPr>
            </w:pPr>
            <w:r w:rsidRPr="00986F85">
              <w:rPr>
                <w:rFonts w:eastAsia="Times New Roman" w:cs="Times New Roman"/>
                <w:color w:val="000000"/>
                <w:sz w:val="22"/>
                <w:lang w:val="en-US" w:eastAsia="en-US"/>
              </w:rPr>
              <w:t>395</w:t>
            </w:r>
          </w:p>
        </w:tc>
        <w:tc>
          <w:tcPr>
            <w:tcW w:w="0" w:type="auto"/>
            <w:tcBorders>
              <w:top w:val="single" w:sz="4" w:space="0" w:color="auto"/>
              <w:bottom w:val="single" w:sz="4" w:space="0" w:color="auto"/>
            </w:tcBorders>
            <w:shd w:val="clear" w:color="auto" w:fill="auto"/>
            <w:noWrap/>
            <w:vAlign w:val="center"/>
            <w:hideMark/>
          </w:tcPr>
          <w:p w14:paraId="499CE310" w14:textId="77777777" w:rsidR="00BB41F6" w:rsidRPr="00986F85" w:rsidRDefault="00BB41F6" w:rsidP="0015414F">
            <w:pPr>
              <w:suppressAutoHyphens w:val="0"/>
              <w:spacing w:after="0" w:line="360" w:lineRule="auto"/>
              <w:jc w:val="center"/>
              <w:rPr>
                <w:rFonts w:eastAsia="Times New Roman" w:cs="Times New Roman"/>
                <w:color w:val="000000"/>
                <w:sz w:val="22"/>
                <w:lang w:val="en-US" w:eastAsia="en-US"/>
              </w:rPr>
            </w:pPr>
            <w:r w:rsidRPr="00986F85">
              <w:rPr>
                <w:rFonts w:eastAsia="Times New Roman" w:cs="Times New Roman"/>
                <w:color w:val="000000"/>
                <w:sz w:val="22"/>
                <w:lang w:val="en-US" w:eastAsia="en-US"/>
              </w:rPr>
              <w:t>305</w:t>
            </w:r>
          </w:p>
        </w:tc>
        <w:tc>
          <w:tcPr>
            <w:tcW w:w="0" w:type="auto"/>
            <w:tcBorders>
              <w:top w:val="single" w:sz="4" w:space="0" w:color="auto"/>
              <w:bottom w:val="single" w:sz="4" w:space="0" w:color="auto"/>
            </w:tcBorders>
            <w:vAlign w:val="center"/>
          </w:tcPr>
          <w:p w14:paraId="22BFC484" w14:textId="77777777" w:rsidR="00BB41F6" w:rsidRPr="00986F85" w:rsidRDefault="00BB41F6" w:rsidP="0015414F">
            <w:pPr>
              <w:suppressAutoHyphens w:val="0"/>
              <w:spacing w:after="0" w:line="360" w:lineRule="auto"/>
              <w:jc w:val="center"/>
              <w:rPr>
                <w:rFonts w:eastAsia="Times New Roman" w:cs="Times New Roman"/>
                <w:color w:val="000000"/>
                <w:sz w:val="22"/>
                <w:lang w:val="en-US" w:eastAsia="en-US"/>
              </w:rPr>
            </w:pPr>
            <w:r w:rsidRPr="00986F85">
              <w:rPr>
                <w:rFonts w:eastAsia="Times New Roman" w:cs="Times New Roman"/>
                <w:color w:val="000000"/>
                <w:sz w:val="22"/>
                <w:lang w:val="en-US" w:eastAsia="en-US"/>
              </w:rPr>
              <w:t>547</w:t>
            </w:r>
          </w:p>
        </w:tc>
        <w:tc>
          <w:tcPr>
            <w:tcW w:w="0" w:type="auto"/>
            <w:tcBorders>
              <w:top w:val="single" w:sz="4" w:space="0" w:color="auto"/>
              <w:bottom w:val="single" w:sz="4" w:space="0" w:color="auto"/>
            </w:tcBorders>
            <w:shd w:val="clear" w:color="auto" w:fill="auto"/>
            <w:noWrap/>
            <w:vAlign w:val="center"/>
            <w:hideMark/>
          </w:tcPr>
          <w:p w14:paraId="31E2BE6A" w14:textId="77777777" w:rsidR="00BB41F6" w:rsidRPr="00986F85" w:rsidRDefault="00BB41F6" w:rsidP="0015414F">
            <w:pPr>
              <w:suppressAutoHyphens w:val="0"/>
              <w:spacing w:after="0" w:line="360" w:lineRule="auto"/>
              <w:jc w:val="center"/>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r>
      <w:tr w:rsidR="00BB41F6" w:rsidRPr="00986F85" w14:paraId="5EEA9C0C" w14:textId="77777777" w:rsidTr="0015414F">
        <w:trPr>
          <w:trHeight w:val="280"/>
        </w:trPr>
        <w:tc>
          <w:tcPr>
            <w:tcW w:w="0" w:type="auto"/>
            <w:tcBorders>
              <w:top w:val="single" w:sz="4" w:space="0" w:color="auto"/>
              <w:bottom w:val="single" w:sz="4" w:space="0" w:color="auto"/>
            </w:tcBorders>
            <w:shd w:val="clear" w:color="auto" w:fill="auto"/>
            <w:noWrap/>
            <w:vAlign w:val="center"/>
            <w:hideMark/>
          </w:tcPr>
          <w:p w14:paraId="0C693A61" w14:textId="77777777" w:rsidR="00BB41F6" w:rsidRPr="00986F85" w:rsidRDefault="00BB41F6" w:rsidP="0015414F">
            <w:pPr>
              <w:suppressAutoHyphens w:val="0"/>
              <w:spacing w:after="0" w:line="360" w:lineRule="auto"/>
              <w:rPr>
                <w:rFonts w:eastAsia="Times New Roman" w:cs="Times New Roman"/>
                <w:color w:val="000000"/>
                <w:sz w:val="22"/>
                <w:lang w:val="en-US" w:eastAsia="en-US"/>
              </w:rPr>
            </w:pPr>
            <w:r w:rsidRPr="00986F85">
              <w:rPr>
                <w:rFonts w:eastAsia="Times New Roman" w:cs="Times New Roman"/>
                <w:color w:val="000000"/>
                <w:sz w:val="22"/>
                <w:lang w:val="en-US" w:eastAsia="en-US"/>
              </w:rPr>
              <w:t>GOP-2.1.1-11/A</w:t>
            </w:r>
          </w:p>
        </w:tc>
        <w:tc>
          <w:tcPr>
            <w:tcW w:w="0" w:type="auto"/>
            <w:tcBorders>
              <w:top w:val="single" w:sz="4" w:space="0" w:color="auto"/>
              <w:bottom w:val="single" w:sz="4" w:space="0" w:color="auto"/>
            </w:tcBorders>
            <w:shd w:val="clear" w:color="auto" w:fill="auto"/>
            <w:noWrap/>
            <w:vAlign w:val="center"/>
            <w:hideMark/>
          </w:tcPr>
          <w:p w14:paraId="3BF1414D" w14:textId="77777777" w:rsidR="00BB41F6" w:rsidRPr="00986F85" w:rsidRDefault="00BB41F6" w:rsidP="0015414F">
            <w:pPr>
              <w:suppressAutoHyphens w:val="0"/>
              <w:spacing w:after="0" w:line="360" w:lineRule="auto"/>
              <w:jc w:val="center"/>
              <w:rPr>
                <w:rFonts w:eastAsia="Times New Roman" w:cs="Times New Roman"/>
                <w:color w:val="000000"/>
                <w:sz w:val="22"/>
                <w:lang w:val="en-US" w:eastAsia="en-US"/>
              </w:rPr>
            </w:pPr>
            <w:r w:rsidRPr="00986F85">
              <w:rPr>
                <w:rFonts w:eastAsia="Times New Roman" w:cs="Times New Roman"/>
                <w:color w:val="000000"/>
                <w:sz w:val="22"/>
                <w:lang w:val="en-US" w:eastAsia="en-US"/>
              </w:rPr>
              <w:t>810</w:t>
            </w:r>
          </w:p>
        </w:tc>
        <w:tc>
          <w:tcPr>
            <w:tcW w:w="0" w:type="auto"/>
            <w:tcBorders>
              <w:top w:val="single" w:sz="4" w:space="0" w:color="auto"/>
              <w:bottom w:val="single" w:sz="4" w:space="0" w:color="auto"/>
            </w:tcBorders>
            <w:shd w:val="clear" w:color="auto" w:fill="auto"/>
            <w:noWrap/>
            <w:vAlign w:val="center"/>
            <w:hideMark/>
          </w:tcPr>
          <w:p w14:paraId="31630B4E" w14:textId="77777777" w:rsidR="00BB41F6" w:rsidRPr="00986F85" w:rsidRDefault="00BB41F6" w:rsidP="0015414F">
            <w:pPr>
              <w:suppressAutoHyphens w:val="0"/>
              <w:spacing w:after="0" w:line="360" w:lineRule="auto"/>
              <w:jc w:val="center"/>
              <w:rPr>
                <w:rFonts w:eastAsia="Times New Roman" w:cs="Times New Roman"/>
                <w:color w:val="000000"/>
                <w:sz w:val="22"/>
                <w:lang w:val="en-US" w:eastAsia="en-US"/>
              </w:rPr>
            </w:pPr>
            <w:r w:rsidRPr="00986F85">
              <w:rPr>
                <w:rFonts w:eastAsia="Times New Roman" w:cs="Times New Roman"/>
                <w:color w:val="000000"/>
                <w:sz w:val="22"/>
                <w:lang w:val="en-US" w:eastAsia="en-US"/>
              </w:rPr>
              <w:t>566</w:t>
            </w:r>
          </w:p>
        </w:tc>
        <w:tc>
          <w:tcPr>
            <w:tcW w:w="0" w:type="auto"/>
            <w:tcBorders>
              <w:top w:val="single" w:sz="4" w:space="0" w:color="auto"/>
              <w:bottom w:val="single" w:sz="4" w:space="0" w:color="auto"/>
            </w:tcBorders>
            <w:vAlign w:val="center"/>
          </w:tcPr>
          <w:p w14:paraId="3FB56B21" w14:textId="77777777" w:rsidR="00BB41F6" w:rsidRPr="00986F85" w:rsidRDefault="00BB41F6" w:rsidP="0015414F">
            <w:pPr>
              <w:suppressAutoHyphens w:val="0"/>
              <w:spacing w:after="0" w:line="360" w:lineRule="auto"/>
              <w:jc w:val="center"/>
              <w:rPr>
                <w:rFonts w:eastAsia="Times New Roman" w:cs="Times New Roman"/>
                <w:color w:val="000000"/>
                <w:sz w:val="22"/>
                <w:lang w:val="en-US" w:eastAsia="en-US"/>
              </w:rPr>
            </w:pPr>
            <w:r w:rsidRPr="00986F85">
              <w:rPr>
                <w:rFonts w:eastAsia="Times New Roman" w:cs="Times New Roman"/>
                <w:color w:val="000000"/>
                <w:sz w:val="22"/>
                <w:lang w:val="en-US" w:eastAsia="en-US"/>
              </w:rPr>
              <w:t>955</w:t>
            </w:r>
          </w:p>
        </w:tc>
        <w:tc>
          <w:tcPr>
            <w:tcW w:w="0" w:type="auto"/>
            <w:tcBorders>
              <w:top w:val="single" w:sz="4" w:space="0" w:color="auto"/>
              <w:bottom w:val="single" w:sz="4" w:space="0" w:color="auto"/>
            </w:tcBorders>
            <w:shd w:val="clear" w:color="auto" w:fill="auto"/>
            <w:noWrap/>
            <w:vAlign w:val="center"/>
            <w:hideMark/>
          </w:tcPr>
          <w:p w14:paraId="2DDBA8E1" w14:textId="77777777" w:rsidR="00BB41F6" w:rsidRPr="00986F85" w:rsidRDefault="00BB41F6" w:rsidP="0015414F">
            <w:pPr>
              <w:suppressAutoHyphens w:val="0"/>
              <w:spacing w:after="0" w:line="360" w:lineRule="auto"/>
              <w:jc w:val="center"/>
              <w:rPr>
                <w:rFonts w:eastAsia="Times New Roman" w:cs="Times New Roman"/>
                <w:color w:val="000000"/>
                <w:sz w:val="22"/>
                <w:lang w:val="en-US" w:eastAsia="en-US"/>
              </w:rPr>
            </w:pPr>
            <w:r w:rsidRPr="00986F85">
              <w:rPr>
                <w:rFonts w:eastAsia="Times New Roman" w:cs="Times New Roman"/>
                <w:color w:val="000000"/>
                <w:sz w:val="22"/>
                <w:lang w:val="en-US" w:eastAsia="en-US"/>
              </w:rPr>
              <w:t>21</w:t>
            </w:r>
          </w:p>
        </w:tc>
      </w:tr>
      <w:tr w:rsidR="00BB41F6" w:rsidRPr="00986F85" w14:paraId="25150CCC" w14:textId="77777777" w:rsidTr="0015414F">
        <w:trPr>
          <w:trHeight w:val="280"/>
        </w:trPr>
        <w:tc>
          <w:tcPr>
            <w:tcW w:w="0" w:type="auto"/>
            <w:tcBorders>
              <w:top w:val="single" w:sz="4" w:space="0" w:color="auto"/>
              <w:bottom w:val="single" w:sz="4" w:space="0" w:color="auto"/>
            </w:tcBorders>
            <w:shd w:val="clear" w:color="auto" w:fill="auto"/>
            <w:noWrap/>
            <w:vAlign w:val="center"/>
            <w:hideMark/>
          </w:tcPr>
          <w:p w14:paraId="6971702B" w14:textId="77777777" w:rsidR="00BB41F6" w:rsidRPr="00986F85" w:rsidRDefault="00BB41F6" w:rsidP="0015414F">
            <w:pPr>
              <w:suppressAutoHyphens w:val="0"/>
              <w:spacing w:after="0" w:line="360" w:lineRule="auto"/>
              <w:rPr>
                <w:rFonts w:eastAsia="Times New Roman" w:cs="Times New Roman"/>
                <w:color w:val="000000"/>
                <w:sz w:val="22"/>
                <w:lang w:val="en-US" w:eastAsia="en-US"/>
              </w:rPr>
            </w:pPr>
            <w:r w:rsidRPr="00986F85">
              <w:rPr>
                <w:rFonts w:eastAsia="Times New Roman" w:cs="Times New Roman"/>
                <w:color w:val="000000"/>
                <w:sz w:val="22"/>
                <w:lang w:val="en-US" w:eastAsia="en-US"/>
              </w:rPr>
              <w:t>GOP211/B,C</w:t>
            </w:r>
          </w:p>
        </w:tc>
        <w:tc>
          <w:tcPr>
            <w:tcW w:w="0" w:type="auto"/>
            <w:tcBorders>
              <w:top w:val="single" w:sz="4" w:space="0" w:color="auto"/>
              <w:bottom w:val="single" w:sz="4" w:space="0" w:color="auto"/>
            </w:tcBorders>
            <w:shd w:val="clear" w:color="auto" w:fill="auto"/>
            <w:noWrap/>
            <w:vAlign w:val="center"/>
            <w:hideMark/>
          </w:tcPr>
          <w:p w14:paraId="3FE90C78" w14:textId="77777777" w:rsidR="00BB41F6" w:rsidRPr="00986F85" w:rsidRDefault="00BB41F6" w:rsidP="0015414F">
            <w:pPr>
              <w:suppressAutoHyphens w:val="0"/>
              <w:spacing w:after="0" w:line="360" w:lineRule="auto"/>
              <w:jc w:val="center"/>
              <w:rPr>
                <w:rFonts w:eastAsia="Times New Roman" w:cs="Times New Roman"/>
                <w:color w:val="000000"/>
                <w:sz w:val="22"/>
                <w:lang w:val="en-US" w:eastAsia="en-US"/>
              </w:rPr>
            </w:pPr>
            <w:r w:rsidRPr="00986F85">
              <w:rPr>
                <w:rFonts w:eastAsia="Times New Roman" w:cs="Times New Roman"/>
                <w:color w:val="000000"/>
                <w:sz w:val="22"/>
                <w:lang w:val="en-US" w:eastAsia="en-US"/>
              </w:rPr>
              <w:t>244</w:t>
            </w:r>
          </w:p>
        </w:tc>
        <w:tc>
          <w:tcPr>
            <w:tcW w:w="0" w:type="auto"/>
            <w:tcBorders>
              <w:top w:val="single" w:sz="4" w:space="0" w:color="auto"/>
              <w:bottom w:val="single" w:sz="4" w:space="0" w:color="auto"/>
            </w:tcBorders>
            <w:shd w:val="clear" w:color="auto" w:fill="auto"/>
            <w:noWrap/>
            <w:vAlign w:val="center"/>
            <w:hideMark/>
          </w:tcPr>
          <w:p w14:paraId="6A90322E" w14:textId="77777777" w:rsidR="00BB41F6" w:rsidRPr="00986F85" w:rsidRDefault="00BB41F6" w:rsidP="0015414F">
            <w:pPr>
              <w:suppressAutoHyphens w:val="0"/>
              <w:spacing w:after="0" w:line="360" w:lineRule="auto"/>
              <w:jc w:val="center"/>
              <w:rPr>
                <w:rFonts w:eastAsia="Times New Roman" w:cs="Times New Roman"/>
                <w:color w:val="000000"/>
                <w:sz w:val="22"/>
                <w:lang w:val="en-US" w:eastAsia="en-US"/>
              </w:rPr>
            </w:pPr>
            <w:r w:rsidRPr="00986F85">
              <w:rPr>
                <w:rFonts w:eastAsia="Times New Roman" w:cs="Times New Roman"/>
                <w:color w:val="000000"/>
                <w:sz w:val="22"/>
                <w:lang w:val="en-US" w:eastAsia="en-US"/>
              </w:rPr>
              <w:t>141</w:t>
            </w:r>
          </w:p>
        </w:tc>
        <w:tc>
          <w:tcPr>
            <w:tcW w:w="0" w:type="auto"/>
            <w:tcBorders>
              <w:top w:val="single" w:sz="4" w:space="0" w:color="auto"/>
              <w:bottom w:val="single" w:sz="4" w:space="0" w:color="auto"/>
            </w:tcBorders>
            <w:vAlign w:val="center"/>
          </w:tcPr>
          <w:p w14:paraId="38E1FFB4" w14:textId="77777777" w:rsidR="00BB41F6" w:rsidRPr="00986F85" w:rsidRDefault="00BB41F6" w:rsidP="0015414F">
            <w:pPr>
              <w:suppressAutoHyphens w:val="0"/>
              <w:spacing w:after="0" w:line="360" w:lineRule="auto"/>
              <w:jc w:val="center"/>
              <w:rPr>
                <w:rFonts w:eastAsia="Times New Roman" w:cs="Times New Roman"/>
                <w:color w:val="000000"/>
                <w:sz w:val="22"/>
                <w:lang w:val="en-US" w:eastAsia="en-US"/>
              </w:rPr>
            </w:pPr>
            <w:r w:rsidRPr="00986F85">
              <w:rPr>
                <w:rFonts w:eastAsia="Times New Roman" w:cs="Times New Roman"/>
                <w:color w:val="000000"/>
                <w:sz w:val="22"/>
                <w:lang w:val="en-US" w:eastAsia="en-US"/>
              </w:rPr>
              <w:t>519</w:t>
            </w:r>
          </w:p>
        </w:tc>
        <w:tc>
          <w:tcPr>
            <w:tcW w:w="0" w:type="auto"/>
            <w:tcBorders>
              <w:top w:val="single" w:sz="4" w:space="0" w:color="auto"/>
              <w:bottom w:val="single" w:sz="4" w:space="0" w:color="auto"/>
            </w:tcBorders>
            <w:shd w:val="clear" w:color="auto" w:fill="auto"/>
            <w:noWrap/>
            <w:vAlign w:val="center"/>
            <w:hideMark/>
          </w:tcPr>
          <w:p w14:paraId="511B72EF" w14:textId="77777777" w:rsidR="00BB41F6" w:rsidRPr="00986F85" w:rsidRDefault="00BB41F6" w:rsidP="0015414F">
            <w:pPr>
              <w:suppressAutoHyphens w:val="0"/>
              <w:spacing w:after="0" w:line="360" w:lineRule="auto"/>
              <w:jc w:val="center"/>
              <w:rPr>
                <w:rFonts w:eastAsia="Times New Roman" w:cs="Times New Roman"/>
                <w:color w:val="000000"/>
                <w:sz w:val="22"/>
                <w:lang w:val="en-US" w:eastAsia="en-US"/>
              </w:rPr>
            </w:pPr>
            <w:r w:rsidRPr="00986F85">
              <w:rPr>
                <w:rFonts w:eastAsia="Times New Roman" w:cs="Times New Roman"/>
                <w:color w:val="000000"/>
                <w:sz w:val="22"/>
                <w:lang w:val="en-US" w:eastAsia="en-US"/>
              </w:rPr>
              <w:t>34</w:t>
            </w:r>
          </w:p>
        </w:tc>
      </w:tr>
      <w:tr w:rsidR="00BB41F6" w:rsidRPr="00986F85" w14:paraId="247B5CA2" w14:textId="77777777" w:rsidTr="0015414F">
        <w:trPr>
          <w:trHeight w:val="280"/>
        </w:trPr>
        <w:tc>
          <w:tcPr>
            <w:tcW w:w="0" w:type="auto"/>
            <w:tcBorders>
              <w:top w:val="single" w:sz="4" w:space="0" w:color="auto"/>
              <w:bottom w:val="single" w:sz="4" w:space="0" w:color="auto"/>
            </w:tcBorders>
            <w:shd w:val="clear" w:color="auto" w:fill="auto"/>
            <w:noWrap/>
            <w:vAlign w:val="center"/>
            <w:hideMark/>
          </w:tcPr>
          <w:p w14:paraId="3398BD03" w14:textId="77777777" w:rsidR="00BB41F6" w:rsidRPr="00986F85" w:rsidRDefault="00BB41F6" w:rsidP="0015414F">
            <w:pPr>
              <w:suppressAutoHyphens w:val="0"/>
              <w:spacing w:after="0" w:line="360" w:lineRule="auto"/>
              <w:rPr>
                <w:rFonts w:eastAsia="Times New Roman" w:cs="Times New Roman"/>
                <w:color w:val="000000"/>
                <w:sz w:val="22"/>
                <w:lang w:val="en-US" w:eastAsia="en-US"/>
              </w:rPr>
            </w:pPr>
            <w:r w:rsidRPr="00986F85">
              <w:rPr>
                <w:rFonts w:eastAsia="Times New Roman" w:cs="Times New Roman"/>
                <w:color w:val="000000"/>
                <w:sz w:val="22"/>
                <w:lang w:val="en-US" w:eastAsia="en-US"/>
              </w:rPr>
              <w:t>GOP-2.1.1-11/M</w:t>
            </w:r>
          </w:p>
        </w:tc>
        <w:tc>
          <w:tcPr>
            <w:tcW w:w="0" w:type="auto"/>
            <w:tcBorders>
              <w:top w:val="single" w:sz="4" w:space="0" w:color="auto"/>
              <w:bottom w:val="single" w:sz="4" w:space="0" w:color="auto"/>
            </w:tcBorders>
            <w:shd w:val="clear" w:color="auto" w:fill="auto"/>
            <w:noWrap/>
            <w:vAlign w:val="center"/>
            <w:hideMark/>
          </w:tcPr>
          <w:p w14:paraId="0597D9D6" w14:textId="77777777" w:rsidR="00BB41F6" w:rsidRPr="00986F85" w:rsidRDefault="00BB41F6" w:rsidP="0015414F">
            <w:pPr>
              <w:suppressAutoHyphens w:val="0"/>
              <w:spacing w:after="0" w:line="360" w:lineRule="auto"/>
              <w:jc w:val="center"/>
              <w:rPr>
                <w:rFonts w:eastAsia="Times New Roman" w:cs="Times New Roman"/>
                <w:color w:val="000000"/>
                <w:sz w:val="22"/>
                <w:lang w:val="en-US" w:eastAsia="en-US"/>
              </w:rPr>
            </w:pPr>
            <w:r w:rsidRPr="00986F85">
              <w:rPr>
                <w:rFonts w:eastAsia="Times New Roman" w:cs="Times New Roman"/>
                <w:color w:val="000000"/>
                <w:sz w:val="22"/>
                <w:lang w:val="en-US" w:eastAsia="en-US"/>
              </w:rPr>
              <w:t>566</w:t>
            </w:r>
          </w:p>
        </w:tc>
        <w:tc>
          <w:tcPr>
            <w:tcW w:w="0" w:type="auto"/>
            <w:tcBorders>
              <w:top w:val="single" w:sz="4" w:space="0" w:color="auto"/>
              <w:bottom w:val="single" w:sz="4" w:space="0" w:color="auto"/>
            </w:tcBorders>
            <w:shd w:val="clear" w:color="auto" w:fill="auto"/>
            <w:noWrap/>
            <w:vAlign w:val="center"/>
            <w:hideMark/>
          </w:tcPr>
          <w:p w14:paraId="2D8C8DA2" w14:textId="77777777" w:rsidR="00BB41F6" w:rsidRPr="00986F85" w:rsidRDefault="00BB41F6" w:rsidP="0015414F">
            <w:pPr>
              <w:suppressAutoHyphens w:val="0"/>
              <w:spacing w:after="0" w:line="360" w:lineRule="auto"/>
              <w:jc w:val="center"/>
              <w:rPr>
                <w:rFonts w:eastAsia="Times New Roman" w:cs="Times New Roman"/>
                <w:color w:val="000000"/>
                <w:sz w:val="22"/>
                <w:lang w:val="en-US" w:eastAsia="en-US"/>
              </w:rPr>
            </w:pPr>
            <w:r w:rsidRPr="00986F85">
              <w:rPr>
                <w:rFonts w:eastAsia="Times New Roman" w:cs="Times New Roman"/>
                <w:color w:val="000000"/>
                <w:sz w:val="22"/>
                <w:lang w:val="en-US" w:eastAsia="en-US"/>
              </w:rPr>
              <w:t>52</w:t>
            </w:r>
          </w:p>
        </w:tc>
        <w:tc>
          <w:tcPr>
            <w:tcW w:w="0" w:type="auto"/>
            <w:tcBorders>
              <w:top w:val="single" w:sz="4" w:space="0" w:color="auto"/>
              <w:bottom w:val="single" w:sz="4" w:space="0" w:color="auto"/>
            </w:tcBorders>
            <w:vAlign w:val="center"/>
          </w:tcPr>
          <w:p w14:paraId="04223DBF" w14:textId="77777777" w:rsidR="00BB41F6" w:rsidRPr="00986F85" w:rsidRDefault="00BB41F6" w:rsidP="0015414F">
            <w:pPr>
              <w:suppressAutoHyphens w:val="0"/>
              <w:spacing w:after="0" w:line="360" w:lineRule="auto"/>
              <w:jc w:val="center"/>
              <w:rPr>
                <w:rFonts w:eastAsia="Times New Roman" w:cs="Times New Roman"/>
                <w:color w:val="000000"/>
                <w:sz w:val="22"/>
                <w:lang w:val="en-US" w:eastAsia="en-US"/>
              </w:rPr>
            </w:pPr>
            <w:r w:rsidRPr="00986F85">
              <w:rPr>
                <w:rFonts w:eastAsia="Times New Roman" w:cs="Times New Roman"/>
                <w:color w:val="000000"/>
                <w:sz w:val="22"/>
                <w:lang w:val="en-US" w:eastAsia="en-US"/>
              </w:rPr>
              <w:t>589</w:t>
            </w:r>
          </w:p>
        </w:tc>
        <w:tc>
          <w:tcPr>
            <w:tcW w:w="0" w:type="auto"/>
            <w:tcBorders>
              <w:top w:val="single" w:sz="4" w:space="0" w:color="auto"/>
              <w:bottom w:val="single" w:sz="4" w:space="0" w:color="auto"/>
            </w:tcBorders>
            <w:shd w:val="clear" w:color="auto" w:fill="auto"/>
            <w:noWrap/>
            <w:vAlign w:val="center"/>
            <w:hideMark/>
          </w:tcPr>
          <w:p w14:paraId="30A77D36" w14:textId="77777777" w:rsidR="00BB41F6" w:rsidRPr="00986F85" w:rsidRDefault="00BB41F6" w:rsidP="0015414F">
            <w:pPr>
              <w:suppressAutoHyphens w:val="0"/>
              <w:spacing w:after="0" w:line="360" w:lineRule="auto"/>
              <w:jc w:val="center"/>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r>
      <w:tr w:rsidR="00BB41F6" w:rsidRPr="00986F85" w14:paraId="2180B227" w14:textId="77777777" w:rsidTr="0015414F">
        <w:trPr>
          <w:trHeight w:val="280"/>
        </w:trPr>
        <w:tc>
          <w:tcPr>
            <w:tcW w:w="0" w:type="auto"/>
            <w:tcBorders>
              <w:top w:val="single" w:sz="4" w:space="0" w:color="auto"/>
              <w:bottom w:val="single" w:sz="4" w:space="0" w:color="auto"/>
            </w:tcBorders>
            <w:shd w:val="clear" w:color="auto" w:fill="auto"/>
            <w:noWrap/>
            <w:vAlign w:val="center"/>
            <w:hideMark/>
          </w:tcPr>
          <w:p w14:paraId="2B9D686D" w14:textId="77777777" w:rsidR="00BB41F6" w:rsidRPr="00986F85" w:rsidRDefault="00BB41F6" w:rsidP="0015414F">
            <w:pPr>
              <w:suppressAutoHyphens w:val="0"/>
              <w:spacing w:after="0" w:line="360" w:lineRule="auto"/>
              <w:rPr>
                <w:rFonts w:eastAsia="Times New Roman" w:cs="Times New Roman"/>
                <w:color w:val="000000"/>
                <w:sz w:val="22"/>
                <w:lang w:val="en-US" w:eastAsia="en-US"/>
              </w:rPr>
            </w:pPr>
            <w:r w:rsidRPr="00986F85">
              <w:rPr>
                <w:rFonts w:eastAsia="Times New Roman" w:cs="Times New Roman"/>
                <w:color w:val="000000"/>
                <w:sz w:val="22"/>
                <w:lang w:val="en-US" w:eastAsia="en-US"/>
              </w:rPr>
              <w:t>KMOP-1.2.1</w:t>
            </w:r>
          </w:p>
        </w:tc>
        <w:tc>
          <w:tcPr>
            <w:tcW w:w="0" w:type="auto"/>
            <w:tcBorders>
              <w:top w:val="single" w:sz="4" w:space="0" w:color="auto"/>
              <w:bottom w:val="single" w:sz="4" w:space="0" w:color="auto"/>
            </w:tcBorders>
            <w:shd w:val="clear" w:color="auto" w:fill="auto"/>
            <w:noWrap/>
            <w:vAlign w:val="center"/>
            <w:hideMark/>
          </w:tcPr>
          <w:p w14:paraId="50BBF291" w14:textId="77777777" w:rsidR="00BB41F6" w:rsidRPr="00986F85" w:rsidRDefault="00BB41F6" w:rsidP="0015414F">
            <w:pPr>
              <w:suppressAutoHyphens w:val="0"/>
              <w:spacing w:after="0" w:line="360" w:lineRule="auto"/>
              <w:jc w:val="center"/>
              <w:rPr>
                <w:rFonts w:eastAsia="Times New Roman" w:cs="Times New Roman"/>
                <w:color w:val="000000"/>
                <w:sz w:val="22"/>
                <w:lang w:val="en-US" w:eastAsia="en-US"/>
              </w:rPr>
            </w:pPr>
            <w:r w:rsidRPr="00986F85">
              <w:rPr>
                <w:rFonts w:eastAsia="Times New Roman" w:cs="Times New Roman"/>
                <w:color w:val="000000"/>
                <w:sz w:val="22"/>
                <w:lang w:val="en-US" w:eastAsia="en-US"/>
              </w:rPr>
              <w:t>1253</w:t>
            </w:r>
          </w:p>
        </w:tc>
        <w:tc>
          <w:tcPr>
            <w:tcW w:w="0" w:type="auto"/>
            <w:tcBorders>
              <w:top w:val="single" w:sz="4" w:space="0" w:color="auto"/>
              <w:bottom w:val="single" w:sz="4" w:space="0" w:color="auto"/>
            </w:tcBorders>
            <w:shd w:val="clear" w:color="auto" w:fill="auto"/>
            <w:noWrap/>
            <w:vAlign w:val="center"/>
            <w:hideMark/>
          </w:tcPr>
          <w:p w14:paraId="55557DC4" w14:textId="77777777" w:rsidR="00BB41F6" w:rsidRPr="00986F85" w:rsidRDefault="00BB41F6" w:rsidP="0015414F">
            <w:pPr>
              <w:suppressAutoHyphens w:val="0"/>
              <w:spacing w:after="0" w:line="360" w:lineRule="auto"/>
              <w:jc w:val="center"/>
              <w:rPr>
                <w:rFonts w:eastAsia="Times New Roman" w:cs="Times New Roman"/>
                <w:color w:val="000000"/>
                <w:sz w:val="22"/>
                <w:lang w:val="en-US" w:eastAsia="en-US"/>
              </w:rPr>
            </w:pPr>
            <w:r w:rsidRPr="00986F85">
              <w:rPr>
                <w:rFonts w:eastAsia="Times New Roman" w:cs="Times New Roman"/>
                <w:color w:val="000000"/>
                <w:sz w:val="22"/>
                <w:lang w:val="en-US" w:eastAsia="en-US"/>
              </w:rPr>
              <w:t>773</w:t>
            </w:r>
          </w:p>
        </w:tc>
        <w:tc>
          <w:tcPr>
            <w:tcW w:w="0" w:type="auto"/>
            <w:tcBorders>
              <w:top w:val="single" w:sz="4" w:space="0" w:color="auto"/>
              <w:bottom w:val="single" w:sz="4" w:space="0" w:color="auto"/>
            </w:tcBorders>
            <w:vAlign w:val="center"/>
          </w:tcPr>
          <w:p w14:paraId="4BC6A0EB" w14:textId="77777777" w:rsidR="00BB41F6" w:rsidRPr="00986F85" w:rsidRDefault="00BB41F6" w:rsidP="0015414F">
            <w:pPr>
              <w:suppressAutoHyphens w:val="0"/>
              <w:spacing w:after="0" w:line="360" w:lineRule="auto"/>
              <w:jc w:val="center"/>
              <w:rPr>
                <w:rFonts w:eastAsia="Times New Roman" w:cs="Times New Roman"/>
                <w:color w:val="000000"/>
                <w:sz w:val="22"/>
                <w:lang w:val="en-US" w:eastAsia="en-US"/>
              </w:rPr>
            </w:pPr>
            <w:r w:rsidRPr="00986F85">
              <w:rPr>
                <w:rFonts w:eastAsia="Times New Roman" w:cs="Times New Roman"/>
                <w:color w:val="000000"/>
                <w:sz w:val="22"/>
                <w:lang w:val="en-US" w:eastAsia="en-US"/>
              </w:rPr>
              <w:t>1698</w:t>
            </w:r>
          </w:p>
        </w:tc>
        <w:tc>
          <w:tcPr>
            <w:tcW w:w="0" w:type="auto"/>
            <w:tcBorders>
              <w:top w:val="single" w:sz="4" w:space="0" w:color="auto"/>
              <w:bottom w:val="single" w:sz="4" w:space="0" w:color="auto"/>
            </w:tcBorders>
            <w:shd w:val="clear" w:color="auto" w:fill="auto"/>
            <w:noWrap/>
            <w:vAlign w:val="center"/>
            <w:hideMark/>
          </w:tcPr>
          <w:p w14:paraId="1E18339C" w14:textId="77777777" w:rsidR="00BB41F6" w:rsidRPr="00986F85" w:rsidRDefault="00BB41F6" w:rsidP="0015414F">
            <w:pPr>
              <w:suppressAutoHyphens w:val="0"/>
              <w:spacing w:after="0" w:line="360" w:lineRule="auto"/>
              <w:jc w:val="center"/>
              <w:rPr>
                <w:rFonts w:eastAsia="Times New Roman" w:cs="Times New Roman"/>
                <w:color w:val="000000"/>
                <w:sz w:val="22"/>
                <w:lang w:val="en-US" w:eastAsia="en-US"/>
              </w:rPr>
            </w:pPr>
            <w:r w:rsidRPr="00986F85">
              <w:rPr>
                <w:rFonts w:eastAsia="Times New Roman" w:cs="Times New Roman"/>
                <w:color w:val="000000"/>
                <w:sz w:val="22"/>
                <w:lang w:val="en-US" w:eastAsia="en-US"/>
              </w:rPr>
              <w:t>20</w:t>
            </w:r>
          </w:p>
        </w:tc>
      </w:tr>
    </w:tbl>
    <w:p w14:paraId="613F4AC6" w14:textId="77777777" w:rsidR="00BB41F6" w:rsidRPr="00986F85" w:rsidRDefault="00581125" w:rsidP="00B04415">
      <w:pPr>
        <w:spacing w:after="0" w:line="360" w:lineRule="auto"/>
        <w:jc w:val="both"/>
        <w:rPr>
          <w:rFonts w:cs="Times New Roman"/>
          <w:i/>
          <w:szCs w:val="24"/>
        </w:rPr>
      </w:pPr>
      <w:r w:rsidRPr="00986F85">
        <w:rPr>
          <w:rFonts w:cs="Times New Roman"/>
          <w:i/>
          <w:szCs w:val="24"/>
        </w:rPr>
        <w:t>Forrás: EMIR-NAV adatbázis</w:t>
      </w:r>
    </w:p>
    <w:p w14:paraId="54246824" w14:textId="77777777" w:rsidR="007D2ED2" w:rsidRPr="00986F85" w:rsidRDefault="007D2ED2" w:rsidP="0015414F">
      <w:pPr>
        <w:suppressAutoHyphens w:val="0"/>
        <w:spacing w:after="0" w:line="360" w:lineRule="auto"/>
        <w:jc w:val="both"/>
        <w:rPr>
          <w:rFonts w:cs="Times New Roman"/>
          <w:szCs w:val="24"/>
        </w:rPr>
      </w:pPr>
    </w:p>
    <w:p w14:paraId="13BC2198" w14:textId="77777777" w:rsidR="007351A1" w:rsidRPr="00986F85" w:rsidRDefault="00562404" w:rsidP="0015414F">
      <w:pPr>
        <w:suppressAutoHyphens w:val="0"/>
        <w:spacing w:after="0" w:line="360" w:lineRule="auto"/>
        <w:jc w:val="both"/>
        <w:rPr>
          <w:szCs w:val="24"/>
        </w:rPr>
      </w:pPr>
      <w:r w:rsidRPr="00986F85">
        <w:rPr>
          <w:rFonts w:cs="Times New Roman"/>
          <w:szCs w:val="24"/>
        </w:rPr>
        <w:t>Megállapítottuk, hogy k</w:t>
      </w:r>
      <w:r w:rsidR="0088660B" w:rsidRPr="00986F85">
        <w:rPr>
          <w:szCs w:val="24"/>
        </w:rPr>
        <w:t xml:space="preserve">istérségi és </w:t>
      </w:r>
      <w:r w:rsidR="00D87A55" w:rsidRPr="00986F85">
        <w:rPr>
          <w:rFonts w:cs="Times New Roman"/>
          <w:szCs w:val="24"/>
        </w:rPr>
        <w:t xml:space="preserve">ágazati </w:t>
      </w:r>
      <w:r w:rsidR="0088660B" w:rsidRPr="00986F85">
        <w:rPr>
          <w:szCs w:val="24"/>
        </w:rPr>
        <w:t xml:space="preserve">eloszlások tekintetében nem torzul a minta a 100 fő </w:t>
      </w:r>
      <w:r w:rsidRPr="00986F85">
        <w:rPr>
          <w:rFonts w:cs="Times New Roman"/>
          <w:szCs w:val="24"/>
        </w:rPr>
        <w:t xml:space="preserve">vagy a </w:t>
      </w:r>
      <w:r w:rsidR="0088660B" w:rsidRPr="00986F85">
        <w:rPr>
          <w:szCs w:val="24"/>
        </w:rPr>
        <w:t xml:space="preserve">feletti </w:t>
      </w:r>
      <w:r w:rsidR="00D87A55" w:rsidRPr="00986F85">
        <w:rPr>
          <w:rFonts w:cs="Times New Roman"/>
          <w:szCs w:val="24"/>
        </w:rPr>
        <w:t xml:space="preserve">foglalkoztatotti létszámmal rendelkező </w:t>
      </w:r>
      <w:r w:rsidRPr="00986F85">
        <w:rPr>
          <w:szCs w:val="24"/>
        </w:rPr>
        <w:t>cégek el</w:t>
      </w:r>
      <w:r w:rsidR="0088660B" w:rsidRPr="00986F85">
        <w:rPr>
          <w:szCs w:val="24"/>
        </w:rPr>
        <w:t>hagyásával.</w:t>
      </w:r>
    </w:p>
    <w:p w14:paraId="33618901" w14:textId="77777777" w:rsidR="00A62E4C" w:rsidRPr="00986F85" w:rsidRDefault="00A62E4C" w:rsidP="0015414F">
      <w:pPr>
        <w:suppressAutoHyphens w:val="0"/>
        <w:spacing w:after="0" w:line="360" w:lineRule="auto"/>
        <w:jc w:val="both"/>
        <w:rPr>
          <w:szCs w:val="24"/>
        </w:rPr>
      </w:pPr>
    </w:p>
    <w:p w14:paraId="3FD1BB76" w14:textId="77777777" w:rsidR="00382690" w:rsidRPr="00986F85" w:rsidRDefault="00085B42" w:rsidP="00B04415">
      <w:pPr>
        <w:pStyle w:val="Cmsor1"/>
        <w:spacing w:before="0" w:after="0" w:line="360" w:lineRule="auto"/>
        <w:jc w:val="both"/>
        <w:rPr>
          <w:szCs w:val="24"/>
        </w:rPr>
      </w:pPr>
      <w:bookmarkStart w:id="21" w:name="_Toc230854316"/>
      <w:r w:rsidRPr="00986F85">
        <w:rPr>
          <w:szCs w:val="24"/>
        </w:rPr>
        <w:t>I</w:t>
      </w:r>
      <w:r w:rsidR="00C13522" w:rsidRPr="00986F85">
        <w:rPr>
          <w:szCs w:val="24"/>
        </w:rPr>
        <w:t xml:space="preserve">II. </w:t>
      </w:r>
      <w:r w:rsidR="00382690" w:rsidRPr="00986F85">
        <w:rPr>
          <w:szCs w:val="24"/>
        </w:rPr>
        <w:t>ÁTFOGÓ ELEMZÉS</w:t>
      </w:r>
      <w:bookmarkEnd w:id="21"/>
    </w:p>
    <w:p w14:paraId="6C117E5F" w14:textId="77777777" w:rsidR="009A68E7" w:rsidRPr="00986F85" w:rsidRDefault="00A45FCA" w:rsidP="009A68E7">
      <w:pPr>
        <w:rPr>
          <w:szCs w:val="24"/>
        </w:rPr>
      </w:pPr>
      <w:r w:rsidRPr="00986F85">
        <w:rPr>
          <w:noProof/>
          <w:lang w:eastAsia="hu-HU"/>
        </w:rPr>
        <mc:AlternateContent>
          <mc:Choice Requires="wps">
            <w:drawing>
              <wp:anchor distT="0" distB="0" distL="114300" distR="114300" simplePos="0" relativeHeight="251656192" behindDoc="0" locked="0" layoutInCell="1" allowOverlap="1" wp14:anchorId="6353675E" wp14:editId="11B16F5F">
                <wp:simplePos x="0" y="0"/>
                <wp:positionH relativeFrom="column">
                  <wp:posOffset>0</wp:posOffset>
                </wp:positionH>
                <wp:positionV relativeFrom="paragraph">
                  <wp:posOffset>274320</wp:posOffset>
                </wp:positionV>
                <wp:extent cx="5746115" cy="1180465"/>
                <wp:effectExtent l="0" t="0" r="0" b="0"/>
                <wp:wrapSquare wrapText="bothSides"/>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115" cy="1180465"/>
                        </a:xfrm>
                        <a:prstGeom prst="rect">
                          <a:avLst/>
                        </a:prstGeom>
                        <a:solidFill>
                          <a:srgbClr val="D8D8D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BF63C2F" w14:textId="77777777" w:rsidR="00E433FC" w:rsidRPr="0042664E" w:rsidRDefault="00E433FC" w:rsidP="0042664E">
                            <w:pPr>
                              <w:snapToGrid w:val="0"/>
                              <w:spacing w:after="0" w:line="360" w:lineRule="auto"/>
                              <w:jc w:val="both"/>
                              <w:rPr>
                                <w:rFonts w:cs="Times New Roman"/>
                                <w:b/>
                                <w:i/>
                                <w:szCs w:val="24"/>
                              </w:rPr>
                            </w:pPr>
                            <w:r w:rsidRPr="0042664E">
                              <w:rPr>
                                <w:rFonts w:cs="Times New Roman"/>
                                <w:b/>
                                <w:i/>
                                <w:szCs w:val="24"/>
                              </w:rPr>
                              <w:t>Mi jellemzi a hazai vállalkozások teljesítményét, foglalkoztatási potenciálját a vizsgált időszakban (2006-2011)?</w:t>
                            </w:r>
                          </w:p>
                          <w:p w14:paraId="206FAD9E" w14:textId="77777777" w:rsidR="00E433FC" w:rsidRPr="0042664E" w:rsidRDefault="00E433FC" w:rsidP="0042664E">
                            <w:pPr>
                              <w:snapToGrid w:val="0"/>
                              <w:spacing w:after="0" w:line="360" w:lineRule="auto"/>
                              <w:jc w:val="both"/>
                              <w:rPr>
                                <w:rFonts w:cs="Times New Roman"/>
                                <w:b/>
                                <w:i/>
                              </w:rPr>
                            </w:pPr>
                            <w:r w:rsidRPr="0042664E">
                              <w:rPr>
                                <w:rFonts w:eastAsia="Times New Roman" w:cs="Times New Roman"/>
                                <w:b/>
                                <w:i/>
                                <w:szCs w:val="24"/>
                              </w:rPr>
                              <w:t xml:space="preserve"> </w:t>
                            </w:r>
                            <w:r w:rsidRPr="0042664E">
                              <w:rPr>
                                <w:rFonts w:cs="Times New Roman"/>
                                <w:b/>
                                <w:i/>
                                <w:szCs w:val="24"/>
                              </w:rPr>
                              <w:t xml:space="preserve">Megfigyelhető-e törés a vállalati eredménymutatókban és a foglalkoztatásban a 2008. évi gazdasági válságot követően?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3675E" id="Text Box 3" o:spid="_x0000_s1027" type="#_x0000_t202" style="position:absolute;margin-left:0;margin-top:21.6pt;width:452.45pt;height:9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" fillcolor="#d8d8d8" stroked="f">
                <v:textbox inset=",7.2pt,,7.2pt">
                  <w:txbxContent>
                    <w:p w14:paraId="2BF63C2F" w14:textId="77777777" w:rsidR="00E433FC" w:rsidRPr="0042664E" w:rsidRDefault="00E433FC" w:rsidP="0042664E">
                      <w:pPr>
                        <w:snapToGrid w:val="0"/>
                        <w:spacing w:after="0" w:line="360" w:lineRule="auto"/>
                        <w:jc w:val="both"/>
                        <w:rPr>
                          <w:rFonts w:cs="Times New Roman"/>
                          <w:b/>
                          <w:i/>
                          <w:szCs w:val="24"/>
                        </w:rPr>
                      </w:pPr>
                      <w:r w:rsidRPr="0042664E">
                        <w:rPr>
                          <w:rFonts w:cs="Times New Roman"/>
                          <w:b/>
                          <w:i/>
                          <w:szCs w:val="24"/>
                        </w:rPr>
                        <w:t>Mi jellemzi a hazai vállalkozások teljesítményét, foglalkoztatási potenciálját a vizsgált időszakban (2006-2011)?</w:t>
                      </w:r>
                    </w:p>
                    <w:p w14:paraId="206FAD9E" w14:textId="77777777" w:rsidR="00E433FC" w:rsidRPr="0042664E" w:rsidRDefault="00E433FC" w:rsidP="0042664E">
                      <w:pPr>
                        <w:snapToGrid w:val="0"/>
                        <w:spacing w:after="0" w:line="360" w:lineRule="auto"/>
                        <w:jc w:val="both"/>
                        <w:rPr>
                          <w:rFonts w:cs="Times New Roman"/>
                          <w:b/>
                          <w:i/>
                        </w:rPr>
                      </w:pPr>
                      <w:r w:rsidRPr="0042664E">
                        <w:rPr>
                          <w:rFonts w:eastAsia="Times New Roman" w:cs="Times New Roman"/>
                          <w:b/>
                          <w:i/>
                          <w:szCs w:val="24"/>
                        </w:rPr>
                        <w:t xml:space="preserve"> </w:t>
                      </w:r>
                      <w:r w:rsidRPr="0042664E">
                        <w:rPr>
                          <w:rFonts w:cs="Times New Roman"/>
                          <w:b/>
                          <w:i/>
                          <w:szCs w:val="24"/>
                        </w:rPr>
                        <w:t xml:space="preserve">Megfigyelhető-e törés a vállalati eredménymutatókban és a foglalkoztatásban a 2008. évi gazdasági válságot követően? </w:t>
                      </w:r>
                    </w:p>
                  </w:txbxContent>
                </v:textbox>
                <w10:wrap type="square"/>
              </v:shape>
            </w:pict>
          </mc:Fallback>
        </mc:AlternateContent>
      </w:r>
    </w:p>
    <w:p w14:paraId="762A00EA" w14:textId="77777777" w:rsidR="00382690" w:rsidRPr="00986F85" w:rsidRDefault="00A44ADC" w:rsidP="00B04415">
      <w:pPr>
        <w:pStyle w:val="Cmsor2"/>
        <w:spacing w:before="0" w:after="0" w:line="360" w:lineRule="auto"/>
        <w:jc w:val="both"/>
        <w:rPr>
          <w:rFonts w:ascii="Myriad Pro" w:hAnsi="Myriad Pro"/>
          <w:szCs w:val="24"/>
        </w:rPr>
      </w:pPr>
      <w:bookmarkStart w:id="22" w:name="_Toc230854317"/>
      <w:r w:rsidRPr="00986F85">
        <w:rPr>
          <w:rFonts w:ascii="Myriad Pro" w:hAnsi="Myriad Pro"/>
          <w:szCs w:val="24"/>
        </w:rPr>
        <w:t xml:space="preserve">KONTROLL </w:t>
      </w:r>
      <w:r w:rsidR="00E80F13" w:rsidRPr="00986F85">
        <w:rPr>
          <w:rFonts w:ascii="Myriad Pro" w:hAnsi="Myriad Pro"/>
          <w:szCs w:val="24"/>
        </w:rPr>
        <w:t>VÁLLALKOZÁSOK JELLEMZŐI</w:t>
      </w:r>
      <w:bookmarkEnd w:id="22"/>
    </w:p>
    <w:p w14:paraId="4471FB55" w14:textId="77777777" w:rsidR="00212138" w:rsidRPr="00986F85" w:rsidRDefault="00A71C4D" w:rsidP="00B04415">
      <w:pPr>
        <w:pStyle w:val="Szvegtrzs"/>
        <w:spacing w:after="0" w:line="360" w:lineRule="auto"/>
        <w:jc w:val="both"/>
        <w:rPr>
          <w:rFonts w:cs="Times New Roman"/>
          <w:szCs w:val="24"/>
        </w:rPr>
      </w:pPr>
      <w:r w:rsidRPr="00986F85">
        <w:rPr>
          <w:rFonts w:cs="Times New Roman"/>
          <w:szCs w:val="24"/>
        </w:rPr>
        <w:t>Alábbiakban a kontroll</w:t>
      </w:r>
      <w:r w:rsidR="000D0833" w:rsidRPr="00986F85">
        <w:rPr>
          <w:rFonts w:cs="Times New Roman"/>
          <w:szCs w:val="24"/>
        </w:rPr>
        <w:t xml:space="preserve"> </w:t>
      </w:r>
      <w:r w:rsidRPr="00986F85">
        <w:rPr>
          <w:rFonts w:cs="Times New Roman"/>
          <w:szCs w:val="24"/>
        </w:rPr>
        <w:t xml:space="preserve">adatbázisban található vállalati állomány adatai alapján adunk helyzetelemzést a hazai KKV-k fő jellemzőiról, valamint vállalati teljesítményéről a 2006 és 2011 közötti időszakban. </w:t>
      </w:r>
    </w:p>
    <w:p w14:paraId="63C3BC20" w14:textId="77777777" w:rsidR="00395AEC" w:rsidRPr="00986F85" w:rsidRDefault="00395AEC" w:rsidP="00B04415">
      <w:pPr>
        <w:pStyle w:val="Szvegtrzs"/>
        <w:spacing w:after="0" w:line="360" w:lineRule="auto"/>
        <w:jc w:val="both"/>
        <w:rPr>
          <w:rFonts w:cs="Times New Roman"/>
          <w:szCs w:val="24"/>
        </w:rPr>
      </w:pPr>
    </w:p>
    <w:p w14:paraId="67150611" w14:textId="77777777" w:rsidR="00994D49" w:rsidRPr="00986F85" w:rsidRDefault="00994D49" w:rsidP="00B04415">
      <w:pPr>
        <w:spacing w:after="0" w:line="360" w:lineRule="auto"/>
        <w:jc w:val="both"/>
        <w:rPr>
          <w:rFonts w:cs="Times New Roman"/>
          <w:b/>
          <w:szCs w:val="24"/>
        </w:rPr>
      </w:pPr>
      <w:r w:rsidRPr="00986F85">
        <w:rPr>
          <w:rFonts w:cs="Times New Roman"/>
          <w:b/>
          <w:szCs w:val="24"/>
        </w:rPr>
        <w:t>Területi és ágazati megoszlás</w:t>
      </w:r>
    </w:p>
    <w:p w14:paraId="2C96B057" w14:textId="77777777" w:rsidR="009D7F66" w:rsidRPr="00986F85" w:rsidRDefault="000D0833" w:rsidP="00B04415">
      <w:pPr>
        <w:spacing w:after="0" w:line="360" w:lineRule="auto"/>
        <w:jc w:val="both"/>
        <w:rPr>
          <w:rFonts w:cs="Times New Roman"/>
          <w:szCs w:val="24"/>
        </w:rPr>
      </w:pPr>
      <w:r w:rsidRPr="00986F85">
        <w:rPr>
          <w:rFonts w:cs="Times New Roman"/>
          <w:szCs w:val="24"/>
        </w:rPr>
        <w:t xml:space="preserve">A mintában elérhető vállalatok területi eloszlása igen torzított Közép Magyarország irányába. A vállalatok közel fele (47.7%) találáható a központi régióban, míg a konvergencia régiók között közel egyenletes az eloszlás. Ez a regionális megoszlás </w:t>
      </w:r>
      <w:r w:rsidR="00F65C69" w:rsidRPr="00986F85">
        <w:rPr>
          <w:rFonts w:cs="Times New Roman"/>
          <w:szCs w:val="24"/>
        </w:rPr>
        <w:t xml:space="preserve">nem </w:t>
      </w:r>
      <w:r w:rsidRPr="00986F85">
        <w:rPr>
          <w:rFonts w:cs="Times New Roman"/>
          <w:szCs w:val="24"/>
        </w:rPr>
        <w:t xml:space="preserve">változott érdemben </w:t>
      </w:r>
      <w:r w:rsidR="00F65C69" w:rsidRPr="00986F85">
        <w:rPr>
          <w:rFonts w:cs="Times New Roman"/>
          <w:szCs w:val="24"/>
        </w:rPr>
        <w:t>a vizsgált időszakban (2006-2011).</w:t>
      </w:r>
      <w:r w:rsidR="009D7F66" w:rsidRPr="00986F85">
        <w:rPr>
          <w:rFonts w:cs="Times New Roman"/>
          <w:szCs w:val="24"/>
        </w:rPr>
        <w:t xml:space="preserve"> </w:t>
      </w:r>
    </w:p>
    <w:p w14:paraId="2BF7BE3E" w14:textId="77777777" w:rsidR="00A152C2" w:rsidRPr="00986F85" w:rsidRDefault="005657E8" w:rsidP="0015414F">
      <w:pPr>
        <w:pStyle w:val="Kpalrs"/>
        <w:keepNext/>
        <w:jc w:val="center"/>
        <w:rPr>
          <w:rFonts w:cs="Times New Roman"/>
        </w:rPr>
      </w:pPr>
      <w:fldSimple w:instr=" SEQ ábra \* ARABIC ">
        <w:bookmarkStart w:id="23" w:name="_Toc230854333"/>
        <w:r w:rsidR="00CF3CEC" w:rsidRPr="00986F85">
          <w:rPr>
            <w:noProof/>
          </w:rPr>
          <w:t>1</w:t>
        </w:r>
      </w:fldSimple>
      <w:r w:rsidR="00A152C2" w:rsidRPr="00986F85">
        <w:t xml:space="preserve">. ábra: </w:t>
      </w:r>
      <w:r w:rsidR="00A152C2" w:rsidRPr="00986F85">
        <w:rPr>
          <w:rFonts w:cs="Times New Roman"/>
        </w:rPr>
        <w:t>Vállalatok regionális megoszlása, 2006/ 2011</w:t>
      </w:r>
      <w:bookmarkEnd w:id="23"/>
    </w:p>
    <w:p w14:paraId="5A4A12AF" w14:textId="77777777" w:rsidR="00A44ADC" w:rsidRPr="00986F85" w:rsidRDefault="00A44ADC" w:rsidP="0015414F">
      <w:pPr>
        <w:pStyle w:val="Kpalrs"/>
        <w:keepNext/>
        <w:jc w:val="center"/>
      </w:pPr>
      <w:r w:rsidRPr="00986F85">
        <w:rPr>
          <w:noProof/>
          <w:lang w:eastAsia="hu-HU"/>
        </w:rPr>
        <w:drawing>
          <wp:inline distT="0" distB="0" distL="0" distR="0" wp14:anchorId="5F0A4A67" wp14:editId="28D548C8">
            <wp:extent cx="5759450" cy="2190750"/>
            <wp:effectExtent l="19050" t="0" r="12700" b="0"/>
            <wp:docPr id="10"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6BBAC52" w14:textId="77777777" w:rsidR="00A44ADC" w:rsidRPr="00986F85" w:rsidRDefault="00A44ADC" w:rsidP="0015414F">
      <w:pPr>
        <w:spacing w:after="0" w:line="360" w:lineRule="auto"/>
        <w:jc w:val="center"/>
        <w:rPr>
          <w:rFonts w:cs="Times New Roman"/>
          <w:noProof/>
          <w:lang w:val="en-US" w:eastAsia="en-US"/>
        </w:rPr>
      </w:pPr>
    </w:p>
    <w:p w14:paraId="48CEC372" w14:textId="77777777" w:rsidR="00153471" w:rsidRPr="00986F85" w:rsidRDefault="00A44ADC" w:rsidP="00137E76">
      <w:pPr>
        <w:spacing w:after="0" w:line="360" w:lineRule="auto"/>
        <w:jc w:val="center"/>
        <w:rPr>
          <w:rFonts w:cs="Times New Roman"/>
          <w:b/>
          <w:szCs w:val="24"/>
        </w:rPr>
      </w:pPr>
      <w:r w:rsidRPr="00986F85">
        <w:rPr>
          <w:rFonts w:cs="Times New Roman"/>
          <w:noProof/>
          <w:lang w:eastAsia="hu-HU"/>
        </w:rPr>
        <w:drawing>
          <wp:inline distT="0" distB="0" distL="0" distR="0" wp14:anchorId="1955E1B2" wp14:editId="0EC0369E">
            <wp:extent cx="5759450" cy="2207260"/>
            <wp:effectExtent l="19050" t="0" r="12700" b="2540"/>
            <wp:docPr id="12"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F2CB758" w14:textId="77777777" w:rsidR="00810EBC" w:rsidRPr="00986F85" w:rsidRDefault="00581125" w:rsidP="00581125">
      <w:pPr>
        <w:spacing w:after="0" w:line="360" w:lineRule="auto"/>
        <w:jc w:val="center"/>
        <w:rPr>
          <w:rFonts w:cs="Times New Roman"/>
          <w:i/>
          <w:szCs w:val="24"/>
        </w:rPr>
      </w:pPr>
      <w:r w:rsidRPr="00986F85">
        <w:rPr>
          <w:rFonts w:cs="Times New Roman"/>
          <w:i/>
          <w:szCs w:val="24"/>
        </w:rPr>
        <w:t>Forrás: NAV adatbázis</w:t>
      </w:r>
    </w:p>
    <w:p w14:paraId="31827706" w14:textId="77777777" w:rsidR="004B5E96" w:rsidRPr="00986F85" w:rsidRDefault="00153471" w:rsidP="00B04415">
      <w:pPr>
        <w:spacing w:after="0" w:line="360" w:lineRule="auto"/>
        <w:jc w:val="both"/>
        <w:rPr>
          <w:rFonts w:cs="Times New Roman"/>
          <w:szCs w:val="24"/>
        </w:rPr>
      </w:pPr>
      <w:r w:rsidRPr="00986F85">
        <w:rPr>
          <w:rFonts w:cs="Times New Roman"/>
          <w:szCs w:val="24"/>
        </w:rPr>
        <w:t>Mint várható volt, igen alacsony az LHH térségekben t</w:t>
      </w:r>
      <w:r w:rsidR="00707C3E" w:rsidRPr="00986F85">
        <w:rPr>
          <w:rFonts w:cs="Times New Roman"/>
          <w:szCs w:val="24"/>
        </w:rPr>
        <w:t>alálható vállalkozások ará</w:t>
      </w:r>
      <w:r w:rsidR="0072488F" w:rsidRPr="00986F85">
        <w:rPr>
          <w:rFonts w:cs="Times New Roman"/>
          <w:szCs w:val="24"/>
        </w:rPr>
        <w:t>nya (5</w:t>
      </w:r>
      <w:r w:rsidRPr="00986F85">
        <w:rPr>
          <w:rFonts w:cs="Times New Roman"/>
          <w:szCs w:val="24"/>
        </w:rPr>
        <w:t>%)</w:t>
      </w:r>
      <w:r w:rsidR="00810EBC" w:rsidRPr="00986F85">
        <w:rPr>
          <w:rFonts w:cs="Times New Roman"/>
          <w:szCs w:val="24"/>
        </w:rPr>
        <w:t>, és e tekintetben sincs jelentős változás 2006 és 2011 közötti időszakban</w:t>
      </w:r>
      <w:r w:rsidRPr="00986F85">
        <w:rPr>
          <w:rFonts w:cs="Times New Roman"/>
          <w:szCs w:val="24"/>
        </w:rPr>
        <w:t xml:space="preserve">. </w:t>
      </w:r>
    </w:p>
    <w:p w14:paraId="751CE2AA" w14:textId="77777777" w:rsidR="00810EBC" w:rsidRPr="00986F85" w:rsidRDefault="00810EBC" w:rsidP="00B04415">
      <w:pPr>
        <w:spacing w:after="0" w:line="360" w:lineRule="auto"/>
        <w:jc w:val="both"/>
        <w:rPr>
          <w:rFonts w:cs="Times New Roman"/>
          <w:szCs w:val="24"/>
        </w:rPr>
      </w:pPr>
    </w:p>
    <w:p w14:paraId="70308A84" w14:textId="77777777" w:rsidR="00F24643" w:rsidRPr="00986F85" w:rsidRDefault="005657E8" w:rsidP="00F24643">
      <w:pPr>
        <w:pStyle w:val="Kpalrs"/>
        <w:keepNext/>
        <w:jc w:val="center"/>
      </w:pPr>
      <w:fldSimple w:instr=" SEQ ábra \* ARABIC ">
        <w:bookmarkStart w:id="24" w:name="_Toc230854334"/>
        <w:r w:rsidR="00CF3CEC" w:rsidRPr="00986F85">
          <w:rPr>
            <w:noProof/>
          </w:rPr>
          <w:t>2</w:t>
        </w:r>
      </w:fldSimple>
      <w:r w:rsidR="00F24643" w:rsidRPr="00986F85">
        <w:t xml:space="preserve">. ábra: </w:t>
      </w:r>
      <w:r w:rsidR="00F24643" w:rsidRPr="00986F85">
        <w:rPr>
          <w:rFonts w:cs="Times New Roman"/>
        </w:rPr>
        <w:t>LHH kistérségekben található vállalkozások aránya, 2006</w:t>
      </w:r>
      <w:bookmarkEnd w:id="24"/>
    </w:p>
    <w:p w14:paraId="113EE66A" w14:textId="77777777" w:rsidR="007035F0" w:rsidRPr="00986F85" w:rsidRDefault="00822809" w:rsidP="00707C3E">
      <w:pPr>
        <w:spacing w:after="0" w:line="360" w:lineRule="auto"/>
        <w:jc w:val="center"/>
        <w:rPr>
          <w:rFonts w:cs="Times New Roman"/>
          <w:b/>
          <w:szCs w:val="24"/>
        </w:rPr>
      </w:pPr>
      <w:r w:rsidRPr="00986F85">
        <w:rPr>
          <w:noProof/>
          <w:lang w:eastAsia="hu-HU"/>
        </w:rPr>
        <w:drawing>
          <wp:inline distT="0" distB="0" distL="0" distR="0" wp14:anchorId="7EFC13C7" wp14:editId="278FA4F7">
            <wp:extent cx="4476371" cy="2738357"/>
            <wp:effectExtent l="6095" t="6103" r="3809" b="8265"/>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51A18BF" w14:textId="77777777" w:rsidR="00466C3B" w:rsidRPr="00986F85" w:rsidRDefault="00466C3B" w:rsidP="00466C3B">
      <w:pPr>
        <w:spacing w:after="0" w:line="360" w:lineRule="auto"/>
        <w:jc w:val="center"/>
        <w:rPr>
          <w:rFonts w:cs="Times New Roman"/>
          <w:i/>
          <w:szCs w:val="24"/>
        </w:rPr>
      </w:pPr>
      <w:r w:rsidRPr="00986F85">
        <w:rPr>
          <w:rFonts w:cs="Times New Roman"/>
          <w:i/>
          <w:szCs w:val="24"/>
        </w:rPr>
        <w:t>Forrás: NAV adatbázis</w:t>
      </w:r>
    </w:p>
    <w:p w14:paraId="45341F9E" w14:textId="77777777" w:rsidR="00153471" w:rsidRPr="00986F85" w:rsidRDefault="00153471" w:rsidP="00B04415">
      <w:pPr>
        <w:spacing w:after="0" w:line="360" w:lineRule="auto"/>
        <w:jc w:val="both"/>
        <w:rPr>
          <w:rFonts w:cs="Times New Roman"/>
          <w:noProof/>
          <w:lang w:eastAsia="en-US"/>
        </w:rPr>
      </w:pPr>
    </w:p>
    <w:p w14:paraId="7BADCE21" w14:textId="77777777" w:rsidR="00D6009E" w:rsidRPr="00986F85" w:rsidRDefault="00C32E63" w:rsidP="00D6009E">
      <w:pPr>
        <w:pStyle w:val="Szvegtrzs"/>
        <w:spacing w:after="0" w:line="360" w:lineRule="auto"/>
        <w:jc w:val="both"/>
        <w:rPr>
          <w:rFonts w:cs="Times New Roman"/>
        </w:rPr>
      </w:pPr>
      <w:r w:rsidRPr="00986F85">
        <w:rPr>
          <w:rFonts w:cs="Times New Roman"/>
          <w:noProof/>
          <w:szCs w:val="24"/>
          <w:lang w:eastAsia="en-US"/>
        </w:rPr>
        <w:t>Az alábbi ábrák szemléltetik az</w:t>
      </w:r>
      <w:r w:rsidR="00672A8D" w:rsidRPr="00986F85">
        <w:rPr>
          <w:rFonts w:cs="Times New Roman"/>
          <w:noProof/>
          <w:szCs w:val="24"/>
          <w:lang w:eastAsia="en-US"/>
        </w:rPr>
        <w:t xml:space="preserve"> egyes</w:t>
      </w:r>
      <w:r w:rsidRPr="00986F85">
        <w:rPr>
          <w:rFonts w:cs="Times New Roman"/>
          <w:noProof/>
          <w:szCs w:val="24"/>
          <w:lang w:eastAsia="en-US"/>
        </w:rPr>
        <w:t xml:space="preserve"> iparági </w:t>
      </w:r>
      <w:r w:rsidR="00672A8D" w:rsidRPr="00986F85">
        <w:rPr>
          <w:rFonts w:cs="Times New Roman"/>
          <w:noProof/>
          <w:szCs w:val="24"/>
          <w:lang w:eastAsia="en-US"/>
        </w:rPr>
        <w:t xml:space="preserve">besorolás </w:t>
      </w:r>
      <w:r w:rsidR="007C075B" w:rsidRPr="00986F85">
        <w:rPr>
          <w:rFonts w:cs="Times New Roman"/>
          <w:noProof/>
          <w:szCs w:val="24"/>
          <w:lang w:eastAsia="en-US"/>
        </w:rPr>
        <w:t>szerinti</w:t>
      </w:r>
      <w:r w:rsidR="00672A8D" w:rsidRPr="00986F85">
        <w:rPr>
          <w:rFonts w:cs="Times New Roman"/>
          <w:noProof/>
          <w:szCs w:val="24"/>
          <w:lang w:eastAsia="en-US"/>
        </w:rPr>
        <w:t xml:space="preserve"> megoszlást</w:t>
      </w:r>
      <w:r w:rsidRPr="00986F85">
        <w:rPr>
          <w:rFonts w:cs="Times New Roman"/>
          <w:noProof/>
          <w:szCs w:val="24"/>
          <w:lang w:eastAsia="en-US"/>
        </w:rPr>
        <w:t xml:space="preserve">, mely szintén nem változott 2006-ról 2011-re. </w:t>
      </w:r>
      <w:r w:rsidR="002125D9" w:rsidRPr="00986F85">
        <w:t>Kolmogorov–Szmirnov-próbával</w:t>
      </w:r>
      <w:r w:rsidR="002125D9" w:rsidRPr="00986F85">
        <w:rPr>
          <w:rFonts w:cs="Times New Roman"/>
        </w:rPr>
        <w:t xml:space="preserve"> </w:t>
      </w:r>
      <w:r w:rsidR="00D6009E" w:rsidRPr="00986F85">
        <w:rPr>
          <w:rFonts w:cs="Times New Roman"/>
        </w:rPr>
        <w:t xml:space="preserve">megnéztük, hogy a teljes kontroll sokaság eloszlása megegyezik az 5 fő feletti kontroll vállalatok sokaságának eloszlásával, mind kistérségi, mind kétjegyű TEÁOR kód bontásban. A sokaság szűkítése így – megítélésünk szerint – indokolható, mert reprezentatív marad a sokaság országos szinten. (A teszteredményeket a leíró statisztikák eredményeit taglaló, 2. sz. Mellékletben foglaljuk össze.) </w:t>
      </w:r>
    </w:p>
    <w:p w14:paraId="55C9D11B" w14:textId="77777777" w:rsidR="0026186D" w:rsidRPr="00986F85" w:rsidRDefault="0026186D" w:rsidP="00D6009E">
      <w:pPr>
        <w:pStyle w:val="Szvegtrzs"/>
        <w:spacing w:after="0" w:line="360" w:lineRule="auto"/>
        <w:jc w:val="both"/>
        <w:rPr>
          <w:rFonts w:cs="Times New Roman"/>
          <w:noProof/>
          <w:szCs w:val="24"/>
          <w:lang w:eastAsia="en-US"/>
        </w:rPr>
      </w:pPr>
    </w:p>
    <w:p w14:paraId="3A67E23C" w14:textId="77777777" w:rsidR="00E64965" w:rsidRPr="00986F85" w:rsidRDefault="00E64965" w:rsidP="002125D9">
      <w:pPr>
        <w:pStyle w:val="Szvegtrzs"/>
        <w:spacing w:after="0" w:line="360" w:lineRule="auto"/>
        <w:jc w:val="both"/>
        <w:rPr>
          <w:rFonts w:cs="Times New Roman"/>
          <w:noProof/>
          <w:szCs w:val="24"/>
          <w:lang w:eastAsia="en-US"/>
        </w:rPr>
      </w:pPr>
      <w:r w:rsidRPr="00986F85">
        <w:rPr>
          <w:rFonts w:cs="Times New Roman"/>
          <w:noProof/>
          <w:szCs w:val="24"/>
          <w:lang w:eastAsia="en-US"/>
        </w:rPr>
        <w:t>A rendelkezésünkre álló vállalati adatbáz</w:t>
      </w:r>
      <w:r w:rsidR="00CA076C" w:rsidRPr="00986F85">
        <w:rPr>
          <w:rFonts w:cs="Times New Roman"/>
          <w:noProof/>
          <w:szCs w:val="24"/>
          <w:lang w:eastAsia="en-US"/>
        </w:rPr>
        <w:t>isban a cégek döntő többsége (60</w:t>
      </w:r>
      <w:r w:rsidRPr="00986F85">
        <w:rPr>
          <w:rFonts w:cs="Times New Roman"/>
          <w:noProof/>
          <w:szCs w:val="24"/>
          <w:lang w:eastAsia="en-US"/>
        </w:rPr>
        <w:t xml:space="preserve">%) négy iparágban tevékenykedik: kereskedelem és gépjárműjavítás áll az első helyen (27%), ezt követik a </w:t>
      </w:r>
      <w:r w:rsidR="000D2B0B" w:rsidRPr="00986F85">
        <w:rPr>
          <w:rFonts w:cs="Times New Roman"/>
          <w:noProof/>
          <w:szCs w:val="24"/>
          <w:lang w:eastAsia="en-US"/>
        </w:rPr>
        <w:t>szakmai, tudományos</w:t>
      </w:r>
      <w:r w:rsidR="00CA076C" w:rsidRPr="00986F85">
        <w:rPr>
          <w:rFonts w:cs="Times New Roman"/>
          <w:noProof/>
          <w:szCs w:val="24"/>
          <w:lang w:eastAsia="en-US"/>
        </w:rPr>
        <w:t>, műszaki (12,4%)</w:t>
      </w:r>
      <w:r w:rsidR="000D2B0B" w:rsidRPr="00986F85">
        <w:rPr>
          <w:rFonts w:cs="Times New Roman"/>
          <w:noProof/>
          <w:szCs w:val="24"/>
          <w:lang w:eastAsia="en-US"/>
        </w:rPr>
        <w:t>, a</w:t>
      </w:r>
      <w:r w:rsidRPr="00986F85">
        <w:rPr>
          <w:rFonts w:cs="Times New Roman"/>
          <w:noProof/>
          <w:szCs w:val="24"/>
          <w:lang w:eastAsia="en-US"/>
        </w:rPr>
        <w:t xml:space="preserve"> feldolgozóipari</w:t>
      </w:r>
      <w:r w:rsidR="00CA076C" w:rsidRPr="00986F85">
        <w:rPr>
          <w:rFonts w:cs="Times New Roman"/>
          <w:noProof/>
          <w:szCs w:val="24"/>
          <w:lang w:eastAsia="en-US"/>
        </w:rPr>
        <w:t xml:space="preserve"> (11%)</w:t>
      </w:r>
      <w:r w:rsidR="000D2B0B" w:rsidRPr="00986F85">
        <w:rPr>
          <w:rFonts w:cs="Times New Roman"/>
          <w:noProof/>
          <w:szCs w:val="24"/>
          <w:lang w:eastAsia="en-US"/>
        </w:rPr>
        <w:t>, valamint építőipari</w:t>
      </w:r>
      <w:r w:rsidRPr="00986F85">
        <w:rPr>
          <w:rFonts w:cs="Times New Roman"/>
          <w:noProof/>
          <w:szCs w:val="24"/>
          <w:lang w:eastAsia="en-US"/>
        </w:rPr>
        <w:t xml:space="preserve"> vállalkozások</w:t>
      </w:r>
      <w:r w:rsidR="00CA076C" w:rsidRPr="00986F85">
        <w:rPr>
          <w:rFonts w:cs="Times New Roman"/>
          <w:noProof/>
          <w:szCs w:val="24"/>
          <w:lang w:eastAsia="en-US"/>
        </w:rPr>
        <w:t xml:space="preserve"> (9%)</w:t>
      </w:r>
      <w:r w:rsidRPr="00986F85">
        <w:rPr>
          <w:rFonts w:cs="Times New Roman"/>
          <w:noProof/>
          <w:szCs w:val="24"/>
          <w:lang w:eastAsia="en-US"/>
        </w:rPr>
        <w:t xml:space="preserve">. </w:t>
      </w:r>
    </w:p>
    <w:p w14:paraId="3E5EE114" w14:textId="77777777" w:rsidR="00581125" w:rsidRPr="00986F85" w:rsidRDefault="005657E8" w:rsidP="00385EC4">
      <w:pPr>
        <w:pStyle w:val="Kpalrs"/>
        <w:keepNext/>
        <w:jc w:val="center"/>
        <w:rPr>
          <w:rFonts w:cs="Times New Roman"/>
        </w:rPr>
      </w:pPr>
      <w:fldSimple w:instr=" SEQ ábra \* ARABIC ">
        <w:bookmarkStart w:id="25" w:name="_Toc230854335"/>
        <w:r w:rsidR="00CF3CEC" w:rsidRPr="00986F85">
          <w:rPr>
            <w:noProof/>
          </w:rPr>
          <w:t>3</w:t>
        </w:r>
      </w:fldSimple>
      <w:r w:rsidR="00F24643" w:rsidRPr="00986F85">
        <w:t xml:space="preserve">. ábra: </w:t>
      </w:r>
      <w:r w:rsidR="00F24643" w:rsidRPr="00986F85">
        <w:rPr>
          <w:rFonts w:cs="Times New Roman"/>
        </w:rPr>
        <w:t>Vállalatok iparági megoszlása, 20</w:t>
      </w:r>
      <w:r w:rsidR="00672A8D" w:rsidRPr="00986F85">
        <w:rPr>
          <w:rFonts w:cs="Times New Roman"/>
        </w:rPr>
        <w:t>06</w:t>
      </w:r>
      <w:bookmarkEnd w:id="25"/>
    </w:p>
    <w:p w14:paraId="58ED8877" w14:textId="77777777" w:rsidR="00200973" w:rsidRPr="00986F85" w:rsidRDefault="00137E76" w:rsidP="004A1D51">
      <w:pPr>
        <w:pStyle w:val="Kpalrs"/>
        <w:keepNext/>
      </w:pPr>
      <w:r w:rsidRPr="00986F85">
        <w:rPr>
          <w:rFonts w:cs="Times New Roman"/>
          <w:i w:val="0"/>
          <w:iCs w:val="0"/>
          <w:noProof/>
          <w:lang w:eastAsia="hu-HU"/>
        </w:rPr>
        <w:drawing>
          <wp:inline distT="0" distB="0" distL="0" distR="0" wp14:anchorId="4CB87251" wp14:editId="5B067E6B">
            <wp:extent cx="5816600" cy="3111500"/>
            <wp:effectExtent l="19050" t="0" r="12700" b="0"/>
            <wp:docPr id="15" name="Diagra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B993305" w14:textId="77777777" w:rsidR="00C46775" w:rsidRPr="00986F85" w:rsidRDefault="00466C3B" w:rsidP="00466C3B">
      <w:pPr>
        <w:spacing w:after="0" w:line="360" w:lineRule="auto"/>
        <w:jc w:val="center"/>
        <w:rPr>
          <w:rFonts w:cs="Times New Roman"/>
          <w:i/>
          <w:szCs w:val="24"/>
        </w:rPr>
      </w:pPr>
      <w:r w:rsidRPr="00986F85">
        <w:rPr>
          <w:rFonts w:cs="Times New Roman"/>
          <w:i/>
          <w:szCs w:val="24"/>
        </w:rPr>
        <w:t>Forrás: NAV adatbázis</w:t>
      </w:r>
    </w:p>
    <w:p w14:paraId="2F470EF9" w14:textId="77777777" w:rsidR="00911758" w:rsidRPr="00986F85" w:rsidRDefault="00911758" w:rsidP="00B04415">
      <w:pPr>
        <w:pStyle w:val="Szvegtrzs"/>
        <w:spacing w:after="0" w:line="360" w:lineRule="auto"/>
        <w:jc w:val="both"/>
        <w:rPr>
          <w:rFonts w:cs="Times New Roman"/>
          <w:szCs w:val="24"/>
          <w:highlight w:val="yellow"/>
        </w:rPr>
      </w:pPr>
    </w:p>
    <w:p w14:paraId="54163D39" w14:textId="77777777" w:rsidR="0048101F" w:rsidRPr="00986F85" w:rsidRDefault="00707C3E" w:rsidP="00B04415">
      <w:pPr>
        <w:spacing w:after="0" w:line="360" w:lineRule="auto"/>
        <w:jc w:val="both"/>
        <w:rPr>
          <w:rFonts w:cs="Times New Roman"/>
          <w:szCs w:val="24"/>
        </w:rPr>
      </w:pPr>
      <w:r w:rsidRPr="00986F85">
        <w:rPr>
          <w:rFonts w:cs="Times New Roman"/>
          <w:szCs w:val="24"/>
        </w:rPr>
        <w:t>A kontroll adatbázisban szereplő vállalatok körében igen alacsony azon vállalatok száma, melyek export</w:t>
      </w:r>
      <w:r w:rsidR="0031492B" w:rsidRPr="00986F85">
        <w:rPr>
          <w:rFonts w:cs="Times New Roman"/>
          <w:szCs w:val="24"/>
        </w:rPr>
        <w:t>-orientált tevékenységet végez</w:t>
      </w:r>
      <w:r w:rsidRPr="00986F85">
        <w:rPr>
          <w:rFonts w:cs="Times New Roman"/>
          <w:szCs w:val="24"/>
        </w:rPr>
        <w:t xml:space="preserve">nek – lásd az alábbi ábra, melyen látható, hogy </w:t>
      </w:r>
      <w:r w:rsidR="0048101F" w:rsidRPr="00986F85">
        <w:rPr>
          <w:rFonts w:cs="Times New Roman"/>
          <w:szCs w:val="24"/>
        </w:rPr>
        <w:t xml:space="preserve">leginkább </w:t>
      </w:r>
      <w:r w:rsidR="001A57FF" w:rsidRPr="00986F85">
        <w:rPr>
          <w:rFonts w:cs="Times New Roman"/>
          <w:szCs w:val="24"/>
        </w:rPr>
        <w:t xml:space="preserve">a keredkedelmi, feldolgozóipari, építőipari, valamint </w:t>
      </w:r>
      <w:r w:rsidR="00EA33D8" w:rsidRPr="00986F85">
        <w:rPr>
          <w:rFonts w:cs="Times New Roman"/>
          <w:szCs w:val="24"/>
        </w:rPr>
        <w:t xml:space="preserve">szállítási-raktározási, és szakmai, tudományos tevékenységet végző cégek körében számottevő az árbevételük legalább 3 százalékát export-tevékenységből származó árbevétellel rendelkező cégek aránya. </w:t>
      </w:r>
      <w:r w:rsidR="00710864" w:rsidRPr="00986F85">
        <w:rPr>
          <w:rFonts w:cs="Times New Roman"/>
          <w:szCs w:val="24"/>
        </w:rPr>
        <w:t xml:space="preserve">(Ezt a küszöbértéket </w:t>
      </w:r>
      <w:r w:rsidR="009B27CD" w:rsidRPr="00986F85">
        <w:rPr>
          <w:rFonts w:cs="Times New Roman"/>
          <w:szCs w:val="24"/>
        </w:rPr>
        <w:t>Dixon et al (2004) alapján alkalmazzuk.)</w:t>
      </w:r>
    </w:p>
    <w:p w14:paraId="74379A95" w14:textId="77777777" w:rsidR="00341750" w:rsidRPr="00986F85" w:rsidRDefault="00341750" w:rsidP="0015414F">
      <w:pPr>
        <w:pStyle w:val="Kpalrs"/>
        <w:keepNext/>
        <w:jc w:val="center"/>
        <w:sectPr w:rsidR="00341750" w:rsidRPr="00986F85" w:rsidSect="0015414F">
          <w:pgSz w:w="11906" w:h="16838" w:code="9"/>
          <w:pgMar w:top="1418" w:right="1418" w:bottom="1418" w:left="1418" w:header="720" w:footer="720" w:gutter="0"/>
          <w:cols w:space="720"/>
          <w:docGrid w:linePitch="360"/>
        </w:sectPr>
      </w:pPr>
    </w:p>
    <w:p w14:paraId="14322F08" w14:textId="77777777" w:rsidR="00F24643" w:rsidRPr="00986F85" w:rsidRDefault="007E1F98" w:rsidP="0015414F">
      <w:pPr>
        <w:pStyle w:val="Kpalrs"/>
        <w:keepNext/>
        <w:jc w:val="center"/>
        <w:rPr>
          <w:rFonts w:cs="Times New Roman"/>
        </w:rPr>
      </w:pPr>
      <w:r w:rsidRPr="00986F85">
        <w:lastRenderedPageBreak/>
        <w:fldChar w:fldCharType="begin"/>
      </w:r>
      <w:r w:rsidR="00F24643" w:rsidRPr="00986F85">
        <w:instrText xml:space="preserve"> SEQ ábra \* ARABIC </w:instrText>
      </w:r>
      <w:r w:rsidRPr="00986F85">
        <w:fldChar w:fldCharType="separate"/>
      </w:r>
      <w:bookmarkStart w:id="26" w:name="_Toc230854336"/>
      <w:r w:rsidR="00CF3CEC" w:rsidRPr="00986F85">
        <w:rPr>
          <w:noProof/>
        </w:rPr>
        <w:t>4</w:t>
      </w:r>
      <w:r w:rsidRPr="00986F85">
        <w:fldChar w:fldCharType="end"/>
      </w:r>
      <w:r w:rsidR="00F24643" w:rsidRPr="00986F85">
        <w:t xml:space="preserve">. ábra: </w:t>
      </w:r>
      <w:r w:rsidR="00F24643" w:rsidRPr="00986F85">
        <w:rPr>
          <w:rFonts w:cs="Times New Roman"/>
        </w:rPr>
        <w:t>Export-orientált cégek számossága egyes ágazatokban, 2011</w:t>
      </w:r>
      <w:bookmarkEnd w:id="26"/>
    </w:p>
    <w:p w14:paraId="644304C5" w14:textId="77777777" w:rsidR="00EA33D8" w:rsidRPr="00986F85" w:rsidRDefault="006B74D1" w:rsidP="001A2943">
      <w:pPr>
        <w:pStyle w:val="Kpalrs"/>
        <w:keepNext/>
        <w:jc w:val="center"/>
      </w:pPr>
      <w:r w:rsidRPr="00986F85">
        <w:rPr>
          <w:noProof/>
          <w:lang w:eastAsia="hu-HU"/>
        </w:rPr>
        <w:drawing>
          <wp:inline distT="0" distB="0" distL="0" distR="0" wp14:anchorId="232CA56A" wp14:editId="02D2A57C">
            <wp:extent cx="5972810" cy="3289300"/>
            <wp:effectExtent l="19050" t="0" r="27940" b="6350"/>
            <wp:docPr id="16" name="Diagram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A1AE29D" w14:textId="77777777" w:rsidR="00C46775" w:rsidRPr="00986F85" w:rsidRDefault="00C46775" w:rsidP="00C46775">
      <w:pPr>
        <w:spacing w:after="0" w:line="360" w:lineRule="auto"/>
        <w:jc w:val="center"/>
        <w:rPr>
          <w:rFonts w:cs="Times New Roman"/>
          <w:i/>
          <w:szCs w:val="24"/>
        </w:rPr>
      </w:pPr>
      <w:r w:rsidRPr="00986F85">
        <w:rPr>
          <w:rFonts w:cs="Times New Roman"/>
          <w:i/>
          <w:szCs w:val="24"/>
        </w:rPr>
        <w:t>Forrás: NAV adatbázis</w:t>
      </w:r>
    </w:p>
    <w:p w14:paraId="74749432" w14:textId="77777777" w:rsidR="005627C4" w:rsidRPr="00986F85" w:rsidRDefault="005627C4" w:rsidP="00B04415">
      <w:pPr>
        <w:spacing w:after="0" w:line="360" w:lineRule="auto"/>
        <w:jc w:val="both"/>
        <w:rPr>
          <w:rFonts w:cs="Times New Roman"/>
          <w:noProof/>
          <w:szCs w:val="24"/>
          <w:lang w:eastAsia="en-US"/>
        </w:rPr>
      </w:pPr>
    </w:p>
    <w:p w14:paraId="37664969" w14:textId="77777777" w:rsidR="005918FD" w:rsidRPr="00986F85" w:rsidRDefault="007261EB" w:rsidP="00B04415">
      <w:pPr>
        <w:spacing w:after="0" w:line="360" w:lineRule="auto"/>
        <w:jc w:val="both"/>
        <w:rPr>
          <w:rFonts w:cs="Times New Roman"/>
          <w:noProof/>
          <w:szCs w:val="24"/>
          <w:lang w:eastAsia="en-US"/>
        </w:rPr>
      </w:pPr>
      <w:r w:rsidRPr="00986F85">
        <w:rPr>
          <w:rFonts w:cs="Times New Roman"/>
          <w:noProof/>
          <w:szCs w:val="24"/>
          <w:lang w:eastAsia="en-US"/>
        </w:rPr>
        <w:t>A</w:t>
      </w:r>
      <w:r w:rsidR="00C96287" w:rsidRPr="00986F85">
        <w:rPr>
          <w:rFonts w:cs="Times New Roman"/>
          <w:noProof/>
          <w:szCs w:val="24"/>
          <w:lang w:eastAsia="en-US"/>
        </w:rPr>
        <w:t xml:space="preserve"> vállalati állományt a max. 5 fővel rendelkező vállalkozások dominálják</w:t>
      </w:r>
      <w:r w:rsidR="005918FD" w:rsidRPr="00986F85">
        <w:rPr>
          <w:rFonts w:cs="Times New Roman"/>
          <w:noProof/>
          <w:szCs w:val="24"/>
          <w:lang w:eastAsia="en-US"/>
        </w:rPr>
        <w:t>, a vizsgált időszak ebben sem mutat érdemi változást</w:t>
      </w:r>
      <w:r w:rsidR="00C96287" w:rsidRPr="00986F85">
        <w:rPr>
          <w:rFonts w:cs="Times New Roman"/>
          <w:noProof/>
          <w:szCs w:val="24"/>
          <w:lang w:eastAsia="en-US"/>
        </w:rPr>
        <w:t xml:space="preserve">. A </w:t>
      </w:r>
      <w:r w:rsidR="00D21A8E" w:rsidRPr="00986F85">
        <w:rPr>
          <w:rFonts w:cs="Times New Roman"/>
          <w:noProof/>
          <w:szCs w:val="24"/>
          <w:lang w:eastAsia="en-US"/>
        </w:rPr>
        <w:t>mikrovállalkozások aránya 80</w:t>
      </w:r>
      <w:r w:rsidR="00C96287" w:rsidRPr="00986F85">
        <w:rPr>
          <w:rFonts w:cs="Times New Roman"/>
          <w:noProof/>
          <w:szCs w:val="24"/>
          <w:lang w:eastAsia="en-US"/>
        </w:rPr>
        <w:t xml:space="preserve">% körül mozog (lásd </w:t>
      </w:r>
      <w:r w:rsidR="00B52712" w:rsidRPr="00986F85">
        <w:rPr>
          <w:rFonts w:cs="Times New Roman"/>
          <w:noProof/>
          <w:szCs w:val="24"/>
          <w:lang w:eastAsia="en-US"/>
        </w:rPr>
        <w:t xml:space="preserve">alábbi </w:t>
      </w:r>
      <w:r w:rsidR="00C96287" w:rsidRPr="00986F85">
        <w:rPr>
          <w:rFonts w:cs="Times New Roman"/>
          <w:noProof/>
          <w:szCs w:val="24"/>
          <w:lang w:eastAsia="en-US"/>
        </w:rPr>
        <w:t>ábra), ami a hatásvizsgálat esetében igen leszűkíti a megfelelő kontrollpárok kiválasztásának lehetőségét olyan intézkedések esetében, melyeknek ez a vállalati csoport nem kifejezetten a célcsoportja (lás</w:t>
      </w:r>
      <w:r w:rsidR="0031492B" w:rsidRPr="00986F85">
        <w:rPr>
          <w:rFonts w:cs="Times New Roman"/>
          <w:noProof/>
          <w:szCs w:val="24"/>
          <w:lang w:eastAsia="en-US"/>
        </w:rPr>
        <w:t>d GOP2.1.1. B és C konstrukció)</w:t>
      </w:r>
      <w:r w:rsidR="00B52712" w:rsidRPr="00986F85">
        <w:rPr>
          <w:rFonts w:cs="Times New Roman"/>
          <w:noProof/>
          <w:szCs w:val="24"/>
          <w:lang w:eastAsia="en-US"/>
        </w:rPr>
        <w:t xml:space="preserve">. A kontroll adatbázis nem tartalmaz </w:t>
      </w:r>
      <w:r w:rsidR="0031492B" w:rsidRPr="00986F85">
        <w:rPr>
          <w:rFonts w:cs="Times New Roman"/>
          <w:noProof/>
          <w:szCs w:val="24"/>
          <w:lang w:eastAsia="en-US"/>
        </w:rPr>
        <w:t xml:space="preserve">100 </w:t>
      </w:r>
      <w:r w:rsidR="00B52712" w:rsidRPr="00986F85">
        <w:rPr>
          <w:rFonts w:cs="Times New Roman"/>
          <w:noProof/>
          <w:szCs w:val="24"/>
          <w:lang w:eastAsia="en-US"/>
        </w:rPr>
        <w:t xml:space="preserve">fő vagy a </w:t>
      </w:r>
      <w:r w:rsidR="0031492B" w:rsidRPr="00986F85">
        <w:rPr>
          <w:rFonts w:cs="Times New Roman"/>
          <w:noProof/>
          <w:szCs w:val="24"/>
          <w:lang w:eastAsia="en-US"/>
        </w:rPr>
        <w:t>feletti létszá</w:t>
      </w:r>
      <w:r w:rsidR="004467E8" w:rsidRPr="00986F85">
        <w:rPr>
          <w:rFonts w:cs="Times New Roman"/>
          <w:noProof/>
          <w:szCs w:val="24"/>
          <w:lang w:eastAsia="en-US"/>
        </w:rPr>
        <w:t>mmal rendelkező vállalkozásokat, mely tovább szűkíti a megfelelő kontroll vállalatok körét.</w:t>
      </w:r>
    </w:p>
    <w:p w14:paraId="6A1B15BD" w14:textId="77777777" w:rsidR="00F24643" w:rsidRPr="00986F85" w:rsidRDefault="005657E8" w:rsidP="00F24643">
      <w:pPr>
        <w:pStyle w:val="Kpalrs"/>
        <w:keepNext/>
        <w:jc w:val="center"/>
        <w:rPr>
          <w:rFonts w:cs="Times New Roman"/>
          <w:noProof/>
          <w:lang w:eastAsia="en-US"/>
        </w:rPr>
      </w:pPr>
      <w:fldSimple w:instr=" SEQ ábra \* ARABIC ">
        <w:bookmarkStart w:id="27" w:name="_Toc230854337"/>
        <w:r w:rsidR="00CF3CEC" w:rsidRPr="00986F85">
          <w:rPr>
            <w:noProof/>
          </w:rPr>
          <w:t>5</w:t>
        </w:r>
      </w:fldSimple>
      <w:r w:rsidR="00F24643" w:rsidRPr="00986F85">
        <w:t xml:space="preserve">. ábra: </w:t>
      </w:r>
      <w:r w:rsidR="00F24643" w:rsidRPr="00986F85">
        <w:rPr>
          <w:rFonts w:cs="Times New Roman"/>
          <w:noProof/>
          <w:lang w:eastAsia="en-US"/>
        </w:rPr>
        <w:t>Vállalatok foglalkoztatotti kategóriák szerinti eloszlása, 2006</w:t>
      </w:r>
      <w:bookmarkEnd w:id="27"/>
    </w:p>
    <w:p w14:paraId="2C1DD046" w14:textId="77777777" w:rsidR="001C475F" w:rsidRPr="00986F85" w:rsidRDefault="00C12E60" w:rsidP="004A1D51">
      <w:pPr>
        <w:pStyle w:val="Kpalrs"/>
        <w:keepNext/>
        <w:jc w:val="center"/>
        <w:rPr>
          <w:noProof/>
          <w:lang w:val="en-US" w:eastAsia="en-US"/>
        </w:rPr>
      </w:pPr>
      <w:r w:rsidRPr="00986F85">
        <w:rPr>
          <w:noProof/>
          <w:lang w:eastAsia="hu-HU"/>
        </w:rPr>
        <w:drawing>
          <wp:inline distT="0" distB="0" distL="0" distR="0" wp14:anchorId="66232E95" wp14:editId="6EBEEE3C">
            <wp:extent cx="4451350" cy="1638300"/>
            <wp:effectExtent l="19050" t="0" r="25400" b="0"/>
            <wp:docPr id="13"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ECBD464" w14:textId="77777777" w:rsidR="00C46775" w:rsidRPr="00986F85" w:rsidRDefault="00C46775" w:rsidP="00C46775">
      <w:pPr>
        <w:spacing w:after="0" w:line="360" w:lineRule="auto"/>
        <w:jc w:val="center"/>
        <w:rPr>
          <w:rFonts w:cs="Times New Roman"/>
          <w:i/>
          <w:szCs w:val="24"/>
        </w:rPr>
      </w:pPr>
      <w:r w:rsidRPr="00986F85">
        <w:rPr>
          <w:rFonts w:cs="Times New Roman"/>
          <w:i/>
          <w:szCs w:val="24"/>
        </w:rPr>
        <w:t>Forrás: NAV adatbázis</w:t>
      </w:r>
    </w:p>
    <w:p w14:paraId="3C9FB454" w14:textId="77777777" w:rsidR="00B91D76" w:rsidRPr="00986F85" w:rsidRDefault="00B91D76" w:rsidP="00B04415">
      <w:pPr>
        <w:spacing w:after="0" w:line="360" w:lineRule="auto"/>
        <w:jc w:val="both"/>
        <w:rPr>
          <w:rFonts w:cs="Times New Roman"/>
          <w:b/>
          <w:noProof/>
          <w:lang w:val="en-US" w:eastAsia="en-US"/>
        </w:rPr>
      </w:pPr>
    </w:p>
    <w:p w14:paraId="55D5D69A" w14:textId="77777777" w:rsidR="00B91D76" w:rsidRPr="00986F85" w:rsidRDefault="00B91D76" w:rsidP="00B04415">
      <w:pPr>
        <w:spacing w:after="0" w:line="360" w:lineRule="auto"/>
        <w:jc w:val="both"/>
        <w:rPr>
          <w:rFonts w:cs="Times New Roman"/>
          <w:b/>
          <w:noProof/>
          <w:lang w:val="en-US" w:eastAsia="en-US"/>
        </w:rPr>
      </w:pPr>
      <w:r w:rsidRPr="00986F85">
        <w:rPr>
          <w:rFonts w:cs="Times New Roman"/>
          <w:b/>
          <w:noProof/>
          <w:lang w:val="en-US" w:eastAsia="en-US"/>
        </w:rPr>
        <w:t>Vállalati életciklus</w:t>
      </w:r>
    </w:p>
    <w:p w14:paraId="0796B4DB" w14:textId="77777777" w:rsidR="00B91D76" w:rsidRPr="00986F85" w:rsidRDefault="00776028" w:rsidP="00B04415">
      <w:pPr>
        <w:spacing w:after="0" w:line="360" w:lineRule="auto"/>
        <w:jc w:val="both"/>
        <w:rPr>
          <w:rFonts w:cs="Times New Roman"/>
          <w:noProof/>
          <w:szCs w:val="24"/>
          <w:lang w:val="en-US" w:eastAsia="en-US"/>
        </w:rPr>
      </w:pPr>
      <w:r w:rsidRPr="00986F85">
        <w:rPr>
          <w:rFonts w:cs="Times New Roman"/>
          <w:noProof/>
          <w:szCs w:val="24"/>
          <w:lang w:val="en-US" w:eastAsia="en-US"/>
        </w:rPr>
        <w:t xml:space="preserve">A vállalatokat az alapítástól számított idő szerinti korcsoportokra osztva vizsgáltuk a kormegoszlást az egyes ágazatokban. </w:t>
      </w:r>
      <w:r w:rsidR="00CA5DB7" w:rsidRPr="00986F85">
        <w:rPr>
          <w:rFonts w:cs="Times New Roman"/>
          <w:noProof/>
          <w:szCs w:val="24"/>
          <w:lang w:val="en-US" w:eastAsia="en-US"/>
        </w:rPr>
        <w:t>Tesztjeink alapján i</w:t>
      </w:r>
      <w:r w:rsidR="00C56410" w:rsidRPr="00986F85">
        <w:rPr>
          <w:rFonts w:cs="Times New Roman"/>
          <w:noProof/>
          <w:szCs w:val="24"/>
          <w:lang w:val="en-US" w:eastAsia="en-US"/>
        </w:rPr>
        <w:t xml:space="preserve">dővel nem változik </w:t>
      </w:r>
      <w:r w:rsidR="009C7186" w:rsidRPr="00986F85">
        <w:rPr>
          <w:rFonts w:cs="Times New Roman"/>
          <w:noProof/>
          <w:szCs w:val="24"/>
          <w:lang w:val="en-US" w:eastAsia="en-US"/>
        </w:rPr>
        <w:t xml:space="preserve">az </w:t>
      </w:r>
      <w:r w:rsidR="00C56410" w:rsidRPr="00986F85">
        <w:rPr>
          <w:rFonts w:cs="Times New Roman"/>
          <w:noProof/>
          <w:szCs w:val="24"/>
          <w:lang w:val="en-US" w:eastAsia="en-US"/>
        </w:rPr>
        <w:t xml:space="preserve">alábbi </w:t>
      </w:r>
      <w:r w:rsidR="009C7186" w:rsidRPr="00986F85">
        <w:rPr>
          <w:rFonts w:cs="Times New Roman"/>
          <w:noProof/>
          <w:szCs w:val="24"/>
          <w:lang w:val="en-US" w:eastAsia="en-US"/>
        </w:rPr>
        <w:t>eloszlás sem</w:t>
      </w:r>
      <w:r w:rsidR="00C56410" w:rsidRPr="00986F85">
        <w:rPr>
          <w:rFonts w:cs="Times New Roman"/>
          <w:noProof/>
          <w:szCs w:val="24"/>
          <w:lang w:val="en-US" w:eastAsia="en-US"/>
        </w:rPr>
        <w:t xml:space="preserve"> érdemben</w:t>
      </w:r>
      <w:r w:rsidR="009C7186" w:rsidRPr="00986F85">
        <w:rPr>
          <w:rFonts w:cs="Times New Roman"/>
          <w:noProof/>
          <w:szCs w:val="24"/>
          <w:lang w:val="en-US" w:eastAsia="en-US"/>
        </w:rPr>
        <w:t xml:space="preserve">. </w:t>
      </w:r>
    </w:p>
    <w:p w14:paraId="3BA4E00B" w14:textId="77777777" w:rsidR="00974B4F" w:rsidRPr="00986F85" w:rsidRDefault="00974B4F" w:rsidP="00B04415">
      <w:pPr>
        <w:spacing w:after="0" w:line="360" w:lineRule="auto"/>
        <w:jc w:val="both"/>
        <w:rPr>
          <w:rFonts w:cs="Times New Roman"/>
          <w:noProof/>
          <w:szCs w:val="24"/>
          <w:lang w:val="en-US" w:eastAsia="en-US"/>
        </w:rPr>
      </w:pPr>
    </w:p>
    <w:p w14:paraId="3F33DF76" w14:textId="77777777" w:rsidR="00F24643" w:rsidRPr="00986F85" w:rsidRDefault="005657E8" w:rsidP="0015414F">
      <w:pPr>
        <w:pStyle w:val="Kpalrs"/>
        <w:keepNext/>
        <w:jc w:val="center"/>
        <w:rPr>
          <w:rFonts w:cs="Times New Roman"/>
        </w:rPr>
      </w:pPr>
      <w:fldSimple w:instr=" SEQ ábra \* ARABIC ">
        <w:bookmarkStart w:id="28" w:name="_Toc230854338"/>
        <w:r w:rsidR="00CF3CEC" w:rsidRPr="00986F85">
          <w:rPr>
            <w:noProof/>
          </w:rPr>
          <w:t>6</w:t>
        </w:r>
      </w:fldSimple>
      <w:r w:rsidR="00F24643" w:rsidRPr="00986F85">
        <w:t xml:space="preserve">. ábra: </w:t>
      </w:r>
      <w:r w:rsidR="00F24643" w:rsidRPr="00986F85">
        <w:rPr>
          <w:rFonts w:cs="Times New Roman"/>
        </w:rPr>
        <w:t>Vállalati korcsoportok szerinti megoszlás ágazatonként, 2006</w:t>
      </w:r>
      <w:bookmarkEnd w:id="28"/>
    </w:p>
    <w:p w14:paraId="44108710" w14:textId="77777777" w:rsidR="00A74ABD" w:rsidRPr="00986F85" w:rsidRDefault="003B3394" w:rsidP="004A1D51">
      <w:pPr>
        <w:pStyle w:val="Kpalrs"/>
        <w:keepNext/>
        <w:jc w:val="center"/>
      </w:pPr>
      <w:r w:rsidRPr="00986F85">
        <w:rPr>
          <w:noProof/>
          <w:lang w:eastAsia="hu-HU"/>
        </w:rPr>
        <w:drawing>
          <wp:inline distT="0" distB="0" distL="0" distR="0" wp14:anchorId="2DC6580D" wp14:editId="2D2CC610">
            <wp:extent cx="5759450" cy="3213100"/>
            <wp:effectExtent l="19050" t="0" r="12700" b="6350"/>
            <wp:docPr id="18" name="Diagram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91A3872" w14:textId="77777777" w:rsidR="00466C3B" w:rsidRPr="00986F85" w:rsidRDefault="00466C3B" w:rsidP="00466C3B">
      <w:pPr>
        <w:spacing w:after="0" w:line="360" w:lineRule="auto"/>
        <w:jc w:val="center"/>
        <w:rPr>
          <w:rFonts w:cs="Times New Roman"/>
          <w:i/>
          <w:szCs w:val="24"/>
        </w:rPr>
      </w:pPr>
      <w:r w:rsidRPr="00986F85">
        <w:rPr>
          <w:rFonts w:cs="Times New Roman"/>
          <w:i/>
          <w:szCs w:val="24"/>
        </w:rPr>
        <w:t>Forrás: NAV adatbázis</w:t>
      </w:r>
    </w:p>
    <w:p w14:paraId="0DF439C5" w14:textId="77777777" w:rsidR="001C2145" w:rsidRPr="00986F85" w:rsidRDefault="001C2145" w:rsidP="00B04415">
      <w:pPr>
        <w:spacing w:after="0" w:line="360" w:lineRule="auto"/>
        <w:jc w:val="both"/>
        <w:rPr>
          <w:rFonts w:cs="Times New Roman"/>
          <w:b/>
          <w:szCs w:val="24"/>
        </w:rPr>
      </w:pPr>
    </w:p>
    <w:p w14:paraId="6D58F190" w14:textId="77777777" w:rsidR="00A456CA" w:rsidRPr="00986F85" w:rsidRDefault="00994D49" w:rsidP="00B04415">
      <w:pPr>
        <w:spacing w:after="0" w:line="360" w:lineRule="auto"/>
        <w:jc w:val="both"/>
        <w:rPr>
          <w:rFonts w:cs="Times New Roman"/>
          <w:b/>
          <w:szCs w:val="24"/>
        </w:rPr>
      </w:pPr>
      <w:r w:rsidRPr="00986F85">
        <w:rPr>
          <w:rFonts w:cs="Times New Roman"/>
          <w:b/>
          <w:szCs w:val="24"/>
        </w:rPr>
        <w:lastRenderedPageBreak/>
        <w:t xml:space="preserve">Vállalati </w:t>
      </w:r>
      <w:r w:rsidR="00ED08A0" w:rsidRPr="00986F85">
        <w:rPr>
          <w:rFonts w:cs="Times New Roman"/>
          <w:b/>
          <w:szCs w:val="24"/>
        </w:rPr>
        <w:t>eredményesség</w:t>
      </w:r>
      <w:r w:rsidR="00363201" w:rsidRPr="00986F85">
        <w:rPr>
          <w:rFonts w:cs="Times New Roman"/>
          <w:b/>
          <w:szCs w:val="24"/>
        </w:rPr>
        <w:t xml:space="preserve"> </w:t>
      </w:r>
      <w:r w:rsidRPr="00986F85">
        <w:rPr>
          <w:rFonts w:cs="Times New Roman"/>
          <w:b/>
          <w:szCs w:val="24"/>
        </w:rPr>
        <w:t xml:space="preserve">és teljesítmény </w:t>
      </w:r>
    </w:p>
    <w:p w14:paraId="08380798" w14:textId="77777777" w:rsidR="00A62E4C" w:rsidRPr="00986F85" w:rsidRDefault="00325316" w:rsidP="00C85C2D">
      <w:pPr>
        <w:spacing w:after="0" w:line="360" w:lineRule="auto"/>
        <w:jc w:val="both"/>
        <w:rPr>
          <w:rFonts w:cs="Times New Roman"/>
          <w:szCs w:val="24"/>
        </w:rPr>
      </w:pPr>
      <w:r w:rsidRPr="00986F85">
        <w:rPr>
          <w:rFonts w:cs="Times New Roman"/>
          <w:szCs w:val="24"/>
        </w:rPr>
        <w:t>A vállalati eredménymutatók</w:t>
      </w:r>
      <w:r w:rsidR="00BA59B1" w:rsidRPr="00986F85">
        <w:rPr>
          <w:rFonts w:cs="Times New Roman"/>
          <w:szCs w:val="24"/>
        </w:rPr>
        <w:t xml:space="preserve"> nagyon nagy szóródást mutatnak, így minden átfogó megállapítás óvatosággal kezelendő. Mindenesetre, érdekes megfigy</w:t>
      </w:r>
      <w:r w:rsidR="00A60E3D" w:rsidRPr="00986F85">
        <w:rPr>
          <w:rFonts w:cs="Times New Roman"/>
          <w:szCs w:val="24"/>
        </w:rPr>
        <w:t xml:space="preserve">elni, hogy a </w:t>
      </w:r>
      <w:r w:rsidR="00BA59B1" w:rsidRPr="00986F85">
        <w:rPr>
          <w:rFonts w:cs="Times New Roman"/>
          <w:szCs w:val="24"/>
        </w:rPr>
        <w:t>minta reprezentatív vállalata</w:t>
      </w:r>
      <w:r w:rsidR="00A60E3D" w:rsidRPr="00986F85">
        <w:rPr>
          <w:rFonts w:cs="Times New Roman"/>
          <w:szCs w:val="24"/>
        </w:rPr>
        <w:t xml:space="preserve"> (azaz, a medián</w:t>
      </w:r>
      <w:r w:rsidR="00BA59B1" w:rsidRPr="00986F85">
        <w:rPr>
          <w:rFonts w:cs="Times New Roman"/>
          <w:szCs w:val="24"/>
        </w:rPr>
        <w:t xml:space="preserve">) esetében </w:t>
      </w:r>
      <w:r w:rsidR="0010057F" w:rsidRPr="00986F85">
        <w:rPr>
          <w:rFonts w:cs="Times New Roman"/>
          <w:szCs w:val="24"/>
        </w:rPr>
        <w:t xml:space="preserve">2006 és 2011 közötti időszakban csökkent a foglalkoztatotti létszám (-20%), </w:t>
      </w:r>
      <w:r w:rsidR="002F042F" w:rsidRPr="00986F85">
        <w:rPr>
          <w:rFonts w:cs="Times New Roman"/>
          <w:szCs w:val="24"/>
        </w:rPr>
        <w:t xml:space="preserve">a nettó árbevétel, </w:t>
      </w:r>
      <w:r w:rsidR="00691A52" w:rsidRPr="00986F85">
        <w:rPr>
          <w:rFonts w:cs="Times New Roman"/>
          <w:szCs w:val="24"/>
        </w:rPr>
        <w:t xml:space="preserve">a tárgyi eszköz állomány (-13,4%), </w:t>
      </w:r>
      <w:r w:rsidR="002F042F" w:rsidRPr="00986F85">
        <w:rPr>
          <w:rFonts w:cs="Times New Roman"/>
          <w:szCs w:val="24"/>
        </w:rPr>
        <w:t>és romlott</w:t>
      </w:r>
      <w:r w:rsidR="00691A52" w:rsidRPr="00986F85">
        <w:rPr>
          <w:rFonts w:cs="Times New Roman"/>
          <w:szCs w:val="24"/>
        </w:rPr>
        <w:t xml:space="preserve"> az üzemi eredmény, a hozzáadott érték, illetve a nyereségesség</w:t>
      </w:r>
      <w:r w:rsidR="002F042F" w:rsidRPr="00986F85">
        <w:rPr>
          <w:rFonts w:cs="Times New Roman"/>
          <w:szCs w:val="24"/>
        </w:rPr>
        <w:t xml:space="preserve">, a mellett, hogy javult a likviditás, és foglalkoztatotti létszám erőteljes növekedése miatt is javult néhány hatékonysági mutató (pl. egy foglalkoztatottra eső árbevétel, </w:t>
      </w:r>
      <w:r w:rsidR="00A609AB" w:rsidRPr="00986F85">
        <w:rPr>
          <w:rFonts w:cs="Times New Roman"/>
          <w:szCs w:val="24"/>
        </w:rPr>
        <w:t xml:space="preserve">tőkeintenzitás, egy foglalkoztatottra eső hozzáadott érték. </w:t>
      </w:r>
    </w:p>
    <w:p w14:paraId="68880372" w14:textId="77777777" w:rsidR="00B15CC0" w:rsidRPr="00986F85" w:rsidRDefault="00B15CC0" w:rsidP="00C85C2D">
      <w:pPr>
        <w:spacing w:after="0" w:line="360" w:lineRule="auto"/>
        <w:jc w:val="both"/>
        <w:rPr>
          <w:rFonts w:cs="Times New Roman"/>
          <w:szCs w:val="24"/>
        </w:rPr>
      </w:pPr>
    </w:p>
    <w:p w14:paraId="44F91337" w14:textId="77777777" w:rsidR="00F24643" w:rsidRPr="00986F85" w:rsidRDefault="005657E8" w:rsidP="0015414F">
      <w:pPr>
        <w:pStyle w:val="Kpalrs"/>
        <w:keepNext/>
        <w:jc w:val="center"/>
        <w:rPr>
          <w:rFonts w:cs="Times New Roman"/>
        </w:rPr>
      </w:pPr>
      <w:fldSimple w:instr=" SEQ táblázat \* ARABIC ">
        <w:bookmarkStart w:id="29" w:name="_Toc230854350"/>
        <w:r w:rsidR="00255252" w:rsidRPr="00986F85">
          <w:rPr>
            <w:noProof/>
          </w:rPr>
          <w:t>5</w:t>
        </w:r>
      </w:fldSimple>
      <w:r w:rsidR="00F24643" w:rsidRPr="00986F85">
        <w:t xml:space="preserve">. táblázat:  Főbb </w:t>
      </w:r>
      <w:r w:rsidR="00F24643" w:rsidRPr="00986F85">
        <w:rPr>
          <w:rFonts w:cs="Times New Roman"/>
        </w:rPr>
        <w:t>vállalati teljesítménymutatók változása</w:t>
      </w:r>
      <w:r w:rsidR="006A39E0" w:rsidRPr="00986F85">
        <w:rPr>
          <w:rFonts w:cs="Times New Roman"/>
        </w:rPr>
        <w:t xml:space="preserve"> (2011/2006)</w:t>
      </w:r>
      <w:bookmarkEnd w:id="29"/>
    </w:p>
    <w:tbl>
      <w:tblPr>
        <w:tblW w:w="9072" w:type="dxa"/>
        <w:tblInd w:w="70" w:type="dxa"/>
        <w:tblLayout w:type="fixed"/>
        <w:tblCellMar>
          <w:left w:w="70" w:type="dxa"/>
          <w:right w:w="70" w:type="dxa"/>
        </w:tblCellMar>
        <w:tblLook w:val="04A0" w:firstRow="1" w:lastRow="0" w:firstColumn="1" w:lastColumn="0" w:noHBand="0" w:noVBand="1"/>
      </w:tblPr>
      <w:tblGrid>
        <w:gridCol w:w="2835"/>
        <w:gridCol w:w="1247"/>
        <w:gridCol w:w="1247"/>
        <w:gridCol w:w="1248"/>
        <w:gridCol w:w="1247"/>
        <w:gridCol w:w="1248"/>
      </w:tblGrid>
      <w:tr w:rsidR="00BC26F5" w:rsidRPr="00986F85" w14:paraId="1E639B70" w14:textId="77777777" w:rsidTr="004A1D51">
        <w:trPr>
          <w:trHeight w:val="285"/>
        </w:trPr>
        <w:tc>
          <w:tcPr>
            <w:tcW w:w="2835" w:type="dxa"/>
            <w:tcBorders>
              <w:top w:val="nil"/>
              <w:left w:val="nil"/>
              <w:bottom w:val="nil"/>
              <w:right w:val="nil"/>
            </w:tcBorders>
            <w:shd w:val="clear" w:color="auto" w:fill="B10000"/>
            <w:noWrap/>
            <w:hideMark/>
          </w:tcPr>
          <w:p w14:paraId="226306EA" w14:textId="77777777" w:rsidR="00BC26F5" w:rsidRPr="00986F85" w:rsidRDefault="00BC26F5" w:rsidP="004A1D51">
            <w:pPr>
              <w:spacing w:after="0" w:line="240" w:lineRule="auto"/>
              <w:jc w:val="center"/>
              <w:rPr>
                <w:rFonts w:eastAsia="Times New Roman"/>
                <w:b/>
                <w:color w:val="FFFFFF"/>
                <w:sz w:val="22"/>
                <w:lang w:eastAsia="hu-HU"/>
              </w:rPr>
            </w:pPr>
          </w:p>
        </w:tc>
        <w:tc>
          <w:tcPr>
            <w:tcW w:w="1247" w:type="dxa"/>
            <w:tcBorders>
              <w:top w:val="nil"/>
              <w:left w:val="nil"/>
              <w:bottom w:val="nil"/>
              <w:right w:val="nil"/>
            </w:tcBorders>
            <w:shd w:val="clear" w:color="auto" w:fill="B10000"/>
            <w:noWrap/>
            <w:hideMark/>
          </w:tcPr>
          <w:p w14:paraId="4C0D01FE" w14:textId="77777777" w:rsidR="00BC26F5" w:rsidRPr="00986F85" w:rsidRDefault="00BC26F5" w:rsidP="00970917">
            <w:pPr>
              <w:spacing w:after="0" w:line="240" w:lineRule="auto"/>
              <w:jc w:val="center"/>
              <w:rPr>
                <w:rFonts w:eastAsia="Times New Roman"/>
                <w:b/>
                <w:color w:val="FFFFFF"/>
                <w:sz w:val="22"/>
                <w:lang w:eastAsia="hu-HU"/>
              </w:rPr>
            </w:pPr>
            <w:r w:rsidRPr="00986F85">
              <w:rPr>
                <w:rFonts w:eastAsia="Times New Roman"/>
                <w:b/>
                <w:color w:val="FFFFFF"/>
                <w:sz w:val="22"/>
                <w:lang w:eastAsia="hu-HU"/>
              </w:rPr>
              <w:t>Átlag</w:t>
            </w:r>
          </w:p>
        </w:tc>
        <w:tc>
          <w:tcPr>
            <w:tcW w:w="1247" w:type="dxa"/>
            <w:tcBorders>
              <w:top w:val="nil"/>
              <w:left w:val="nil"/>
              <w:bottom w:val="nil"/>
              <w:right w:val="nil"/>
            </w:tcBorders>
            <w:shd w:val="clear" w:color="auto" w:fill="B10000"/>
            <w:noWrap/>
            <w:hideMark/>
          </w:tcPr>
          <w:p w14:paraId="2A1255F3" w14:textId="77777777" w:rsidR="00BC26F5" w:rsidRPr="00986F85" w:rsidRDefault="00BC26F5" w:rsidP="00970917">
            <w:pPr>
              <w:spacing w:after="0" w:line="240" w:lineRule="auto"/>
              <w:jc w:val="center"/>
              <w:rPr>
                <w:rFonts w:eastAsia="Times New Roman"/>
                <w:b/>
                <w:color w:val="FFFFFF"/>
                <w:sz w:val="22"/>
                <w:lang w:eastAsia="hu-HU"/>
              </w:rPr>
            </w:pPr>
            <w:r w:rsidRPr="00986F85">
              <w:rPr>
                <w:rFonts w:eastAsia="Times New Roman"/>
                <w:b/>
                <w:color w:val="FFFFFF"/>
                <w:sz w:val="22"/>
                <w:lang w:eastAsia="hu-HU"/>
              </w:rPr>
              <w:t>Szórás</w:t>
            </w:r>
          </w:p>
        </w:tc>
        <w:tc>
          <w:tcPr>
            <w:tcW w:w="1248" w:type="dxa"/>
            <w:tcBorders>
              <w:top w:val="nil"/>
              <w:left w:val="nil"/>
              <w:bottom w:val="nil"/>
              <w:right w:val="nil"/>
            </w:tcBorders>
            <w:shd w:val="clear" w:color="auto" w:fill="B10000"/>
            <w:noWrap/>
            <w:hideMark/>
          </w:tcPr>
          <w:p w14:paraId="1C781B9A" w14:textId="77777777" w:rsidR="00BC26F5" w:rsidRPr="00986F85" w:rsidRDefault="00BC26F5" w:rsidP="00970917">
            <w:pPr>
              <w:spacing w:after="0" w:line="240" w:lineRule="auto"/>
              <w:jc w:val="center"/>
              <w:rPr>
                <w:rFonts w:eastAsia="Times New Roman"/>
                <w:b/>
                <w:color w:val="FFFFFF"/>
                <w:sz w:val="22"/>
                <w:lang w:eastAsia="hu-HU"/>
              </w:rPr>
            </w:pPr>
            <w:r w:rsidRPr="00986F85">
              <w:rPr>
                <w:rFonts w:eastAsia="Times New Roman"/>
                <w:b/>
                <w:color w:val="FFFFFF"/>
                <w:sz w:val="22"/>
                <w:lang w:eastAsia="hu-HU"/>
              </w:rPr>
              <w:t>Alsó kvartilis</w:t>
            </w:r>
          </w:p>
        </w:tc>
        <w:tc>
          <w:tcPr>
            <w:tcW w:w="1247" w:type="dxa"/>
            <w:tcBorders>
              <w:top w:val="nil"/>
              <w:left w:val="nil"/>
              <w:bottom w:val="nil"/>
              <w:right w:val="nil"/>
            </w:tcBorders>
            <w:shd w:val="clear" w:color="auto" w:fill="B10000"/>
            <w:noWrap/>
            <w:hideMark/>
          </w:tcPr>
          <w:p w14:paraId="46C7B1FF" w14:textId="77777777" w:rsidR="00BC26F5" w:rsidRPr="00986F85" w:rsidRDefault="00BC26F5" w:rsidP="00970917">
            <w:pPr>
              <w:spacing w:after="0" w:line="240" w:lineRule="auto"/>
              <w:jc w:val="center"/>
              <w:rPr>
                <w:rFonts w:eastAsia="Times New Roman"/>
                <w:b/>
                <w:color w:val="FFFFFF"/>
                <w:sz w:val="22"/>
                <w:lang w:eastAsia="hu-HU"/>
              </w:rPr>
            </w:pPr>
            <w:r w:rsidRPr="00986F85">
              <w:rPr>
                <w:rFonts w:eastAsia="Times New Roman"/>
                <w:b/>
                <w:color w:val="FFFFFF"/>
                <w:sz w:val="22"/>
                <w:lang w:eastAsia="hu-HU"/>
              </w:rPr>
              <w:t>Medián</w:t>
            </w:r>
          </w:p>
        </w:tc>
        <w:tc>
          <w:tcPr>
            <w:tcW w:w="1248" w:type="dxa"/>
            <w:tcBorders>
              <w:top w:val="nil"/>
              <w:left w:val="nil"/>
              <w:bottom w:val="nil"/>
              <w:right w:val="nil"/>
            </w:tcBorders>
            <w:shd w:val="clear" w:color="auto" w:fill="B10000"/>
            <w:noWrap/>
            <w:hideMark/>
          </w:tcPr>
          <w:p w14:paraId="76044F50" w14:textId="77777777" w:rsidR="00BC26F5" w:rsidRPr="00986F85" w:rsidRDefault="00BC26F5" w:rsidP="00970917">
            <w:pPr>
              <w:spacing w:after="0" w:line="240" w:lineRule="auto"/>
              <w:jc w:val="center"/>
              <w:rPr>
                <w:rFonts w:eastAsia="Times New Roman"/>
                <w:b/>
                <w:color w:val="FFFFFF"/>
                <w:sz w:val="22"/>
                <w:lang w:eastAsia="hu-HU"/>
              </w:rPr>
            </w:pPr>
            <w:r w:rsidRPr="00986F85">
              <w:rPr>
                <w:rFonts w:eastAsia="Times New Roman"/>
                <w:b/>
                <w:color w:val="FFFFFF"/>
                <w:sz w:val="22"/>
                <w:lang w:eastAsia="hu-HU"/>
              </w:rPr>
              <w:t>Felső kvartilis</w:t>
            </w:r>
          </w:p>
        </w:tc>
      </w:tr>
      <w:tr w:rsidR="00BC26F5" w:rsidRPr="00986F85" w14:paraId="19919685" w14:textId="77777777" w:rsidTr="004A1D51">
        <w:trPr>
          <w:trHeight w:val="285"/>
        </w:trPr>
        <w:tc>
          <w:tcPr>
            <w:tcW w:w="2835" w:type="dxa"/>
            <w:tcBorders>
              <w:top w:val="nil"/>
              <w:left w:val="nil"/>
              <w:bottom w:val="nil"/>
              <w:right w:val="nil"/>
            </w:tcBorders>
            <w:shd w:val="clear" w:color="auto" w:fill="auto"/>
            <w:noWrap/>
            <w:vAlign w:val="bottom"/>
            <w:hideMark/>
          </w:tcPr>
          <w:p w14:paraId="6E4ED666" w14:textId="77777777" w:rsidR="00BC26F5" w:rsidRPr="00986F85" w:rsidRDefault="00BC26F5" w:rsidP="00B55859">
            <w:pPr>
              <w:spacing w:after="0" w:line="240" w:lineRule="auto"/>
              <w:rPr>
                <w:rFonts w:eastAsia="Times New Roman"/>
                <w:color w:val="000000"/>
                <w:sz w:val="22"/>
                <w:lang w:eastAsia="hu-HU"/>
              </w:rPr>
            </w:pPr>
            <w:r w:rsidRPr="00986F85">
              <w:rPr>
                <w:rFonts w:eastAsia="Times New Roman"/>
                <w:color w:val="000000"/>
                <w:sz w:val="22"/>
                <w:lang w:eastAsia="hu-HU"/>
              </w:rPr>
              <w:t>Foglalkoztatottak száma (%)</w:t>
            </w:r>
          </w:p>
        </w:tc>
        <w:tc>
          <w:tcPr>
            <w:tcW w:w="1247" w:type="dxa"/>
            <w:tcBorders>
              <w:top w:val="nil"/>
              <w:left w:val="nil"/>
              <w:bottom w:val="nil"/>
              <w:right w:val="nil"/>
            </w:tcBorders>
            <w:shd w:val="clear" w:color="auto" w:fill="auto"/>
            <w:noWrap/>
            <w:vAlign w:val="bottom"/>
            <w:hideMark/>
          </w:tcPr>
          <w:p w14:paraId="61840887"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-15.9</w:t>
            </w:r>
          </w:p>
        </w:tc>
        <w:tc>
          <w:tcPr>
            <w:tcW w:w="1247" w:type="dxa"/>
            <w:tcBorders>
              <w:top w:val="nil"/>
              <w:left w:val="nil"/>
              <w:bottom w:val="nil"/>
              <w:right w:val="nil"/>
            </w:tcBorders>
            <w:shd w:val="clear" w:color="auto" w:fill="auto"/>
            <w:noWrap/>
            <w:vAlign w:val="bottom"/>
            <w:hideMark/>
          </w:tcPr>
          <w:p w14:paraId="21481E74"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62.4</w:t>
            </w:r>
          </w:p>
        </w:tc>
        <w:tc>
          <w:tcPr>
            <w:tcW w:w="1248" w:type="dxa"/>
            <w:tcBorders>
              <w:top w:val="nil"/>
              <w:left w:val="nil"/>
              <w:bottom w:val="nil"/>
              <w:right w:val="nil"/>
            </w:tcBorders>
            <w:shd w:val="clear" w:color="auto" w:fill="auto"/>
            <w:noWrap/>
            <w:vAlign w:val="bottom"/>
            <w:hideMark/>
          </w:tcPr>
          <w:p w14:paraId="66C501D5"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-50.0</w:t>
            </w:r>
          </w:p>
        </w:tc>
        <w:tc>
          <w:tcPr>
            <w:tcW w:w="1247" w:type="dxa"/>
            <w:tcBorders>
              <w:top w:val="nil"/>
              <w:left w:val="nil"/>
              <w:bottom w:val="nil"/>
              <w:right w:val="nil"/>
            </w:tcBorders>
            <w:shd w:val="clear" w:color="auto" w:fill="auto"/>
            <w:noWrap/>
            <w:vAlign w:val="bottom"/>
            <w:hideMark/>
          </w:tcPr>
          <w:p w14:paraId="2EE44356"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-20.0</w:t>
            </w:r>
          </w:p>
        </w:tc>
        <w:tc>
          <w:tcPr>
            <w:tcW w:w="1248" w:type="dxa"/>
            <w:tcBorders>
              <w:top w:val="nil"/>
              <w:left w:val="nil"/>
              <w:bottom w:val="nil"/>
              <w:right w:val="nil"/>
            </w:tcBorders>
            <w:shd w:val="clear" w:color="auto" w:fill="auto"/>
            <w:noWrap/>
            <w:vAlign w:val="bottom"/>
            <w:hideMark/>
          </w:tcPr>
          <w:p w14:paraId="05F816DC"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5.3</w:t>
            </w:r>
          </w:p>
        </w:tc>
      </w:tr>
      <w:tr w:rsidR="00BC26F5" w:rsidRPr="00986F85" w14:paraId="0457432E" w14:textId="77777777" w:rsidTr="004A1D51">
        <w:trPr>
          <w:trHeight w:val="285"/>
        </w:trPr>
        <w:tc>
          <w:tcPr>
            <w:tcW w:w="2835" w:type="dxa"/>
            <w:tcBorders>
              <w:top w:val="nil"/>
              <w:left w:val="nil"/>
              <w:bottom w:val="nil"/>
              <w:right w:val="nil"/>
            </w:tcBorders>
            <w:shd w:val="clear" w:color="auto" w:fill="auto"/>
            <w:noWrap/>
            <w:vAlign w:val="bottom"/>
            <w:hideMark/>
          </w:tcPr>
          <w:p w14:paraId="01482052" w14:textId="77777777" w:rsidR="00BC26F5" w:rsidRPr="00986F85" w:rsidRDefault="00BC26F5" w:rsidP="00B55859">
            <w:pPr>
              <w:spacing w:after="0" w:line="240" w:lineRule="auto"/>
              <w:rPr>
                <w:rFonts w:eastAsia="Times New Roman"/>
                <w:color w:val="000000"/>
                <w:sz w:val="22"/>
                <w:lang w:eastAsia="hu-HU"/>
              </w:rPr>
            </w:pPr>
            <w:r w:rsidRPr="00986F85">
              <w:rPr>
                <w:rFonts w:eastAsia="Times New Roman"/>
                <w:color w:val="000000"/>
                <w:sz w:val="22"/>
                <w:lang w:eastAsia="hu-HU"/>
              </w:rPr>
              <w:t>Nettó árbevétel (%)</w:t>
            </w:r>
          </w:p>
        </w:tc>
        <w:tc>
          <w:tcPr>
            <w:tcW w:w="1247" w:type="dxa"/>
            <w:tcBorders>
              <w:top w:val="nil"/>
              <w:left w:val="nil"/>
              <w:bottom w:val="nil"/>
              <w:right w:val="nil"/>
            </w:tcBorders>
            <w:shd w:val="clear" w:color="auto" w:fill="auto"/>
            <w:noWrap/>
            <w:vAlign w:val="bottom"/>
            <w:hideMark/>
          </w:tcPr>
          <w:p w14:paraId="470C9F83"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443</w:t>
            </w:r>
            <w:r w:rsidR="002A5599" w:rsidRPr="00986F85">
              <w:rPr>
                <w:rFonts w:eastAsia="Times New Roman"/>
                <w:color w:val="000000"/>
                <w:sz w:val="22"/>
                <w:lang w:eastAsia="hu-HU"/>
              </w:rPr>
              <w:t>,</w:t>
            </w:r>
            <w:r w:rsidRPr="00986F85">
              <w:rPr>
                <w:rFonts w:eastAsia="Times New Roman"/>
                <w:color w:val="000000"/>
                <w:sz w:val="22"/>
                <w:lang w:eastAsia="hu-HU"/>
              </w:rPr>
              <w:t>7</w:t>
            </w:r>
          </w:p>
        </w:tc>
        <w:tc>
          <w:tcPr>
            <w:tcW w:w="1247" w:type="dxa"/>
            <w:tcBorders>
              <w:top w:val="nil"/>
              <w:left w:val="nil"/>
              <w:bottom w:val="nil"/>
              <w:right w:val="nil"/>
            </w:tcBorders>
            <w:shd w:val="clear" w:color="auto" w:fill="auto"/>
            <w:noWrap/>
            <w:vAlign w:val="bottom"/>
            <w:hideMark/>
          </w:tcPr>
          <w:p w14:paraId="4A50477F"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44751</w:t>
            </w:r>
            <w:r w:rsidR="002A5599" w:rsidRPr="00986F85">
              <w:rPr>
                <w:rFonts w:eastAsia="Times New Roman"/>
                <w:color w:val="000000"/>
                <w:sz w:val="22"/>
                <w:lang w:eastAsia="hu-HU"/>
              </w:rPr>
              <w:t>,</w:t>
            </w:r>
            <w:r w:rsidRPr="00986F85">
              <w:rPr>
                <w:rFonts w:eastAsia="Times New Roman"/>
                <w:color w:val="000000"/>
                <w:sz w:val="22"/>
                <w:lang w:eastAsia="hu-HU"/>
              </w:rPr>
              <w:t>3</w:t>
            </w:r>
          </w:p>
        </w:tc>
        <w:tc>
          <w:tcPr>
            <w:tcW w:w="1248" w:type="dxa"/>
            <w:tcBorders>
              <w:top w:val="nil"/>
              <w:left w:val="nil"/>
              <w:bottom w:val="nil"/>
              <w:right w:val="nil"/>
            </w:tcBorders>
            <w:shd w:val="clear" w:color="auto" w:fill="auto"/>
            <w:noWrap/>
            <w:vAlign w:val="bottom"/>
            <w:hideMark/>
          </w:tcPr>
          <w:p w14:paraId="04D3AF74" w14:textId="77777777" w:rsidR="00BC26F5" w:rsidRPr="00986F85" w:rsidRDefault="00BC26F5" w:rsidP="002A5599">
            <w:pPr>
              <w:spacing w:after="0" w:line="240" w:lineRule="auto"/>
              <w:jc w:val="center"/>
              <w:rPr>
                <w:rFonts w:eastAsia="Times New Roman"/>
                <w:color w:val="000000"/>
                <w:sz w:val="22"/>
                <w:lang w:eastAsia="hu-HU"/>
              </w:rPr>
            </w:pPr>
            <w:r w:rsidRPr="00986F85">
              <w:rPr>
                <w:rFonts w:eastAsia="Times New Roman"/>
                <w:color w:val="000000"/>
                <w:sz w:val="22"/>
                <w:lang w:eastAsia="hu-HU"/>
              </w:rPr>
              <w:t>-52</w:t>
            </w:r>
            <w:r w:rsidR="002A5599" w:rsidRPr="00986F85">
              <w:rPr>
                <w:rFonts w:eastAsia="Times New Roman"/>
                <w:color w:val="000000"/>
                <w:sz w:val="22"/>
                <w:lang w:eastAsia="hu-HU"/>
              </w:rPr>
              <w:t>,</w:t>
            </w:r>
            <w:r w:rsidRPr="00986F85">
              <w:rPr>
                <w:rFonts w:eastAsia="Times New Roman"/>
                <w:color w:val="000000"/>
                <w:sz w:val="22"/>
                <w:lang w:eastAsia="hu-HU"/>
              </w:rPr>
              <w:t>1</w:t>
            </w:r>
          </w:p>
        </w:tc>
        <w:tc>
          <w:tcPr>
            <w:tcW w:w="1247" w:type="dxa"/>
            <w:tcBorders>
              <w:top w:val="nil"/>
              <w:left w:val="nil"/>
              <w:bottom w:val="nil"/>
              <w:right w:val="nil"/>
            </w:tcBorders>
            <w:shd w:val="clear" w:color="auto" w:fill="auto"/>
            <w:noWrap/>
            <w:vAlign w:val="bottom"/>
            <w:hideMark/>
          </w:tcPr>
          <w:p w14:paraId="47FEA039" w14:textId="77777777" w:rsidR="00BC26F5" w:rsidRPr="00986F85" w:rsidRDefault="00BC26F5" w:rsidP="002A5599">
            <w:pPr>
              <w:spacing w:after="0" w:line="240" w:lineRule="auto"/>
              <w:jc w:val="center"/>
              <w:rPr>
                <w:rFonts w:eastAsia="Times New Roman"/>
                <w:color w:val="000000"/>
                <w:sz w:val="22"/>
                <w:lang w:eastAsia="hu-HU"/>
              </w:rPr>
            </w:pPr>
            <w:r w:rsidRPr="00986F85">
              <w:rPr>
                <w:rFonts w:eastAsia="Times New Roman"/>
                <w:color w:val="000000"/>
                <w:sz w:val="22"/>
                <w:lang w:eastAsia="hu-HU"/>
              </w:rPr>
              <w:t>-14</w:t>
            </w:r>
            <w:r w:rsidR="002A5599" w:rsidRPr="00986F85">
              <w:rPr>
                <w:rFonts w:eastAsia="Times New Roman"/>
                <w:color w:val="000000"/>
                <w:sz w:val="22"/>
                <w:lang w:eastAsia="hu-HU"/>
              </w:rPr>
              <w:t>,</w:t>
            </w:r>
            <w:r w:rsidRPr="00986F85">
              <w:rPr>
                <w:rFonts w:eastAsia="Times New Roman"/>
                <w:color w:val="000000"/>
                <w:sz w:val="22"/>
                <w:lang w:eastAsia="hu-HU"/>
              </w:rPr>
              <w:t>3</w:t>
            </w:r>
          </w:p>
        </w:tc>
        <w:tc>
          <w:tcPr>
            <w:tcW w:w="1248" w:type="dxa"/>
            <w:tcBorders>
              <w:top w:val="nil"/>
              <w:left w:val="nil"/>
              <w:bottom w:val="nil"/>
              <w:right w:val="nil"/>
            </w:tcBorders>
            <w:shd w:val="clear" w:color="auto" w:fill="auto"/>
            <w:noWrap/>
            <w:vAlign w:val="bottom"/>
            <w:hideMark/>
          </w:tcPr>
          <w:p w14:paraId="0E55958F" w14:textId="77777777" w:rsidR="00BC26F5" w:rsidRPr="00986F85" w:rsidRDefault="00BC26F5" w:rsidP="002A5599">
            <w:pPr>
              <w:spacing w:after="0" w:line="240" w:lineRule="auto"/>
              <w:jc w:val="center"/>
              <w:rPr>
                <w:rFonts w:eastAsia="Times New Roman"/>
                <w:color w:val="000000"/>
                <w:sz w:val="22"/>
                <w:lang w:eastAsia="hu-HU"/>
              </w:rPr>
            </w:pPr>
            <w:r w:rsidRPr="00986F85">
              <w:rPr>
                <w:rFonts w:eastAsia="Times New Roman"/>
                <w:color w:val="000000"/>
                <w:sz w:val="22"/>
                <w:lang w:eastAsia="hu-HU"/>
              </w:rPr>
              <w:t>29</w:t>
            </w:r>
            <w:r w:rsidR="002A5599" w:rsidRPr="00986F85">
              <w:rPr>
                <w:rFonts w:eastAsia="Times New Roman"/>
                <w:color w:val="000000"/>
                <w:sz w:val="22"/>
                <w:lang w:eastAsia="hu-HU"/>
              </w:rPr>
              <w:t>,</w:t>
            </w:r>
            <w:r w:rsidRPr="00986F85">
              <w:rPr>
                <w:rFonts w:eastAsia="Times New Roman"/>
                <w:color w:val="000000"/>
                <w:sz w:val="22"/>
                <w:lang w:eastAsia="hu-HU"/>
              </w:rPr>
              <w:t>0</w:t>
            </w:r>
          </w:p>
        </w:tc>
      </w:tr>
      <w:tr w:rsidR="00BC26F5" w:rsidRPr="00986F85" w14:paraId="3CB50494" w14:textId="77777777" w:rsidTr="004A1D51">
        <w:trPr>
          <w:trHeight w:val="285"/>
        </w:trPr>
        <w:tc>
          <w:tcPr>
            <w:tcW w:w="2835" w:type="dxa"/>
            <w:tcBorders>
              <w:top w:val="nil"/>
              <w:left w:val="nil"/>
              <w:bottom w:val="nil"/>
              <w:right w:val="nil"/>
            </w:tcBorders>
            <w:shd w:val="clear" w:color="auto" w:fill="auto"/>
            <w:noWrap/>
            <w:vAlign w:val="bottom"/>
            <w:hideMark/>
          </w:tcPr>
          <w:p w14:paraId="22B8DFFA" w14:textId="77777777" w:rsidR="00BC26F5" w:rsidRPr="00986F85" w:rsidRDefault="00BC26F5" w:rsidP="00B55859">
            <w:pPr>
              <w:spacing w:after="0" w:line="240" w:lineRule="auto"/>
              <w:rPr>
                <w:rFonts w:eastAsia="Times New Roman"/>
                <w:color w:val="000000"/>
                <w:sz w:val="22"/>
                <w:lang w:eastAsia="hu-HU"/>
              </w:rPr>
            </w:pPr>
            <w:r w:rsidRPr="00986F85">
              <w:rPr>
                <w:rFonts w:eastAsia="Times New Roman"/>
                <w:color w:val="000000"/>
                <w:sz w:val="22"/>
                <w:lang w:eastAsia="hu-HU"/>
              </w:rPr>
              <w:t>Egy foglalkoztatottra eső árbevétel (%)</w:t>
            </w:r>
          </w:p>
        </w:tc>
        <w:tc>
          <w:tcPr>
            <w:tcW w:w="1247" w:type="dxa"/>
            <w:tcBorders>
              <w:top w:val="nil"/>
              <w:left w:val="nil"/>
              <w:bottom w:val="nil"/>
              <w:right w:val="nil"/>
            </w:tcBorders>
            <w:shd w:val="clear" w:color="auto" w:fill="auto"/>
            <w:noWrap/>
            <w:vAlign w:val="bottom"/>
            <w:hideMark/>
          </w:tcPr>
          <w:p w14:paraId="2975505D"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648</w:t>
            </w:r>
            <w:r w:rsidR="002A5599" w:rsidRPr="00986F85">
              <w:rPr>
                <w:rFonts w:eastAsia="Times New Roman"/>
                <w:color w:val="000000"/>
                <w:sz w:val="22"/>
                <w:lang w:eastAsia="hu-HU"/>
              </w:rPr>
              <w:t>,</w:t>
            </w:r>
            <w:r w:rsidRPr="00986F85">
              <w:rPr>
                <w:rFonts w:eastAsia="Times New Roman"/>
                <w:color w:val="000000"/>
                <w:sz w:val="22"/>
                <w:lang w:eastAsia="hu-HU"/>
              </w:rPr>
              <w:t>3</w:t>
            </w:r>
          </w:p>
        </w:tc>
        <w:tc>
          <w:tcPr>
            <w:tcW w:w="1247" w:type="dxa"/>
            <w:tcBorders>
              <w:top w:val="nil"/>
              <w:left w:val="nil"/>
              <w:bottom w:val="nil"/>
              <w:right w:val="nil"/>
            </w:tcBorders>
            <w:shd w:val="clear" w:color="auto" w:fill="auto"/>
            <w:noWrap/>
            <w:vAlign w:val="bottom"/>
            <w:hideMark/>
          </w:tcPr>
          <w:p w14:paraId="1498D1C2"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57007</w:t>
            </w:r>
            <w:r w:rsidR="002A5599" w:rsidRPr="00986F85">
              <w:rPr>
                <w:rFonts w:eastAsia="Times New Roman"/>
                <w:color w:val="000000"/>
                <w:sz w:val="22"/>
                <w:lang w:eastAsia="hu-HU"/>
              </w:rPr>
              <w:t>,</w:t>
            </w:r>
            <w:r w:rsidRPr="00986F85">
              <w:rPr>
                <w:rFonts w:eastAsia="Times New Roman"/>
                <w:color w:val="000000"/>
                <w:sz w:val="22"/>
                <w:lang w:eastAsia="hu-HU"/>
              </w:rPr>
              <w:t>8</w:t>
            </w:r>
          </w:p>
        </w:tc>
        <w:tc>
          <w:tcPr>
            <w:tcW w:w="1248" w:type="dxa"/>
            <w:tcBorders>
              <w:top w:val="nil"/>
              <w:left w:val="nil"/>
              <w:bottom w:val="nil"/>
              <w:right w:val="nil"/>
            </w:tcBorders>
            <w:shd w:val="clear" w:color="auto" w:fill="auto"/>
            <w:noWrap/>
            <w:vAlign w:val="bottom"/>
            <w:hideMark/>
          </w:tcPr>
          <w:p w14:paraId="45B3CE60"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-24</w:t>
            </w:r>
            <w:r w:rsidR="002A5599" w:rsidRPr="00986F85">
              <w:rPr>
                <w:rFonts w:eastAsia="Times New Roman"/>
                <w:color w:val="000000"/>
                <w:sz w:val="22"/>
                <w:lang w:eastAsia="hu-HU"/>
              </w:rPr>
              <w:t>,</w:t>
            </w:r>
            <w:r w:rsidRPr="00986F85">
              <w:rPr>
                <w:rFonts w:eastAsia="Times New Roman"/>
                <w:color w:val="000000"/>
                <w:sz w:val="22"/>
                <w:lang w:eastAsia="hu-HU"/>
              </w:rPr>
              <w:t>5</w:t>
            </w:r>
          </w:p>
        </w:tc>
        <w:tc>
          <w:tcPr>
            <w:tcW w:w="1247" w:type="dxa"/>
            <w:tcBorders>
              <w:top w:val="nil"/>
              <w:left w:val="nil"/>
              <w:bottom w:val="nil"/>
              <w:right w:val="nil"/>
            </w:tcBorders>
            <w:shd w:val="clear" w:color="auto" w:fill="auto"/>
            <w:noWrap/>
            <w:vAlign w:val="bottom"/>
            <w:hideMark/>
          </w:tcPr>
          <w:p w14:paraId="1E011CFB"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8</w:t>
            </w:r>
            <w:r w:rsidR="002A5599" w:rsidRPr="00986F85">
              <w:rPr>
                <w:rFonts w:eastAsia="Times New Roman"/>
                <w:color w:val="000000"/>
                <w:sz w:val="22"/>
                <w:lang w:eastAsia="hu-HU"/>
              </w:rPr>
              <w:t>,</w:t>
            </w:r>
            <w:r w:rsidRPr="00986F85">
              <w:rPr>
                <w:rFonts w:eastAsia="Times New Roman"/>
                <w:color w:val="000000"/>
                <w:sz w:val="22"/>
                <w:lang w:eastAsia="hu-HU"/>
              </w:rPr>
              <w:t>5</w:t>
            </w:r>
          </w:p>
        </w:tc>
        <w:tc>
          <w:tcPr>
            <w:tcW w:w="1248" w:type="dxa"/>
            <w:tcBorders>
              <w:top w:val="nil"/>
              <w:left w:val="nil"/>
              <w:bottom w:val="nil"/>
              <w:right w:val="nil"/>
            </w:tcBorders>
            <w:shd w:val="clear" w:color="auto" w:fill="auto"/>
            <w:noWrap/>
            <w:vAlign w:val="bottom"/>
            <w:hideMark/>
          </w:tcPr>
          <w:p w14:paraId="2BC19670"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52</w:t>
            </w:r>
            <w:r w:rsidR="002A5599" w:rsidRPr="00986F85">
              <w:rPr>
                <w:rFonts w:eastAsia="Times New Roman"/>
                <w:color w:val="000000"/>
                <w:sz w:val="22"/>
                <w:lang w:eastAsia="hu-HU"/>
              </w:rPr>
              <w:t>,</w:t>
            </w:r>
            <w:r w:rsidRPr="00986F85">
              <w:rPr>
                <w:rFonts w:eastAsia="Times New Roman"/>
                <w:color w:val="000000"/>
                <w:sz w:val="22"/>
                <w:lang w:eastAsia="hu-HU"/>
              </w:rPr>
              <w:t>7</w:t>
            </w:r>
          </w:p>
        </w:tc>
      </w:tr>
      <w:tr w:rsidR="00BC26F5" w:rsidRPr="00986F85" w14:paraId="41CADD71" w14:textId="77777777" w:rsidTr="004A1D51">
        <w:trPr>
          <w:trHeight w:val="285"/>
        </w:trPr>
        <w:tc>
          <w:tcPr>
            <w:tcW w:w="2835" w:type="dxa"/>
            <w:tcBorders>
              <w:top w:val="nil"/>
              <w:left w:val="nil"/>
              <w:bottom w:val="nil"/>
              <w:right w:val="nil"/>
            </w:tcBorders>
            <w:shd w:val="clear" w:color="auto" w:fill="auto"/>
            <w:noWrap/>
            <w:vAlign w:val="bottom"/>
            <w:hideMark/>
          </w:tcPr>
          <w:p w14:paraId="077D7CF5" w14:textId="77777777" w:rsidR="00BC26F5" w:rsidRPr="00986F85" w:rsidRDefault="00BC26F5" w:rsidP="00B55859">
            <w:pPr>
              <w:spacing w:after="0" w:line="240" w:lineRule="auto"/>
              <w:rPr>
                <w:rFonts w:eastAsia="Times New Roman"/>
                <w:color w:val="000000"/>
                <w:sz w:val="22"/>
                <w:lang w:eastAsia="hu-HU"/>
              </w:rPr>
            </w:pPr>
            <w:r w:rsidRPr="00986F85">
              <w:rPr>
                <w:rFonts w:eastAsia="Times New Roman"/>
                <w:color w:val="000000"/>
                <w:sz w:val="22"/>
                <w:lang w:eastAsia="hu-HU"/>
              </w:rPr>
              <w:t>Tárgyi eszköz (%)</w:t>
            </w:r>
          </w:p>
        </w:tc>
        <w:tc>
          <w:tcPr>
            <w:tcW w:w="1247" w:type="dxa"/>
            <w:tcBorders>
              <w:top w:val="nil"/>
              <w:left w:val="nil"/>
              <w:bottom w:val="nil"/>
              <w:right w:val="nil"/>
            </w:tcBorders>
            <w:shd w:val="clear" w:color="auto" w:fill="auto"/>
            <w:noWrap/>
            <w:vAlign w:val="bottom"/>
            <w:hideMark/>
          </w:tcPr>
          <w:p w14:paraId="742F78A6"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254</w:t>
            </w:r>
            <w:r w:rsidR="002A5599" w:rsidRPr="00986F85">
              <w:rPr>
                <w:rFonts w:eastAsia="Times New Roman"/>
                <w:color w:val="000000"/>
                <w:sz w:val="22"/>
                <w:lang w:eastAsia="hu-HU"/>
              </w:rPr>
              <w:t>,</w:t>
            </w:r>
            <w:r w:rsidRPr="00986F85">
              <w:rPr>
                <w:rFonts w:eastAsia="Times New Roman"/>
                <w:color w:val="000000"/>
                <w:sz w:val="22"/>
                <w:lang w:eastAsia="hu-HU"/>
              </w:rPr>
              <w:t>7</w:t>
            </w:r>
          </w:p>
        </w:tc>
        <w:tc>
          <w:tcPr>
            <w:tcW w:w="1247" w:type="dxa"/>
            <w:tcBorders>
              <w:top w:val="nil"/>
              <w:left w:val="nil"/>
              <w:bottom w:val="nil"/>
              <w:right w:val="nil"/>
            </w:tcBorders>
            <w:shd w:val="clear" w:color="auto" w:fill="auto"/>
            <w:noWrap/>
            <w:vAlign w:val="bottom"/>
            <w:hideMark/>
          </w:tcPr>
          <w:p w14:paraId="5C347A9B"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14881</w:t>
            </w:r>
            <w:r w:rsidR="002A5599" w:rsidRPr="00986F85">
              <w:rPr>
                <w:rFonts w:eastAsia="Times New Roman"/>
                <w:color w:val="000000"/>
                <w:sz w:val="22"/>
                <w:lang w:eastAsia="hu-HU"/>
              </w:rPr>
              <w:t>,</w:t>
            </w:r>
            <w:r w:rsidRPr="00986F85">
              <w:rPr>
                <w:rFonts w:eastAsia="Times New Roman"/>
                <w:color w:val="000000"/>
                <w:sz w:val="22"/>
                <w:lang w:eastAsia="hu-HU"/>
              </w:rPr>
              <w:t>5</w:t>
            </w:r>
          </w:p>
        </w:tc>
        <w:tc>
          <w:tcPr>
            <w:tcW w:w="1248" w:type="dxa"/>
            <w:tcBorders>
              <w:top w:val="nil"/>
              <w:left w:val="nil"/>
              <w:bottom w:val="nil"/>
              <w:right w:val="nil"/>
            </w:tcBorders>
            <w:shd w:val="clear" w:color="auto" w:fill="auto"/>
            <w:noWrap/>
            <w:vAlign w:val="bottom"/>
            <w:hideMark/>
          </w:tcPr>
          <w:p w14:paraId="6450615A"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-53</w:t>
            </w:r>
            <w:r w:rsidR="002A5599" w:rsidRPr="00986F85">
              <w:rPr>
                <w:rFonts w:eastAsia="Times New Roman"/>
                <w:color w:val="000000"/>
                <w:sz w:val="22"/>
                <w:lang w:eastAsia="hu-HU"/>
              </w:rPr>
              <w:t>,</w:t>
            </w:r>
            <w:r w:rsidRPr="00986F85">
              <w:rPr>
                <w:rFonts w:eastAsia="Times New Roman"/>
                <w:color w:val="000000"/>
                <w:sz w:val="22"/>
                <w:lang w:eastAsia="hu-HU"/>
              </w:rPr>
              <w:t>1</w:t>
            </w:r>
          </w:p>
        </w:tc>
        <w:tc>
          <w:tcPr>
            <w:tcW w:w="1247" w:type="dxa"/>
            <w:tcBorders>
              <w:top w:val="nil"/>
              <w:left w:val="nil"/>
              <w:bottom w:val="nil"/>
              <w:right w:val="nil"/>
            </w:tcBorders>
            <w:shd w:val="clear" w:color="auto" w:fill="auto"/>
            <w:noWrap/>
            <w:vAlign w:val="bottom"/>
            <w:hideMark/>
          </w:tcPr>
          <w:p w14:paraId="7AB399C0"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-13</w:t>
            </w:r>
            <w:r w:rsidR="002A5599" w:rsidRPr="00986F85">
              <w:rPr>
                <w:rFonts w:eastAsia="Times New Roman"/>
                <w:color w:val="000000"/>
                <w:sz w:val="22"/>
                <w:lang w:eastAsia="hu-HU"/>
              </w:rPr>
              <w:t>,</w:t>
            </w:r>
            <w:r w:rsidRPr="00986F85">
              <w:rPr>
                <w:rFonts w:eastAsia="Times New Roman"/>
                <w:color w:val="000000"/>
                <w:sz w:val="22"/>
                <w:lang w:eastAsia="hu-HU"/>
              </w:rPr>
              <w:t>4</w:t>
            </w:r>
          </w:p>
        </w:tc>
        <w:tc>
          <w:tcPr>
            <w:tcW w:w="1248" w:type="dxa"/>
            <w:tcBorders>
              <w:top w:val="nil"/>
              <w:left w:val="nil"/>
              <w:bottom w:val="nil"/>
              <w:right w:val="nil"/>
            </w:tcBorders>
            <w:shd w:val="clear" w:color="auto" w:fill="auto"/>
            <w:noWrap/>
            <w:vAlign w:val="bottom"/>
            <w:hideMark/>
          </w:tcPr>
          <w:p w14:paraId="571E55B5"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39</w:t>
            </w:r>
            <w:r w:rsidR="002A5599" w:rsidRPr="00986F85">
              <w:rPr>
                <w:rFonts w:eastAsia="Times New Roman"/>
                <w:color w:val="000000"/>
                <w:sz w:val="22"/>
                <w:lang w:eastAsia="hu-HU"/>
              </w:rPr>
              <w:t>,</w:t>
            </w:r>
            <w:r w:rsidRPr="00986F85">
              <w:rPr>
                <w:rFonts w:eastAsia="Times New Roman"/>
                <w:color w:val="000000"/>
                <w:sz w:val="22"/>
                <w:lang w:eastAsia="hu-HU"/>
              </w:rPr>
              <w:t>3</w:t>
            </w:r>
          </w:p>
        </w:tc>
      </w:tr>
      <w:tr w:rsidR="00BC26F5" w:rsidRPr="00986F85" w14:paraId="215CAEF4" w14:textId="77777777" w:rsidTr="004A1D51">
        <w:trPr>
          <w:trHeight w:val="285"/>
        </w:trPr>
        <w:tc>
          <w:tcPr>
            <w:tcW w:w="2835" w:type="dxa"/>
            <w:tcBorders>
              <w:top w:val="nil"/>
              <w:left w:val="nil"/>
              <w:bottom w:val="nil"/>
              <w:right w:val="nil"/>
            </w:tcBorders>
            <w:shd w:val="clear" w:color="auto" w:fill="auto"/>
            <w:noWrap/>
            <w:vAlign w:val="bottom"/>
            <w:hideMark/>
          </w:tcPr>
          <w:p w14:paraId="1E9E05FB" w14:textId="77777777" w:rsidR="00BC26F5" w:rsidRPr="00986F85" w:rsidRDefault="00BC26F5" w:rsidP="00B55859">
            <w:pPr>
              <w:spacing w:after="0" w:line="240" w:lineRule="auto"/>
              <w:rPr>
                <w:rFonts w:eastAsia="Times New Roman"/>
                <w:color w:val="000000"/>
                <w:sz w:val="22"/>
                <w:lang w:eastAsia="hu-HU"/>
              </w:rPr>
            </w:pPr>
            <w:r w:rsidRPr="00986F85">
              <w:rPr>
                <w:rFonts w:eastAsia="Times New Roman"/>
                <w:color w:val="000000"/>
                <w:sz w:val="22"/>
                <w:lang w:eastAsia="hu-HU"/>
              </w:rPr>
              <w:t>Tőkeintenzitás (%)</w:t>
            </w:r>
          </w:p>
        </w:tc>
        <w:tc>
          <w:tcPr>
            <w:tcW w:w="1247" w:type="dxa"/>
            <w:tcBorders>
              <w:top w:val="nil"/>
              <w:left w:val="nil"/>
              <w:bottom w:val="nil"/>
              <w:right w:val="nil"/>
            </w:tcBorders>
            <w:shd w:val="clear" w:color="auto" w:fill="auto"/>
            <w:noWrap/>
            <w:vAlign w:val="bottom"/>
            <w:hideMark/>
          </w:tcPr>
          <w:p w14:paraId="2F581E10"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382</w:t>
            </w:r>
            <w:r w:rsidR="002A5599" w:rsidRPr="00986F85">
              <w:rPr>
                <w:rFonts w:eastAsia="Times New Roman"/>
                <w:color w:val="000000"/>
                <w:sz w:val="22"/>
                <w:lang w:eastAsia="hu-HU"/>
              </w:rPr>
              <w:t>,</w:t>
            </w:r>
            <w:r w:rsidRPr="00986F85">
              <w:rPr>
                <w:rFonts w:eastAsia="Times New Roman"/>
                <w:color w:val="000000"/>
                <w:sz w:val="22"/>
                <w:lang w:eastAsia="hu-HU"/>
              </w:rPr>
              <w:t>2</w:t>
            </w:r>
          </w:p>
        </w:tc>
        <w:tc>
          <w:tcPr>
            <w:tcW w:w="1247" w:type="dxa"/>
            <w:tcBorders>
              <w:top w:val="nil"/>
              <w:left w:val="nil"/>
              <w:bottom w:val="nil"/>
              <w:right w:val="nil"/>
            </w:tcBorders>
            <w:shd w:val="clear" w:color="auto" w:fill="auto"/>
            <w:noWrap/>
            <w:vAlign w:val="bottom"/>
            <w:hideMark/>
          </w:tcPr>
          <w:p w14:paraId="62862846"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6173</w:t>
            </w:r>
            <w:r w:rsidR="002A5599" w:rsidRPr="00986F85">
              <w:rPr>
                <w:rFonts w:eastAsia="Times New Roman"/>
                <w:color w:val="000000"/>
                <w:sz w:val="22"/>
                <w:lang w:eastAsia="hu-HU"/>
              </w:rPr>
              <w:t>,</w:t>
            </w:r>
            <w:r w:rsidRPr="00986F85">
              <w:rPr>
                <w:rFonts w:eastAsia="Times New Roman"/>
                <w:color w:val="000000"/>
                <w:sz w:val="22"/>
                <w:lang w:eastAsia="hu-HU"/>
              </w:rPr>
              <w:t>6</w:t>
            </w:r>
          </w:p>
        </w:tc>
        <w:tc>
          <w:tcPr>
            <w:tcW w:w="1248" w:type="dxa"/>
            <w:tcBorders>
              <w:top w:val="nil"/>
              <w:left w:val="nil"/>
              <w:bottom w:val="nil"/>
              <w:right w:val="nil"/>
            </w:tcBorders>
            <w:shd w:val="clear" w:color="auto" w:fill="auto"/>
            <w:noWrap/>
            <w:vAlign w:val="bottom"/>
            <w:hideMark/>
          </w:tcPr>
          <w:p w14:paraId="4FC3E4D0"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-38</w:t>
            </w:r>
            <w:r w:rsidR="002A5599" w:rsidRPr="00986F85">
              <w:rPr>
                <w:rFonts w:eastAsia="Times New Roman"/>
                <w:color w:val="000000"/>
                <w:sz w:val="22"/>
                <w:lang w:eastAsia="hu-HU"/>
              </w:rPr>
              <w:t>,</w:t>
            </w:r>
            <w:r w:rsidRPr="00986F85">
              <w:rPr>
                <w:rFonts w:eastAsia="Times New Roman"/>
                <w:color w:val="000000"/>
                <w:sz w:val="22"/>
                <w:lang w:eastAsia="hu-HU"/>
              </w:rPr>
              <w:t>3</w:t>
            </w:r>
          </w:p>
        </w:tc>
        <w:tc>
          <w:tcPr>
            <w:tcW w:w="1247" w:type="dxa"/>
            <w:tcBorders>
              <w:top w:val="nil"/>
              <w:left w:val="nil"/>
              <w:bottom w:val="nil"/>
              <w:right w:val="nil"/>
            </w:tcBorders>
            <w:shd w:val="clear" w:color="auto" w:fill="auto"/>
            <w:noWrap/>
            <w:vAlign w:val="bottom"/>
            <w:hideMark/>
          </w:tcPr>
          <w:p w14:paraId="292DE22B"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11</w:t>
            </w:r>
            <w:r w:rsidR="002A5599" w:rsidRPr="00986F85">
              <w:rPr>
                <w:rFonts w:eastAsia="Times New Roman"/>
                <w:color w:val="000000"/>
                <w:sz w:val="22"/>
                <w:lang w:eastAsia="hu-HU"/>
              </w:rPr>
              <w:t>,</w:t>
            </w:r>
            <w:r w:rsidRPr="00986F85">
              <w:rPr>
                <w:rFonts w:eastAsia="Times New Roman"/>
                <w:color w:val="000000"/>
                <w:sz w:val="22"/>
                <w:lang w:eastAsia="hu-HU"/>
              </w:rPr>
              <w:t>0</w:t>
            </w:r>
          </w:p>
        </w:tc>
        <w:tc>
          <w:tcPr>
            <w:tcW w:w="1248" w:type="dxa"/>
            <w:tcBorders>
              <w:top w:val="nil"/>
              <w:left w:val="nil"/>
              <w:bottom w:val="nil"/>
              <w:right w:val="nil"/>
            </w:tcBorders>
            <w:shd w:val="clear" w:color="auto" w:fill="auto"/>
            <w:noWrap/>
            <w:vAlign w:val="bottom"/>
            <w:hideMark/>
          </w:tcPr>
          <w:p w14:paraId="604A66F5"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105</w:t>
            </w:r>
            <w:r w:rsidR="002A5599" w:rsidRPr="00986F85">
              <w:rPr>
                <w:rFonts w:eastAsia="Times New Roman"/>
                <w:color w:val="000000"/>
                <w:sz w:val="22"/>
                <w:lang w:eastAsia="hu-HU"/>
              </w:rPr>
              <w:t>,</w:t>
            </w:r>
            <w:r w:rsidRPr="00986F85">
              <w:rPr>
                <w:rFonts w:eastAsia="Times New Roman"/>
                <w:color w:val="000000"/>
                <w:sz w:val="22"/>
                <w:lang w:eastAsia="hu-HU"/>
              </w:rPr>
              <w:t>2</w:t>
            </w:r>
          </w:p>
        </w:tc>
      </w:tr>
      <w:tr w:rsidR="00BC26F5" w:rsidRPr="00986F85" w14:paraId="39B81798" w14:textId="77777777" w:rsidTr="004A1D51">
        <w:trPr>
          <w:trHeight w:val="285"/>
        </w:trPr>
        <w:tc>
          <w:tcPr>
            <w:tcW w:w="2835" w:type="dxa"/>
            <w:tcBorders>
              <w:top w:val="nil"/>
              <w:left w:val="nil"/>
              <w:bottom w:val="nil"/>
              <w:right w:val="nil"/>
            </w:tcBorders>
            <w:shd w:val="clear" w:color="auto" w:fill="auto"/>
            <w:noWrap/>
            <w:vAlign w:val="bottom"/>
            <w:hideMark/>
          </w:tcPr>
          <w:p w14:paraId="7BB09A55" w14:textId="77777777" w:rsidR="00BC26F5" w:rsidRPr="00986F85" w:rsidRDefault="00BC26F5" w:rsidP="00B55859">
            <w:pPr>
              <w:spacing w:after="0" w:line="240" w:lineRule="auto"/>
              <w:rPr>
                <w:rFonts w:eastAsia="Times New Roman"/>
                <w:color w:val="000000"/>
                <w:sz w:val="22"/>
                <w:lang w:eastAsia="hu-HU"/>
              </w:rPr>
            </w:pPr>
            <w:r w:rsidRPr="00986F85">
              <w:rPr>
                <w:rFonts w:eastAsia="Times New Roman"/>
                <w:color w:val="000000"/>
                <w:sz w:val="22"/>
                <w:lang w:eastAsia="hu-HU"/>
              </w:rPr>
              <w:t>Jegyzett tőke</w:t>
            </w:r>
            <w:r w:rsidR="002B2115" w:rsidRPr="00986F85">
              <w:rPr>
                <w:rFonts w:eastAsia="Times New Roman"/>
                <w:color w:val="000000"/>
                <w:sz w:val="22"/>
                <w:lang w:eastAsia="hu-HU"/>
              </w:rPr>
              <w:t xml:space="preserve"> (%)</w:t>
            </w:r>
          </w:p>
        </w:tc>
        <w:tc>
          <w:tcPr>
            <w:tcW w:w="1247" w:type="dxa"/>
            <w:tcBorders>
              <w:top w:val="nil"/>
              <w:left w:val="nil"/>
              <w:bottom w:val="nil"/>
              <w:right w:val="nil"/>
            </w:tcBorders>
            <w:shd w:val="clear" w:color="auto" w:fill="auto"/>
            <w:noWrap/>
            <w:vAlign w:val="bottom"/>
            <w:hideMark/>
          </w:tcPr>
          <w:p w14:paraId="411DAAF6"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207</w:t>
            </w:r>
            <w:r w:rsidR="002A5599" w:rsidRPr="00986F85">
              <w:rPr>
                <w:rFonts w:eastAsia="Times New Roman"/>
                <w:color w:val="000000"/>
                <w:sz w:val="22"/>
                <w:lang w:eastAsia="hu-HU"/>
              </w:rPr>
              <w:t>,</w:t>
            </w:r>
            <w:r w:rsidRPr="00986F85">
              <w:rPr>
                <w:rFonts w:eastAsia="Times New Roman"/>
                <w:color w:val="000000"/>
                <w:sz w:val="22"/>
                <w:lang w:eastAsia="hu-HU"/>
              </w:rPr>
              <w:t>2</w:t>
            </w:r>
          </w:p>
        </w:tc>
        <w:tc>
          <w:tcPr>
            <w:tcW w:w="1247" w:type="dxa"/>
            <w:tcBorders>
              <w:top w:val="nil"/>
              <w:left w:val="nil"/>
              <w:bottom w:val="nil"/>
              <w:right w:val="nil"/>
            </w:tcBorders>
            <w:shd w:val="clear" w:color="auto" w:fill="auto"/>
            <w:noWrap/>
            <w:vAlign w:val="bottom"/>
            <w:hideMark/>
          </w:tcPr>
          <w:p w14:paraId="2A34716A"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9086</w:t>
            </w:r>
            <w:r w:rsidR="002A5599" w:rsidRPr="00986F85">
              <w:rPr>
                <w:rFonts w:eastAsia="Times New Roman"/>
                <w:color w:val="000000"/>
                <w:sz w:val="22"/>
                <w:lang w:eastAsia="hu-HU"/>
              </w:rPr>
              <w:t>,</w:t>
            </w:r>
            <w:r w:rsidRPr="00986F85">
              <w:rPr>
                <w:rFonts w:eastAsia="Times New Roman"/>
                <w:color w:val="000000"/>
                <w:sz w:val="22"/>
                <w:lang w:eastAsia="hu-HU"/>
              </w:rPr>
              <w:t>5</w:t>
            </w:r>
          </w:p>
        </w:tc>
        <w:tc>
          <w:tcPr>
            <w:tcW w:w="1248" w:type="dxa"/>
            <w:tcBorders>
              <w:top w:val="nil"/>
              <w:left w:val="nil"/>
              <w:bottom w:val="nil"/>
              <w:right w:val="nil"/>
            </w:tcBorders>
            <w:shd w:val="clear" w:color="auto" w:fill="auto"/>
            <w:noWrap/>
            <w:vAlign w:val="bottom"/>
            <w:hideMark/>
          </w:tcPr>
          <w:p w14:paraId="38EFC560"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0</w:t>
            </w:r>
            <w:r w:rsidR="002A5599" w:rsidRPr="00986F85">
              <w:rPr>
                <w:rFonts w:eastAsia="Times New Roman"/>
                <w:color w:val="000000"/>
                <w:sz w:val="22"/>
                <w:lang w:eastAsia="hu-HU"/>
              </w:rPr>
              <w:t>,</w:t>
            </w:r>
            <w:r w:rsidRPr="00986F85">
              <w:rPr>
                <w:rFonts w:eastAsia="Times New Roman"/>
                <w:color w:val="000000"/>
                <w:sz w:val="22"/>
                <w:lang w:eastAsia="hu-HU"/>
              </w:rPr>
              <w:t>0</w:t>
            </w:r>
          </w:p>
        </w:tc>
        <w:tc>
          <w:tcPr>
            <w:tcW w:w="1247" w:type="dxa"/>
            <w:tcBorders>
              <w:top w:val="nil"/>
              <w:left w:val="nil"/>
              <w:bottom w:val="nil"/>
              <w:right w:val="nil"/>
            </w:tcBorders>
            <w:shd w:val="clear" w:color="auto" w:fill="auto"/>
            <w:noWrap/>
            <w:vAlign w:val="bottom"/>
            <w:hideMark/>
          </w:tcPr>
          <w:p w14:paraId="6173D3DB"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0</w:t>
            </w:r>
            <w:r w:rsidR="002A5599" w:rsidRPr="00986F85">
              <w:rPr>
                <w:rFonts w:eastAsia="Times New Roman"/>
                <w:color w:val="000000"/>
                <w:sz w:val="22"/>
                <w:lang w:eastAsia="hu-HU"/>
              </w:rPr>
              <w:t>,</w:t>
            </w:r>
            <w:r w:rsidRPr="00986F85">
              <w:rPr>
                <w:rFonts w:eastAsia="Times New Roman"/>
                <w:color w:val="000000"/>
                <w:sz w:val="22"/>
                <w:lang w:eastAsia="hu-HU"/>
              </w:rPr>
              <w:t>0</w:t>
            </w:r>
          </w:p>
        </w:tc>
        <w:tc>
          <w:tcPr>
            <w:tcW w:w="1248" w:type="dxa"/>
            <w:tcBorders>
              <w:top w:val="nil"/>
              <w:left w:val="nil"/>
              <w:bottom w:val="nil"/>
              <w:right w:val="nil"/>
            </w:tcBorders>
            <w:shd w:val="clear" w:color="auto" w:fill="auto"/>
            <w:noWrap/>
            <w:vAlign w:val="bottom"/>
            <w:hideMark/>
          </w:tcPr>
          <w:p w14:paraId="33936C8C"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0</w:t>
            </w:r>
            <w:r w:rsidR="002A5599" w:rsidRPr="00986F85">
              <w:rPr>
                <w:rFonts w:eastAsia="Times New Roman"/>
                <w:color w:val="000000"/>
                <w:sz w:val="22"/>
                <w:lang w:eastAsia="hu-HU"/>
              </w:rPr>
              <w:t>,</w:t>
            </w:r>
            <w:r w:rsidRPr="00986F85">
              <w:rPr>
                <w:rFonts w:eastAsia="Times New Roman"/>
                <w:color w:val="000000"/>
                <w:sz w:val="22"/>
                <w:lang w:eastAsia="hu-HU"/>
              </w:rPr>
              <w:t>0</w:t>
            </w:r>
          </w:p>
        </w:tc>
      </w:tr>
      <w:tr w:rsidR="00BC26F5" w:rsidRPr="00986F85" w14:paraId="6152EE03" w14:textId="77777777" w:rsidTr="004A1D51">
        <w:trPr>
          <w:trHeight w:val="285"/>
        </w:trPr>
        <w:tc>
          <w:tcPr>
            <w:tcW w:w="2835" w:type="dxa"/>
            <w:tcBorders>
              <w:top w:val="nil"/>
              <w:left w:val="nil"/>
              <w:bottom w:val="nil"/>
              <w:right w:val="nil"/>
            </w:tcBorders>
            <w:shd w:val="clear" w:color="auto" w:fill="auto"/>
            <w:noWrap/>
            <w:vAlign w:val="bottom"/>
            <w:hideMark/>
          </w:tcPr>
          <w:p w14:paraId="666DE8CD" w14:textId="77777777" w:rsidR="00BC26F5" w:rsidRPr="00986F85" w:rsidRDefault="00BC26F5" w:rsidP="00B55859">
            <w:pPr>
              <w:spacing w:after="0" w:line="240" w:lineRule="auto"/>
              <w:rPr>
                <w:rFonts w:eastAsia="Times New Roman"/>
                <w:color w:val="000000"/>
                <w:sz w:val="22"/>
                <w:lang w:eastAsia="hu-HU"/>
              </w:rPr>
            </w:pPr>
            <w:r w:rsidRPr="00986F85">
              <w:rPr>
                <w:rFonts w:eastAsia="Times New Roman"/>
                <w:color w:val="000000"/>
                <w:sz w:val="22"/>
                <w:lang w:eastAsia="hu-HU"/>
              </w:rPr>
              <w:t>Egy foglalkoztatottra eső jegyzett tőke (%)</w:t>
            </w:r>
          </w:p>
        </w:tc>
        <w:tc>
          <w:tcPr>
            <w:tcW w:w="1247" w:type="dxa"/>
            <w:tcBorders>
              <w:top w:val="nil"/>
              <w:left w:val="nil"/>
              <w:bottom w:val="nil"/>
              <w:right w:val="nil"/>
            </w:tcBorders>
            <w:shd w:val="clear" w:color="auto" w:fill="auto"/>
            <w:noWrap/>
            <w:vAlign w:val="bottom"/>
            <w:hideMark/>
          </w:tcPr>
          <w:p w14:paraId="2188DE5C"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506</w:t>
            </w:r>
            <w:r w:rsidR="002A5599" w:rsidRPr="00986F85">
              <w:rPr>
                <w:rFonts w:eastAsia="Times New Roman"/>
                <w:color w:val="000000"/>
                <w:sz w:val="22"/>
                <w:lang w:eastAsia="hu-HU"/>
              </w:rPr>
              <w:t>,</w:t>
            </w:r>
            <w:r w:rsidRPr="00986F85">
              <w:rPr>
                <w:rFonts w:eastAsia="Times New Roman"/>
                <w:color w:val="000000"/>
                <w:sz w:val="22"/>
                <w:lang w:eastAsia="hu-HU"/>
              </w:rPr>
              <w:t>3</w:t>
            </w:r>
          </w:p>
        </w:tc>
        <w:tc>
          <w:tcPr>
            <w:tcW w:w="1247" w:type="dxa"/>
            <w:tcBorders>
              <w:top w:val="nil"/>
              <w:left w:val="nil"/>
              <w:bottom w:val="nil"/>
              <w:right w:val="nil"/>
            </w:tcBorders>
            <w:shd w:val="clear" w:color="auto" w:fill="auto"/>
            <w:noWrap/>
            <w:vAlign w:val="bottom"/>
            <w:hideMark/>
          </w:tcPr>
          <w:p w14:paraId="1AC739C1"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21253</w:t>
            </w:r>
            <w:r w:rsidR="002A5599" w:rsidRPr="00986F85">
              <w:rPr>
                <w:rFonts w:eastAsia="Times New Roman"/>
                <w:color w:val="000000"/>
                <w:sz w:val="22"/>
                <w:lang w:eastAsia="hu-HU"/>
              </w:rPr>
              <w:t>,</w:t>
            </w:r>
            <w:r w:rsidRPr="00986F85">
              <w:rPr>
                <w:rFonts w:eastAsia="Times New Roman"/>
                <w:color w:val="000000"/>
                <w:sz w:val="22"/>
                <w:lang w:eastAsia="hu-HU"/>
              </w:rPr>
              <w:t>4</w:t>
            </w:r>
          </w:p>
        </w:tc>
        <w:tc>
          <w:tcPr>
            <w:tcW w:w="1248" w:type="dxa"/>
            <w:tcBorders>
              <w:top w:val="nil"/>
              <w:left w:val="nil"/>
              <w:bottom w:val="nil"/>
              <w:right w:val="nil"/>
            </w:tcBorders>
            <w:shd w:val="clear" w:color="auto" w:fill="auto"/>
            <w:noWrap/>
            <w:vAlign w:val="bottom"/>
            <w:hideMark/>
          </w:tcPr>
          <w:p w14:paraId="67FF5BC8"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-8</w:t>
            </w:r>
            <w:r w:rsidR="002A5599" w:rsidRPr="00986F85">
              <w:rPr>
                <w:rFonts w:eastAsia="Times New Roman"/>
                <w:color w:val="000000"/>
                <w:sz w:val="22"/>
                <w:lang w:eastAsia="hu-HU"/>
              </w:rPr>
              <w:t>,</w:t>
            </w:r>
            <w:r w:rsidRPr="00986F85">
              <w:rPr>
                <w:rFonts w:eastAsia="Times New Roman"/>
                <w:color w:val="000000"/>
                <w:sz w:val="22"/>
                <w:lang w:eastAsia="hu-HU"/>
              </w:rPr>
              <w:t>3</w:t>
            </w:r>
          </w:p>
        </w:tc>
        <w:tc>
          <w:tcPr>
            <w:tcW w:w="1247" w:type="dxa"/>
            <w:tcBorders>
              <w:top w:val="nil"/>
              <w:left w:val="nil"/>
              <w:bottom w:val="nil"/>
              <w:right w:val="nil"/>
            </w:tcBorders>
            <w:shd w:val="clear" w:color="auto" w:fill="auto"/>
            <w:noWrap/>
            <w:vAlign w:val="bottom"/>
            <w:hideMark/>
          </w:tcPr>
          <w:p w14:paraId="4A70EA1D"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24</w:t>
            </w:r>
            <w:r w:rsidR="002A5599" w:rsidRPr="00986F85">
              <w:rPr>
                <w:rFonts w:eastAsia="Times New Roman"/>
                <w:color w:val="000000"/>
                <w:sz w:val="22"/>
                <w:lang w:eastAsia="hu-HU"/>
              </w:rPr>
              <w:t>,</w:t>
            </w:r>
            <w:r w:rsidRPr="00986F85">
              <w:rPr>
                <w:rFonts w:eastAsia="Times New Roman"/>
                <w:color w:val="000000"/>
                <w:sz w:val="22"/>
                <w:lang w:eastAsia="hu-HU"/>
              </w:rPr>
              <w:t>1</w:t>
            </w:r>
          </w:p>
        </w:tc>
        <w:tc>
          <w:tcPr>
            <w:tcW w:w="1248" w:type="dxa"/>
            <w:tcBorders>
              <w:top w:val="nil"/>
              <w:left w:val="nil"/>
              <w:bottom w:val="nil"/>
              <w:right w:val="nil"/>
            </w:tcBorders>
            <w:shd w:val="clear" w:color="auto" w:fill="auto"/>
            <w:noWrap/>
            <w:vAlign w:val="bottom"/>
            <w:hideMark/>
          </w:tcPr>
          <w:p w14:paraId="68D227EF"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100</w:t>
            </w:r>
            <w:r w:rsidR="002A5599" w:rsidRPr="00986F85">
              <w:rPr>
                <w:rFonts w:eastAsia="Times New Roman"/>
                <w:color w:val="000000"/>
                <w:sz w:val="22"/>
                <w:lang w:eastAsia="hu-HU"/>
              </w:rPr>
              <w:t>,</w:t>
            </w:r>
            <w:r w:rsidRPr="00986F85">
              <w:rPr>
                <w:rFonts w:eastAsia="Times New Roman"/>
                <w:color w:val="000000"/>
                <w:sz w:val="22"/>
                <w:lang w:eastAsia="hu-HU"/>
              </w:rPr>
              <w:t>0</w:t>
            </w:r>
          </w:p>
        </w:tc>
      </w:tr>
      <w:tr w:rsidR="00BC26F5" w:rsidRPr="00986F85" w14:paraId="3F91B25C" w14:textId="77777777" w:rsidTr="004A1D51">
        <w:trPr>
          <w:trHeight w:val="285"/>
        </w:trPr>
        <w:tc>
          <w:tcPr>
            <w:tcW w:w="2835" w:type="dxa"/>
            <w:tcBorders>
              <w:top w:val="nil"/>
              <w:left w:val="nil"/>
              <w:bottom w:val="nil"/>
              <w:right w:val="nil"/>
            </w:tcBorders>
            <w:shd w:val="clear" w:color="auto" w:fill="auto"/>
            <w:noWrap/>
            <w:vAlign w:val="bottom"/>
            <w:hideMark/>
          </w:tcPr>
          <w:p w14:paraId="4581E266" w14:textId="77777777" w:rsidR="00BC26F5" w:rsidRPr="00986F85" w:rsidRDefault="00BC26F5" w:rsidP="00B55859">
            <w:pPr>
              <w:spacing w:after="0" w:line="240" w:lineRule="auto"/>
              <w:rPr>
                <w:rFonts w:eastAsia="Times New Roman" w:cs="Times New Roman"/>
                <w:color w:val="000000"/>
                <w:sz w:val="22"/>
                <w:lang w:eastAsia="hu-HU"/>
              </w:rPr>
            </w:pPr>
            <w:r w:rsidRPr="00986F85">
              <w:rPr>
                <w:rFonts w:eastAsia="Times New Roman"/>
                <w:color w:val="000000"/>
                <w:sz w:val="22"/>
                <w:lang w:eastAsia="hu-HU"/>
              </w:rPr>
              <w:t>Likviditá</w:t>
            </w:r>
            <w:r w:rsidR="003A00A8" w:rsidRPr="00986F85">
              <w:rPr>
                <w:rFonts w:eastAsia="Times New Roman" w:cs="Times New Roman"/>
                <w:color w:val="000000"/>
                <w:sz w:val="22"/>
                <w:lang w:eastAsia="hu-HU"/>
              </w:rPr>
              <w:t>s</w:t>
            </w:r>
          </w:p>
        </w:tc>
        <w:tc>
          <w:tcPr>
            <w:tcW w:w="1247" w:type="dxa"/>
            <w:tcBorders>
              <w:top w:val="nil"/>
              <w:left w:val="nil"/>
              <w:bottom w:val="nil"/>
              <w:right w:val="nil"/>
            </w:tcBorders>
            <w:shd w:val="clear" w:color="auto" w:fill="auto"/>
            <w:noWrap/>
            <w:vAlign w:val="bottom"/>
            <w:hideMark/>
          </w:tcPr>
          <w:p w14:paraId="22D73FD1"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859</w:t>
            </w:r>
            <w:r w:rsidR="002A5599" w:rsidRPr="00986F85">
              <w:rPr>
                <w:rFonts w:eastAsia="Times New Roman"/>
                <w:color w:val="000000"/>
                <w:sz w:val="22"/>
                <w:lang w:eastAsia="hu-HU"/>
              </w:rPr>
              <w:t>,</w:t>
            </w:r>
            <w:r w:rsidRPr="00986F85">
              <w:rPr>
                <w:rFonts w:eastAsia="Times New Roman"/>
                <w:color w:val="000000"/>
                <w:sz w:val="22"/>
                <w:lang w:eastAsia="hu-HU"/>
              </w:rPr>
              <w:t>2</w:t>
            </w:r>
          </w:p>
        </w:tc>
        <w:tc>
          <w:tcPr>
            <w:tcW w:w="1247" w:type="dxa"/>
            <w:tcBorders>
              <w:top w:val="nil"/>
              <w:left w:val="nil"/>
              <w:bottom w:val="nil"/>
              <w:right w:val="nil"/>
            </w:tcBorders>
            <w:shd w:val="clear" w:color="auto" w:fill="auto"/>
            <w:noWrap/>
            <w:vAlign w:val="bottom"/>
            <w:hideMark/>
          </w:tcPr>
          <w:p w14:paraId="36B809D2"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38922</w:t>
            </w:r>
            <w:r w:rsidR="002A5599" w:rsidRPr="00986F85">
              <w:rPr>
                <w:rFonts w:eastAsia="Times New Roman"/>
                <w:color w:val="000000"/>
                <w:sz w:val="22"/>
                <w:lang w:eastAsia="hu-HU"/>
              </w:rPr>
              <w:t>,</w:t>
            </w:r>
            <w:r w:rsidRPr="00986F85">
              <w:rPr>
                <w:rFonts w:eastAsia="Times New Roman"/>
                <w:color w:val="000000"/>
                <w:sz w:val="22"/>
                <w:lang w:eastAsia="hu-HU"/>
              </w:rPr>
              <w:t>3</w:t>
            </w:r>
          </w:p>
        </w:tc>
        <w:tc>
          <w:tcPr>
            <w:tcW w:w="1248" w:type="dxa"/>
            <w:tcBorders>
              <w:top w:val="nil"/>
              <w:left w:val="nil"/>
              <w:bottom w:val="nil"/>
              <w:right w:val="nil"/>
            </w:tcBorders>
            <w:shd w:val="clear" w:color="auto" w:fill="auto"/>
            <w:noWrap/>
            <w:vAlign w:val="bottom"/>
            <w:hideMark/>
          </w:tcPr>
          <w:p w14:paraId="4D5D8F69"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-37</w:t>
            </w:r>
            <w:r w:rsidR="002A5599" w:rsidRPr="00986F85">
              <w:rPr>
                <w:rFonts w:eastAsia="Times New Roman"/>
                <w:color w:val="000000"/>
                <w:sz w:val="22"/>
                <w:lang w:eastAsia="hu-HU"/>
              </w:rPr>
              <w:t>,</w:t>
            </w:r>
            <w:r w:rsidRPr="00986F85">
              <w:rPr>
                <w:rFonts w:eastAsia="Times New Roman"/>
                <w:color w:val="000000"/>
                <w:sz w:val="22"/>
                <w:lang w:eastAsia="hu-HU"/>
              </w:rPr>
              <w:t>0</w:t>
            </w:r>
          </w:p>
        </w:tc>
        <w:tc>
          <w:tcPr>
            <w:tcW w:w="1247" w:type="dxa"/>
            <w:tcBorders>
              <w:top w:val="nil"/>
              <w:left w:val="nil"/>
              <w:bottom w:val="nil"/>
              <w:right w:val="nil"/>
            </w:tcBorders>
            <w:shd w:val="clear" w:color="auto" w:fill="auto"/>
            <w:noWrap/>
            <w:vAlign w:val="bottom"/>
            <w:hideMark/>
          </w:tcPr>
          <w:p w14:paraId="19538BFC"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8</w:t>
            </w:r>
            <w:r w:rsidR="002A5599" w:rsidRPr="00986F85">
              <w:rPr>
                <w:rFonts w:eastAsia="Times New Roman"/>
                <w:color w:val="000000"/>
                <w:sz w:val="22"/>
                <w:lang w:eastAsia="hu-HU"/>
              </w:rPr>
              <w:t>,</w:t>
            </w:r>
            <w:r w:rsidRPr="00986F85">
              <w:rPr>
                <w:rFonts w:eastAsia="Times New Roman"/>
                <w:color w:val="000000"/>
                <w:sz w:val="22"/>
                <w:lang w:eastAsia="hu-HU"/>
              </w:rPr>
              <w:t>7</w:t>
            </w:r>
          </w:p>
        </w:tc>
        <w:tc>
          <w:tcPr>
            <w:tcW w:w="1248" w:type="dxa"/>
            <w:tcBorders>
              <w:top w:val="nil"/>
              <w:left w:val="nil"/>
              <w:bottom w:val="nil"/>
              <w:right w:val="nil"/>
            </w:tcBorders>
            <w:shd w:val="clear" w:color="auto" w:fill="auto"/>
            <w:noWrap/>
            <w:vAlign w:val="bottom"/>
            <w:hideMark/>
          </w:tcPr>
          <w:p w14:paraId="352DF80C"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90</w:t>
            </w:r>
            <w:r w:rsidR="002A5599" w:rsidRPr="00986F85">
              <w:rPr>
                <w:rFonts w:eastAsia="Times New Roman"/>
                <w:color w:val="000000"/>
                <w:sz w:val="22"/>
                <w:lang w:eastAsia="hu-HU"/>
              </w:rPr>
              <w:t>,</w:t>
            </w:r>
            <w:r w:rsidRPr="00986F85">
              <w:rPr>
                <w:rFonts w:eastAsia="Times New Roman"/>
                <w:color w:val="000000"/>
                <w:sz w:val="22"/>
                <w:lang w:eastAsia="hu-HU"/>
              </w:rPr>
              <w:t>3</w:t>
            </w:r>
          </w:p>
        </w:tc>
      </w:tr>
      <w:tr w:rsidR="00BC26F5" w:rsidRPr="00986F85" w14:paraId="7B69CABC" w14:textId="77777777" w:rsidTr="004A1D51">
        <w:trPr>
          <w:trHeight w:val="285"/>
        </w:trPr>
        <w:tc>
          <w:tcPr>
            <w:tcW w:w="2835" w:type="dxa"/>
            <w:tcBorders>
              <w:top w:val="nil"/>
              <w:left w:val="nil"/>
              <w:bottom w:val="nil"/>
              <w:right w:val="nil"/>
            </w:tcBorders>
            <w:shd w:val="clear" w:color="auto" w:fill="auto"/>
            <w:noWrap/>
            <w:vAlign w:val="bottom"/>
            <w:hideMark/>
          </w:tcPr>
          <w:p w14:paraId="537450A2" w14:textId="77777777" w:rsidR="00BC26F5" w:rsidRPr="00986F85" w:rsidRDefault="00BC26F5" w:rsidP="00B55859">
            <w:pPr>
              <w:spacing w:after="0" w:line="240" w:lineRule="auto"/>
              <w:rPr>
                <w:rFonts w:eastAsia="Times New Roman"/>
                <w:color w:val="000000"/>
                <w:sz w:val="22"/>
                <w:lang w:eastAsia="hu-HU"/>
              </w:rPr>
            </w:pPr>
            <w:r w:rsidRPr="00986F85">
              <w:rPr>
                <w:rFonts w:eastAsia="Times New Roman"/>
                <w:color w:val="000000"/>
                <w:sz w:val="22"/>
                <w:lang w:eastAsia="hu-HU"/>
              </w:rPr>
              <w:t>Üzemi eredmény</w:t>
            </w:r>
            <w:r w:rsidR="002B2115" w:rsidRPr="00986F85">
              <w:rPr>
                <w:rFonts w:eastAsia="Times New Roman"/>
                <w:color w:val="000000"/>
                <w:sz w:val="22"/>
                <w:lang w:eastAsia="hu-HU"/>
              </w:rPr>
              <w:t xml:space="preserve"> (e FT)</w:t>
            </w:r>
          </w:p>
        </w:tc>
        <w:tc>
          <w:tcPr>
            <w:tcW w:w="1247" w:type="dxa"/>
            <w:tcBorders>
              <w:top w:val="nil"/>
              <w:left w:val="nil"/>
              <w:bottom w:val="nil"/>
              <w:right w:val="nil"/>
            </w:tcBorders>
            <w:shd w:val="clear" w:color="auto" w:fill="auto"/>
            <w:noWrap/>
            <w:vAlign w:val="bottom"/>
            <w:hideMark/>
          </w:tcPr>
          <w:p w14:paraId="30462F31"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6575</w:t>
            </w:r>
            <w:r w:rsidR="002A5599" w:rsidRPr="00986F85">
              <w:rPr>
                <w:rFonts w:eastAsia="Times New Roman"/>
                <w:color w:val="000000"/>
                <w:sz w:val="22"/>
                <w:lang w:eastAsia="hu-HU"/>
              </w:rPr>
              <w:t>,</w:t>
            </w:r>
            <w:r w:rsidRPr="00986F85">
              <w:rPr>
                <w:rFonts w:eastAsia="Times New Roman"/>
                <w:color w:val="000000"/>
                <w:sz w:val="22"/>
                <w:lang w:eastAsia="hu-HU"/>
              </w:rPr>
              <w:t>5</w:t>
            </w:r>
          </w:p>
        </w:tc>
        <w:tc>
          <w:tcPr>
            <w:tcW w:w="1247" w:type="dxa"/>
            <w:tcBorders>
              <w:top w:val="nil"/>
              <w:left w:val="nil"/>
              <w:bottom w:val="nil"/>
              <w:right w:val="nil"/>
            </w:tcBorders>
            <w:shd w:val="clear" w:color="auto" w:fill="auto"/>
            <w:noWrap/>
            <w:vAlign w:val="bottom"/>
            <w:hideMark/>
          </w:tcPr>
          <w:p w14:paraId="0F8D4A90"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1113604</w:t>
            </w:r>
            <w:r w:rsidR="002A5599" w:rsidRPr="00986F85">
              <w:rPr>
                <w:rFonts w:eastAsia="Times New Roman"/>
                <w:color w:val="000000"/>
                <w:sz w:val="22"/>
                <w:lang w:eastAsia="hu-HU"/>
              </w:rPr>
              <w:t>,</w:t>
            </w:r>
            <w:r w:rsidRPr="00986F85">
              <w:rPr>
                <w:rFonts w:eastAsia="Times New Roman"/>
                <w:color w:val="000000"/>
                <w:sz w:val="22"/>
                <w:lang w:eastAsia="hu-HU"/>
              </w:rPr>
              <w:t>0</w:t>
            </w:r>
          </w:p>
        </w:tc>
        <w:tc>
          <w:tcPr>
            <w:tcW w:w="1248" w:type="dxa"/>
            <w:tcBorders>
              <w:top w:val="nil"/>
              <w:left w:val="nil"/>
              <w:bottom w:val="nil"/>
              <w:right w:val="nil"/>
            </w:tcBorders>
            <w:shd w:val="clear" w:color="auto" w:fill="auto"/>
            <w:noWrap/>
            <w:vAlign w:val="bottom"/>
            <w:hideMark/>
          </w:tcPr>
          <w:p w14:paraId="3A722F09"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-8585</w:t>
            </w:r>
            <w:r w:rsidR="002A5599" w:rsidRPr="00986F85">
              <w:rPr>
                <w:rFonts w:eastAsia="Times New Roman"/>
                <w:color w:val="000000"/>
                <w:sz w:val="22"/>
                <w:lang w:eastAsia="hu-HU"/>
              </w:rPr>
              <w:t>,</w:t>
            </w:r>
            <w:r w:rsidRPr="00986F85">
              <w:rPr>
                <w:rFonts w:eastAsia="Times New Roman"/>
                <w:color w:val="000000"/>
                <w:sz w:val="22"/>
                <w:lang w:eastAsia="hu-HU"/>
              </w:rPr>
              <w:t>0</w:t>
            </w:r>
          </w:p>
        </w:tc>
        <w:tc>
          <w:tcPr>
            <w:tcW w:w="1247" w:type="dxa"/>
            <w:tcBorders>
              <w:top w:val="nil"/>
              <w:left w:val="nil"/>
              <w:bottom w:val="nil"/>
              <w:right w:val="nil"/>
            </w:tcBorders>
            <w:shd w:val="clear" w:color="auto" w:fill="auto"/>
            <w:noWrap/>
            <w:vAlign w:val="bottom"/>
            <w:hideMark/>
          </w:tcPr>
          <w:p w14:paraId="49833300"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-722</w:t>
            </w:r>
            <w:r w:rsidR="002A5599" w:rsidRPr="00986F85">
              <w:rPr>
                <w:rFonts w:eastAsia="Times New Roman"/>
                <w:color w:val="000000"/>
                <w:sz w:val="22"/>
                <w:lang w:eastAsia="hu-HU"/>
              </w:rPr>
              <w:t>,</w:t>
            </w:r>
            <w:r w:rsidRPr="00986F85">
              <w:rPr>
                <w:rFonts w:eastAsia="Times New Roman"/>
                <w:color w:val="000000"/>
                <w:sz w:val="22"/>
                <w:lang w:eastAsia="hu-HU"/>
              </w:rPr>
              <w:t>0</w:t>
            </w:r>
          </w:p>
        </w:tc>
        <w:tc>
          <w:tcPr>
            <w:tcW w:w="1248" w:type="dxa"/>
            <w:tcBorders>
              <w:top w:val="nil"/>
              <w:left w:val="nil"/>
              <w:bottom w:val="nil"/>
              <w:right w:val="nil"/>
            </w:tcBorders>
            <w:shd w:val="clear" w:color="auto" w:fill="auto"/>
            <w:noWrap/>
            <w:vAlign w:val="bottom"/>
            <w:hideMark/>
          </w:tcPr>
          <w:p w14:paraId="494872D2"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4515</w:t>
            </w:r>
            <w:r w:rsidR="002A5599" w:rsidRPr="00986F85">
              <w:rPr>
                <w:rFonts w:eastAsia="Times New Roman"/>
                <w:color w:val="000000"/>
                <w:sz w:val="22"/>
                <w:lang w:eastAsia="hu-HU"/>
              </w:rPr>
              <w:t>,</w:t>
            </w:r>
            <w:r w:rsidRPr="00986F85">
              <w:rPr>
                <w:rFonts w:eastAsia="Times New Roman"/>
                <w:color w:val="000000"/>
                <w:sz w:val="22"/>
                <w:lang w:eastAsia="hu-HU"/>
              </w:rPr>
              <w:t>0</w:t>
            </w:r>
          </w:p>
        </w:tc>
      </w:tr>
      <w:tr w:rsidR="00BC26F5" w:rsidRPr="00986F85" w14:paraId="57C82FEA" w14:textId="77777777" w:rsidTr="004A1D51">
        <w:trPr>
          <w:trHeight w:val="285"/>
        </w:trPr>
        <w:tc>
          <w:tcPr>
            <w:tcW w:w="2835" w:type="dxa"/>
            <w:tcBorders>
              <w:top w:val="nil"/>
              <w:left w:val="nil"/>
              <w:bottom w:val="nil"/>
              <w:right w:val="nil"/>
            </w:tcBorders>
            <w:shd w:val="clear" w:color="auto" w:fill="auto"/>
            <w:noWrap/>
            <w:vAlign w:val="bottom"/>
            <w:hideMark/>
          </w:tcPr>
          <w:p w14:paraId="24939672" w14:textId="77777777" w:rsidR="00BC26F5" w:rsidRPr="00986F85" w:rsidRDefault="00BC26F5" w:rsidP="00B55859">
            <w:pPr>
              <w:spacing w:after="0" w:line="240" w:lineRule="auto"/>
              <w:rPr>
                <w:rFonts w:eastAsia="Times New Roman"/>
                <w:color w:val="000000"/>
                <w:sz w:val="22"/>
                <w:lang w:eastAsia="hu-HU"/>
              </w:rPr>
            </w:pPr>
            <w:r w:rsidRPr="00986F85">
              <w:rPr>
                <w:rFonts w:eastAsia="Times New Roman"/>
                <w:color w:val="000000"/>
                <w:sz w:val="22"/>
                <w:lang w:eastAsia="hu-HU"/>
              </w:rPr>
              <w:t>Egy foglalkoztatottra eső üzemi eredmény</w:t>
            </w:r>
            <w:r w:rsidR="002B2115" w:rsidRPr="00986F85">
              <w:rPr>
                <w:rFonts w:eastAsia="Times New Roman"/>
                <w:color w:val="000000"/>
                <w:sz w:val="22"/>
                <w:lang w:eastAsia="hu-HU"/>
              </w:rPr>
              <w:t xml:space="preserve"> (e FT)</w:t>
            </w:r>
          </w:p>
        </w:tc>
        <w:tc>
          <w:tcPr>
            <w:tcW w:w="1247" w:type="dxa"/>
            <w:tcBorders>
              <w:top w:val="nil"/>
              <w:left w:val="nil"/>
              <w:bottom w:val="nil"/>
              <w:right w:val="nil"/>
            </w:tcBorders>
            <w:shd w:val="clear" w:color="auto" w:fill="auto"/>
            <w:noWrap/>
            <w:vAlign w:val="bottom"/>
            <w:hideMark/>
          </w:tcPr>
          <w:p w14:paraId="4CFF488A"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-283</w:t>
            </w:r>
            <w:r w:rsidR="002A5599" w:rsidRPr="00986F85">
              <w:rPr>
                <w:rFonts w:eastAsia="Times New Roman"/>
                <w:color w:val="000000"/>
                <w:sz w:val="22"/>
                <w:lang w:eastAsia="hu-HU"/>
              </w:rPr>
              <w:t>,</w:t>
            </w:r>
            <w:r w:rsidRPr="00986F85">
              <w:rPr>
                <w:rFonts w:eastAsia="Times New Roman"/>
                <w:color w:val="000000"/>
                <w:sz w:val="22"/>
                <w:lang w:eastAsia="hu-HU"/>
              </w:rPr>
              <w:t>0</w:t>
            </w:r>
          </w:p>
        </w:tc>
        <w:tc>
          <w:tcPr>
            <w:tcW w:w="1247" w:type="dxa"/>
            <w:tcBorders>
              <w:top w:val="nil"/>
              <w:left w:val="nil"/>
              <w:bottom w:val="nil"/>
              <w:right w:val="nil"/>
            </w:tcBorders>
            <w:shd w:val="clear" w:color="auto" w:fill="auto"/>
            <w:noWrap/>
            <w:vAlign w:val="bottom"/>
            <w:hideMark/>
          </w:tcPr>
          <w:p w14:paraId="788EA7A7"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3460</w:t>
            </w:r>
            <w:r w:rsidR="002A5599" w:rsidRPr="00986F85">
              <w:rPr>
                <w:rFonts w:eastAsia="Times New Roman"/>
                <w:color w:val="000000"/>
                <w:sz w:val="22"/>
                <w:lang w:eastAsia="hu-HU"/>
              </w:rPr>
              <w:t>,</w:t>
            </w:r>
            <w:r w:rsidRPr="00986F85">
              <w:rPr>
                <w:rFonts w:eastAsia="Times New Roman"/>
                <w:color w:val="000000"/>
                <w:sz w:val="22"/>
                <w:lang w:eastAsia="hu-HU"/>
              </w:rPr>
              <w:t>.6</w:t>
            </w:r>
          </w:p>
        </w:tc>
        <w:tc>
          <w:tcPr>
            <w:tcW w:w="1248" w:type="dxa"/>
            <w:tcBorders>
              <w:top w:val="nil"/>
              <w:left w:val="nil"/>
              <w:bottom w:val="nil"/>
              <w:right w:val="nil"/>
            </w:tcBorders>
            <w:shd w:val="clear" w:color="auto" w:fill="auto"/>
            <w:noWrap/>
            <w:vAlign w:val="bottom"/>
            <w:hideMark/>
          </w:tcPr>
          <w:p w14:paraId="13C2A37D"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-1003</w:t>
            </w:r>
            <w:r w:rsidR="002A5599" w:rsidRPr="00986F85">
              <w:rPr>
                <w:rFonts w:eastAsia="Times New Roman"/>
                <w:color w:val="000000"/>
                <w:sz w:val="22"/>
                <w:lang w:eastAsia="hu-HU"/>
              </w:rPr>
              <w:t>,</w:t>
            </w:r>
            <w:r w:rsidRPr="00986F85">
              <w:rPr>
                <w:rFonts w:eastAsia="Times New Roman"/>
                <w:color w:val="000000"/>
                <w:sz w:val="22"/>
                <w:lang w:eastAsia="hu-HU"/>
              </w:rPr>
              <w:t>0</w:t>
            </w:r>
          </w:p>
        </w:tc>
        <w:tc>
          <w:tcPr>
            <w:tcW w:w="1247" w:type="dxa"/>
            <w:tcBorders>
              <w:top w:val="nil"/>
              <w:left w:val="nil"/>
              <w:bottom w:val="nil"/>
              <w:right w:val="nil"/>
            </w:tcBorders>
            <w:shd w:val="clear" w:color="auto" w:fill="auto"/>
            <w:noWrap/>
            <w:vAlign w:val="bottom"/>
            <w:hideMark/>
          </w:tcPr>
          <w:p w14:paraId="2D06A297"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-62</w:t>
            </w:r>
            <w:r w:rsidR="002A5599" w:rsidRPr="00986F85">
              <w:rPr>
                <w:rFonts w:eastAsia="Times New Roman"/>
                <w:color w:val="000000"/>
                <w:sz w:val="22"/>
                <w:lang w:eastAsia="hu-HU"/>
              </w:rPr>
              <w:t>,</w:t>
            </w:r>
            <w:r w:rsidRPr="00986F85">
              <w:rPr>
                <w:rFonts w:eastAsia="Times New Roman"/>
                <w:color w:val="000000"/>
                <w:sz w:val="22"/>
                <w:lang w:eastAsia="hu-HU"/>
              </w:rPr>
              <w:t>0</w:t>
            </w:r>
          </w:p>
        </w:tc>
        <w:tc>
          <w:tcPr>
            <w:tcW w:w="1248" w:type="dxa"/>
            <w:tcBorders>
              <w:top w:val="nil"/>
              <w:left w:val="nil"/>
              <w:bottom w:val="nil"/>
              <w:right w:val="nil"/>
            </w:tcBorders>
            <w:shd w:val="clear" w:color="auto" w:fill="auto"/>
            <w:noWrap/>
            <w:vAlign w:val="bottom"/>
            <w:hideMark/>
          </w:tcPr>
          <w:p w14:paraId="72984CD3"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511</w:t>
            </w:r>
            <w:r w:rsidR="002A5599" w:rsidRPr="00986F85">
              <w:rPr>
                <w:rFonts w:eastAsia="Times New Roman"/>
                <w:color w:val="000000"/>
                <w:sz w:val="22"/>
                <w:lang w:eastAsia="hu-HU"/>
              </w:rPr>
              <w:t>,</w:t>
            </w:r>
            <w:r w:rsidRPr="00986F85">
              <w:rPr>
                <w:rFonts w:eastAsia="Times New Roman"/>
                <w:color w:val="000000"/>
                <w:sz w:val="22"/>
                <w:lang w:eastAsia="hu-HU"/>
              </w:rPr>
              <w:t>9</w:t>
            </w:r>
          </w:p>
        </w:tc>
      </w:tr>
      <w:tr w:rsidR="00BC26F5" w:rsidRPr="00986F85" w14:paraId="042AB7C2" w14:textId="77777777" w:rsidTr="004A1D51">
        <w:trPr>
          <w:trHeight w:val="285"/>
        </w:trPr>
        <w:tc>
          <w:tcPr>
            <w:tcW w:w="2835" w:type="dxa"/>
            <w:tcBorders>
              <w:top w:val="nil"/>
              <w:left w:val="nil"/>
              <w:bottom w:val="nil"/>
              <w:right w:val="nil"/>
            </w:tcBorders>
            <w:shd w:val="clear" w:color="auto" w:fill="auto"/>
            <w:noWrap/>
            <w:vAlign w:val="bottom"/>
            <w:hideMark/>
          </w:tcPr>
          <w:p w14:paraId="35E30830" w14:textId="77777777" w:rsidR="00BC26F5" w:rsidRPr="00986F85" w:rsidRDefault="00BC26F5" w:rsidP="00B55859">
            <w:pPr>
              <w:spacing w:after="0" w:line="240" w:lineRule="auto"/>
              <w:rPr>
                <w:rFonts w:eastAsia="Times New Roman"/>
                <w:color w:val="000000"/>
                <w:sz w:val="22"/>
                <w:lang w:eastAsia="hu-HU"/>
              </w:rPr>
            </w:pPr>
            <w:r w:rsidRPr="00986F85">
              <w:rPr>
                <w:rFonts w:eastAsia="Times New Roman"/>
                <w:color w:val="000000"/>
                <w:sz w:val="22"/>
                <w:lang w:eastAsia="hu-HU"/>
              </w:rPr>
              <w:t>Hozzáadott érték</w:t>
            </w:r>
            <w:r w:rsidR="002B2115" w:rsidRPr="00986F85">
              <w:rPr>
                <w:rFonts w:eastAsia="Times New Roman"/>
                <w:color w:val="000000"/>
                <w:sz w:val="22"/>
                <w:lang w:eastAsia="hu-HU"/>
              </w:rPr>
              <w:t xml:space="preserve"> (e FT)</w:t>
            </w:r>
          </w:p>
        </w:tc>
        <w:tc>
          <w:tcPr>
            <w:tcW w:w="1247" w:type="dxa"/>
            <w:tcBorders>
              <w:top w:val="nil"/>
              <w:left w:val="nil"/>
              <w:bottom w:val="nil"/>
              <w:right w:val="nil"/>
            </w:tcBorders>
            <w:shd w:val="clear" w:color="auto" w:fill="auto"/>
            <w:noWrap/>
            <w:vAlign w:val="bottom"/>
            <w:hideMark/>
          </w:tcPr>
          <w:p w14:paraId="61BDEDA8"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-7347</w:t>
            </w:r>
            <w:r w:rsidR="002A5599" w:rsidRPr="00986F85">
              <w:rPr>
                <w:rFonts w:eastAsia="Times New Roman"/>
                <w:color w:val="000000"/>
                <w:sz w:val="22"/>
                <w:lang w:eastAsia="hu-HU"/>
              </w:rPr>
              <w:t>,</w:t>
            </w:r>
            <w:r w:rsidRPr="00986F85">
              <w:rPr>
                <w:rFonts w:eastAsia="Times New Roman"/>
                <w:color w:val="000000"/>
                <w:sz w:val="22"/>
                <w:lang w:eastAsia="hu-HU"/>
              </w:rPr>
              <w:t>4</w:t>
            </w:r>
          </w:p>
        </w:tc>
        <w:tc>
          <w:tcPr>
            <w:tcW w:w="1247" w:type="dxa"/>
            <w:tcBorders>
              <w:top w:val="nil"/>
              <w:left w:val="nil"/>
              <w:bottom w:val="nil"/>
              <w:right w:val="nil"/>
            </w:tcBorders>
            <w:shd w:val="clear" w:color="auto" w:fill="auto"/>
            <w:noWrap/>
            <w:vAlign w:val="bottom"/>
            <w:hideMark/>
          </w:tcPr>
          <w:p w14:paraId="4E53262A"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1562325</w:t>
            </w:r>
            <w:r w:rsidR="002A5599" w:rsidRPr="00986F85">
              <w:rPr>
                <w:rFonts w:eastAsia="Times New Roman"/>
                <w:color w:val="000000"/>
                <w:sz w:val="22"/>
                <w:lang w:eastAsia="hu-HU"/>
              </w:rPr>
              <w:t>,</w:t>
            </w:r>
            <w:r w:rsidRPr="00986F85">
              <w:rPr>
                <w:rFonts w:eastAsia="Times New Roman"/>
                <w:color w:val="000000"/>
                <w:sz w:val="22"/>
                <w:lang w:eastAsia="hu-HU"/>
              </w:rPr>
              <w:t>0</w:t>
            </w:r>
          </w:p>
        </w:tc>
        <w:tc>
          <w:tcPr>
            <w:tcW w:w="1248" w:type="dxa"/>
            <w:tcBorders>
              <w:top w:val="nil"/>
              <w:left w:val="nil"/>
              <w:bottom w:val="nil"/>
              <w:right w:val="nil"/>
            </w:tcBorders>
            <w:shd w:val="clear" w:color="auto" w:fill="auto"/>
            <w:noWrap/>
            <w:vAlign w:val="bottom"/>
            <w:hideMark/>
          </w:tcPr>
          <w:p w14:paraId="66EBF4D1"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-15895</w:t>
            </w:r>
            <w:r w:rsidR="002A5599" w:rsidRPr="00986F85">
              <w:rPr>
                <w:rFonts w:eastAsia="Times New Roman"/>
                <w:color w:val="000000"/>
                <w:sz w:val="22"/>
                <w:lang w:eastAsia="hu-HU"/>
              </w:rPr>
              <w:t>,</w:t>
            </w:r>
            <w:r w:rsidRPr="00986F85">
              <w:rPr>
                <w:rFonts w:eastAsia="Times New Roman"/>
                <w:color w:val="000000"/>
                <w:sz w:val="22"/>
                <w:lang w:eastAsia="hu-HU"/>
              </w:rPr>
              <w:t>0</w:t>
            </w:r>
          </w:p>
        </w:tc>
        <w:tc>
          <w:tcPr>
            <w:tcW w:w="1247" w:type="dxa"/>
            <w:tcBorders>
              <w:top w:val="nil"/>
              <w:left w:val="nil"/>
              <w:bottom w:val="nil"/>
              <w:right w:val="nil"/>
            </w:tcBorders>
            <w:shd w:val="clear" w:color="auto" w:fill="auto"/>
            <w:noWrap/>
            <w:vAlign w:val="bottom"/>
            <w:hideMark/>
          </w:tcPr>
          <w:p w14:paraId="051BF4C9"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-3285</w:t>
            </w:r>
            <w:r w:rsidR="002A5599" w:rsidRPr="00986F85">
              <w:rPr>
                <w:rFonts w:eastAsia="Times New Roman"/>
                <w:color w:val="000000"/>
                <w:sz w:val="22"/>
                <w:lang w:eastAsia="hu-HU"/>
              </w:rPr>
              <w:t>,</w:t>
            </w:r>
            <w:r w:rsidRPr="00986F85">
              <w:rPr>
                <w:rFonts w:eastAsia="Times New Roman"/>
                <w:color w:val="000000"/>
                <w:sz w:val="22"/>
                <w:lang w:eastAsia="hu-HU"/>
              </w:rPr>
              <w:t>0</w:t>
            </w:r>
          </w:p>
        </w:tc>
        <w:tc>
          <w:tcPr>
            <w:tcW w:w="1248" w:type="dxa"/>
            <w:tcBorders>
              <w:top w:val="nil"/>
              <w:left w:val="nil"/>
              <w:bottom w:val="nil"/>
              <w:right w:val="nil"/>
            </w:tcBorders>
            <w:shd w:val="clear" w:color="auto" w:fill="auto"/>
            <w:noWrap/>
            <w:vAlign w:val="bottom"/>
            <w:hideMark/>
          </w:tcPr>
          <w:p w14:paraId="1C8A63FE"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7622</w:t>
            </w:r>
            <w:r w:rsidR="002A5599" w:rsidRPr="00986F85">
              <w:rPr>
                <w:rFonts w:eastAsia="Times New Roman"/>
                <w:color w:val="000000"/>
                <w:sz w:val="22"/>
                <w:lang w:eastAsia="hu-HU"/>
              </w:rPr>
              <w:t>,</w:t>
            </w:r>
            <w:r w:rsidRPr="00986F85">
              <w:rPr>
                <w:rFonts w:eastAsia="Times New Roman"/>
                <w:color w:val="000000"/>
                <w:sz w:val="22"/>
                <w:lang w:eastAsia="hu-HU"/>
              </w:rPr>
              <w:t>0</w:t>
            </w:r>
          </w:p>
        </w:tc>
      </w:tr>
      <w:tr w:rsidR="00BC26F5" w:rsidRPr="00986F85" w14:paraId="6C7A7FC0" w14:textId="77777777" w:rsidTr="004A1D51">
        <w:trPr>
          <w:trHeight w:val="285"/>
        </w:trPr>
        <w:tc>
          <w:tcPr>
            <w:tcW w:w="2835" w:type="dxa"/>
            <w:tcBorders>
              <w:top w:val="nil"/>
              <w:left w:val="nil"/>
              <w:bottom w:val="nil"/>
              <w:right w:val="nil"/>
            </w:tcBorders>
            <w:shd w:val="clear" w:color="auto" w:fill="auto"/>
            <w:noWrap/>
            <w:vAlign w:val="bottom"/>
            <w:hideMark/>
          </w:tcPr>
          <w:p w14:paraId="75D82E98" w14:textId="77777777" w:rsidR="00BC26F5" w:rsidRPr="00986F85" w:rsidRDefault="00BC26F5" w:rsidP="00B55859">
            <w:pPr>
              <w:spacing w:after="0" w:line="240" w:lineRule="auto"/>
              <w:rPr>
                <w:rFonts w:eastAsia="Times New Roman"/>
                <w:color w:val="000000"/>
                <w:sz w:val="22"/>
                <w:lang w:eastAsia="hu-HU"/>
              </w:rPr>
            </w:pPr>
            <w:r w:rsidRPr="00986F85">
              <w:rPr>
                <w:rFonts w:eastAsia="Times New Roman"/>
                <w:color w:val="000000"/>
                <w:sz w:val="22"/>
                <w:lang w:eastAsia="hu-HU"/>
              </w:rPr>
              <w:t>Egy foglalkoztatottra eső hozzáadott érték</w:t>
            </w:r>
            <w:r w:rsidR="002B2115" w:rsidRPr="00986F85">
              <w:rPr>
                <w:rFonts w:eastAsia="Times New Roman"/>
                <w:color w:val="000000"/>
                <w:sz w:val="22"/>
                <w:lang w:eastAsia="hu-HU"/>
              </w:rPr>
              <w:t xml:space="preserve"> (e FT)</w:t>
            </w:r>
          </w:p>
        </w:tc>
        <w:tc>
          <w:tcPr>
            <w:tcW w:w="1247" w:type="dxa"/>
            <w:tcBorders>
              <w:top w:val="nil"/>
              <w:left w:val="nil"/>
              <w:bottom w:val="nil"/>
              <w:right w:val="nil"/>
            </w:tcBorders>
            <w:shd w:val="clear" w:color="auto" w:fill="auto"/>
            <w:noWrap/>
            <w:vAlign w:val="bottom"/>
            <w:hideMark/>
          </w:tcPr>
          <w:p w14:paraId="01806200"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-812</w:t>
            </w:r>
            <w:r w:rsidR="002A5599" w:rsidRPr="00986F85">
              <w:rPr>
                <w:rFonts w:eastAsia="Times New Roman"/>
                <w:color w:val="000000"/>
                <w:sz w:val="22"/>
                <w:lang w:eastAsia="hu-HU"/>
              </w:rPr>
              <w:t>,</w:t>
            </w:r>
            <w:r w:rsidRPr="00986F85">
              <w:rPr>
                <w:rFonts w:eastAsia="Times New Roman"/>
                <w:color w:val="000000"/>
                <w:sz w:val="22"/>
                <w:lang w:eastAsia="hu-HU"/>
              </w:rPr>
              <w:t>0</w:t>
            </w:r>
          </w:p>
        </w:tc>
        <w:tc>
          <w:tcPr>
            <w:tcW w:w="1247" w:type="dxa"/>
            <w:tcBorders>
              <w:top w:val="nil"/>
              <w:left w:val="nil"/>
              <w:bottom w:val="nil"/>
              <w:right w:val="nil"/>
            </w:tcBorders>
            <w:shd w:val="clear" w:color="auto" w:fill="auto"/>
            <w:noWrap/>
            <w:vAlign w:val="bottom"/>
            <w:hideMark/>
          </w:tcPr>
          <w:p w14:paraId="353C5951"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311735</w:t>
            </w:r>
            <w:r w:rsidR="002A5599" w:rsidRPr="00986F85">
              <w:rPr>
                <w:rFonts w:eastAsia="Times New Roman"/>
                <w:color w:val="000000"/>
                <w:sz w:val="22"/>
                <w:lang w:eastAsia="hu-HU"/>
              </w:rPr>
              <w:t>,</w:t>
            </w:r>
            <w:r w:rsidRPr="00986F85">
              <w:rPr>
                <w:rFonts w:eastAsia="Times New Roman"/>
                <w:color w:val="000000"/>
                <w:sz w:val="22"/>
                <w:lang w:eastAsia="hu-HU"/>
              </w:rPr>
              <w:t>1</w:t>
            </w:r>
          </w:p>
        </w:tc>
        <w:tc>
          <w:tcPr>
            <w:tcW w:w="1248" w:type="dxa"/>
            <w:tcBorders>
              <w:top w:val="nil"/>
              <w:left w:val="nil"/>
              <w:bottom w:val="nil"/>
              <w:right w:val="nil"/>
            </w:tcBorders>
            <w:shd w:val="clear" w:color="auto" w:fill="auto"/>
            <w:noWrap/>
            <w:vAlign w:val="bottom"/>
            <w:hideMark/>
          </w:tcPr>
          <w:p w14:paraId="673B3E8F"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-931</w:t>
            </w:r>
            <w:r w:rsidR="002A5599" w:rsidRPr="00986F85">
              <w:rPr>
                <w:rFonts w:eastAsia="Times New Roman"/>
                <w:color w:val="000000"/>
                <w:sz w:val="22"/>
                <w:lang w:eastAsia="hu-HU"/>
              </w:rPr>
              <w:t>,</w:t>
            </w:r>
            <w:r w:rsidRPr="00986F85">
              <w:rPr>
                <w:rFonts w:eastAsia="Times New Roman"/>
                <w:color w:val="000000"/>
                <w:sz w:val="22"/>
                <w:lang w:eastAsia="hu-HU"/>
              </w:rPr>
              <w:t>3</w:t>
            </w:r>
          </w:p>
        </w:tc>
        <w:tc>
          <w:tcPr>
            <w:tcW w:w="1247" w:type="dxa"/>
            <w:tcBorders>
              <w:top w:val="nil"/>
              <w:left w:val="nil"/>
              <w:bottom w:val="nil"/>
              <w:right w:val="nil"/>
            </w:tcBorders>
            <w:shd w:val="clear" w:color="auto" w:fill="auto"/>
            <w:noWrap/>
            <w:vAlign w:val="bottom"/>
            <w:hideMark/>
          </w:tcPr>
          <w:p w14:paraId="66DBD9E3"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159</w:t>
            </w:r>
            <w:r w:rsidR="002A5599" w:rsidRPr="00986F85">
              <w:rPr>
                <w:rFonts w:eastAsia="Times New Roman"/>
                <w:color w:val="000000"/>
                <w:sz w:val="22"/>
                <w:lang w:eastAsia="hu-HU"/>
              </w:rPr>
              <w:t>,</w:t>
            </w:r>
            <w:r w:rsidRPr="00986F85">
              <w:rPr>
                <w:rFonts w:eastAsia="Times New Roman"/>
                <w:color w:val="000000"/>
                <w:sz w:val="22"/>
                <w:lang w:eastAsia="hu-HU"/>
              </w:rPr>
              <w:t>8</w:t>
            </w:r>
          </w:p>
        </w:tc>
        <w:tc>
          <w:tcPr>
            <w:tcW w:w="1248" w:type="dxa"/>
            <w:tcBorders>
              <w:top w:val="nil"/>
              <w:left w:val="nil"/>
              <w:bottom w:val="nil"/>
              <w:right w:val="nil"/>
            </w:tcBorders>
            <w:shd w:val="clear" w:color="auto" w:fill="auto"/>
            <w:noWrap/>
            <w:vAlign w:val="bottom"/>
            <w:hideMark/>
          </w:tcPr>
          <w:p w14:paraId="1B42CB35"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1065</w:t>
            </w:r>
            <w:r w:rsidR="002A5599" w:rsidRPr="00986F85">
              <w:rPr>
                <w:rFonts w:eastAsia="Times New Roman"/>
                <w:color w:val="000000"/>
                <w:sz w:val="22"/>
                <w:lang w:eastAsia="hu-HU"/>
              </w:rPr>
              <w:t>,</w:t>
            </w:r>
            <w:r w:rsidRPr="00986F85">
              <w:rPr>
                <w:rFonts w:eastAsia="Times New Roman"/>
                <w:color w:val="000000"/>
                <w:sz w:val="22"/>
                <w:lang w:eastAsia="hu-HU"/>
              </w:rPr>
              <w:t>3</w:t>
            </w:r>
          </w:p>
        </w:tc>
      </w:tr>
      <w:tr w:rsidR="00BC26F5" w:rsidRPr="00986F85" w14:paraId="7E27B1FC" w14:textId="77777777" w:rsidTr="004A1D51">
        <w:trPr>
          <w:trHeight w:val="285"/>
        </w:trPr>
        <w:tc>
          <w:tcPr>
            <w:tcW w:w="2835" w:type="dxa"/>
            <w:tcBorders>
              <w:top w:val="nil"/>
              <w:left w:val="nil"/>
              <w:bottom w:val="nil"/>
              <w:right w:val="nil"/>
            </w:tcBorders>
            <w:shd w:val="clear" w:color="auto" w:fill="auto"/>
            <w:noWrap/>
            <w:vAlign w:val="bottom"/>
            <w:hideMark/>
          </w:tcPr>
          <w:p w14:paraId="3283DE3D" w14:textId="77777777" w:rsidR="00BC26F5" w:rsidRPr="00986F85" w:rsidRDefault="00BC26F5" w:rsidP="00B55859">
            <w:pPr>
              <w:spacing w:after="0" w:line="240" w:lineRule="auto"/>
              <w:rPr>
                <w:rFonts w:eastAsia="Times New Roman" w:cs="Times New Roman"/>
                <w:color w:val="000000"/>
                <w:sz w:val="22"/>
                <w:lang w:eastAsia="hu-HU"/>
              </w:rPr>
            </w:pPr>
            <w:r w:rsidRPr="00986F85">
              <w:rPr>
                <w:rFonts w:eastAsia="Times New Roman"/>
                <w:color w:val="000000"/>
                <w:sz w:val="22"/>
                <w:lang w:eastAsia="hu-HU"/>
              </w:rPr>
              <w:t>ROA</w:t>
            </w:r>
          </w:p>
        </w:tc>
        <w:tc>
          <w:tcPr>
            <w:tcW w:w="1247" w:type="dxa"/>
            <w:tcBorders>
              <w:top w:val="nil"/>
              <w:left w:val="nil"/>
              <w:bottom w:val="nil"/>
              <w:right w:val="nil"/>
            </w:tcBorders>
            <w:shd w:val="clear" w:color="auto" w:fill="auto"/>
            <w:noWrap/>
            <w:vAlign w:val="bottom"/>
            <w:hideMark/>
          </w:tcPr>
          <w:p w14:paraId="07F19CCF"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-0</w:t>
            </w:r>
            <w:r w:rsidR="002A5599" w:rsidRPr="00986F85">
              <w:rPr>
                <w:rFonts w:eastAsia="Times New Roman"/>
                <w:color w:val="000000"/>
                <w:sz w:val="22"/>
                <w:lang w:eastAsia="hu-HU"/>
              </w:rPr>
              <w:t>,</w:t>
            </w:r>
            <w:r w:rsidRPr="00986F85">
              <w:rPr>
                <w:rFonts w:eastAsia="Times New Roman"/>
                <w:color w:val="000000"/>
                <w:sz w:val="22"/>
                <w:lang w:eastAsia="hu-HU"/>
              </w:rPr>
              <w:t>493</w:t>
            </w:r>
          </w:p>
        </w:tc>
        <w:tc>
          <w:tcPr>
            <w:tcW w:w="1247" w:type="dxa"/>
            <w:tcBorders>
              <w:top w:val="nil"/>
              <w:left w:val="nil"/>
              <w:bottom w:val="nil"/>
              <w:right w:val="nil"/>
            </w:tcBorders>
            <w:shd w:val="clear" w:color="auto" w:fill="auto"/>
            <w:noWrap/>
            <w:vAlign w:val="bottom"/>
            <w:hideMark/>
          </w:tcPr>
          <w:p w14:paraId="5B197216"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20</w:t>
            </w:r>
            <w:r w:rsidR="002A5599" w:rsidRPr="00986F85">
              <w:rPr>
                <w:rFonts w:eastAsia="Times New Roman"/>
                <w:color w:val="000000"/>
                <w:sz w:val="22"/>
                <w:lang w:eastAsia="hu-HU"/>
              </w:rPr>
              <w:t>,</w:t>
            </w:r>
            <w:r w:rsidRPr="00986F85">
              <w:rPr>
                <w:rFonts w:eastAsia="Times New Roman"/>
                <w:color w:val="000000"/>
                <w:sz w:val="22"/>
                <w:lang w:eastAsia="hu-HU"/>
              </w:rPr>
              <w:t>546</w:t>
            </w:r>
          </w:p>
        </w:tc>
        <w:tc>
          <w:tcPr>
            <w:tcW w:w="1248" w:type="dxa"/>
            <w:tcBorders>
              <w:top w:val="nil"/>
              <w:left w:val="nil"/>
              <w:bottom w:val="nil"/>
              <w:right w:val="nil"/>
            </w:tcBorders>
            <w:shd w:val="clear" w:color="auto" w:fill="auto"/>
            <w:noWrap/>
            <w:vAlign w:val="bottom"/>
            <w:hideMark/>
          </w:tcPr>
          <w:p w14:paraId="7A3A9B5E"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-0</w:t>
            </w:r>
            <w:r w:rsidR="002A5599" w:rsidRPr="00986F85">
              <w:rPr>
                <w:rFonts w:eastAsia="Times New Roman"/>
                <w:color w:val="000000"/>
                <w:sz w:val="22"/>
                <w:lang w:eastAsia="hu-HU"/>
              </w:rPr>
              <w:t>,</w:t>
            </w:r>
            <w:r w:rsidRPr="00986F85">
              <w:rPr>
                <w:rFonts w:eastAsia="Times New Roman"/>
                <w:color w:val="000000"/>
                <w:sz w:val="22"/>
                <w:lang w:eastAsia="hu-HU"/>
              </w:rPr>
              <w:t>159</w:t>
            </w:r>
          </w:p>
        </w:tc>
        <w:tc>
          <w:tcPr>
            <w:tcW w:w="1247" w:type="dxa"/>
            <w:tcBorders>
              <w:top w:val="nil"/>
              <w:left w:val="nil"/>
              <w:bottom w:val="nil"/>
              <w:right w:val="nil"/>
            </w:tcBorders>
            <w:shd w:val="clear" w:color="auto" w:fill="auto"/>
            <w:noWrap/>
            <w:vAlign w:val="bottom"/>
            <w:hideMark/>
          </w:tcPr>
          <w:p w14:paraId="35675C23"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-0</w:t>
            </w:r>
            <w:r w:rsidR="002A5599" w:rsidRPr="00986F85">
              <w:rPr>
                <w:rFonts w:eastAsia="Times New Roman"/>
                <w:color w:val="000000"/>
                <w:sz w:val="22"/>
                <w:lang w:eastAsia="hu-HU"/>
              </w:rPr>
              <w:t>,</w:t>
            </w:r>
            <w:r w:rsidRPr="00986F85">
              <w:rPr>
                <w:rFonts w:eastAsia="Times New Roman"/>
                <w:color w:val="000000"/>
                <w:sz w:val="22"/>
                <w:lang w:eastAsia="hu-HU"/>
              </w:rPr>
              <w:t>027</w:t>
            </w:r>
          </w:p>
        </w:tc>
        <w:tc>
          <w:tcPr>
            <w:tcW w:w="1248" w:type="dxa"/>
            <w:tcBorders>
              <w:top w:val="nil"/>
              <w:left w:val="nil"/>
              <w:bottom w:val="nil"/>
              <w:right w:val="nil"/>
            </w:tcBorders>
            <w:shd w:val="clear" w:color="auto" w:fill="auto"/>
            <w:noWrap/>
            <w:vAlign w:val="bottom"/>
            <w:hideMark/>
          </w:tcPr>
          <w:p w14:paraId="59466F46" w14:textId="77777777" w:rsidR="00BC26F5" w:rsidRPr="00986F85" w:rsidRDefault="00BC26F5" w:rsidP="00B55859">
            <w:pPr>
              <w:spacing w:after="0" w:line="240" w:lineRule="auto"/>
              <w:jc w:val="center"/>
              <w:rPr>
                <w:rFonts w:eastAsia="Times New Roman"/>
                <w:color w:val="000000"/>
                <w:sz w:val="22"/>
                <w:lang w:eastAsia="hu-HU"/>
              </w:rPr>
            </w:pPr>
            <w:r w:rsidRPr="00986F85">
              <w:rPr>
                <w:rFonts w:eastAsia="Times New Roman"/>
                <w:color w:val="000000"/>
                <w:sz w:val="22"/>
                <w:lang w:eastAsia="hu-HU"/>
              </w:rPr>
              <w:t>0</w:t>
            </w:r>
            <w:r w:rsidR="002A5599" w:rsidRPr="00986F85">
              <w:rPr>
                <w:rFonts w:eastAsia="Times New Roman"/>
                <w:color w:val="000000"/>
                <w:sz w:val="22"/>
                <w:lang w:eastAsia="hu-HU"/>
              </w:rPr>
              <w:t>,</w:t>
            </w:r>
            <w:r w:rsidRPr="00986F85">
              <w:rPr>
                <w:rFonts w:eastAsia="Times New Roman"/>
                <w:color w:val="000000"/>
                <w:sz w:val="22"/>
                <w:lang w:eastAsia="hu-HU"/>
              </w:rPr>
              <w:t>056</w:t>
            </w:r>
          </w:p>
        </w:tc>
      </w:tr>
    </w:tbl>
    <w:p w14:paraId="53E3FD6B" w14:textId="77777777" w:rsidR="00466C3B" w:rsidRPr="00986F85" w:rsidRDefault="00466C3B" w:rsidP="00037F18">
      <w:pPr>
        <w:spacing w:after="0" w:line="360" w:lineRule="auto"/>
        <w:jc w:val="center"/>
        <w:rPr>
          <w:rFonts w:cs="Times New Roman"/>
          <w:i/>
          <w:szCs w:val="24"/>
        </w:rPr>
      </w:pPr>
      <w:r w:rsidRPr="00986F85">
        <w:rPr>
          <w:rFonts w:cs="Times New Roman"/>
          <w:i/>
          <w:szCs w:val="24"/>
        </w:rPr>
        <w:t>Forrás: NAV adatbázis</w:t>
      </w:r>
    </w:p>
    <w:p w14:paraId="6C7DC8DC" w14:textId="77777777" w:rsidR="004A329B" w:rsidRPr="00986F85" w:rsidRDefault="004A329B" w:rsidP="004A329B">
      <w:pPr>
        <w:spacing w:after="0" w:line="360" w:lineRule="auto"/>
        <w:jc w:val="both"/>
        <w:rPr>
          <w:rFonts w:cs="Times New Roman"/>
          <w:i/>
          <w:szCs w:val="24"/>
        </w:rPr>
      </w:pPr>
      <w:r w:rsidRPr="00986F85">
        <w:rPr>
          <w:rFonts w:cs="Times New Roman"/>
          <w:i/>
          <w:szCs w:val="24"/>
        </w:rPr>
        <w:t>Megjegyzés: Fenti mutatókat nominális értéken számoltuk. Fontos megjegyezni, hogy 2006-2011 közötti kumulált inflációs</w:t>
      </w:r>
      <w:r w:rsidR="00B55859" w:rsidRPr="00986F85">
        <w:rPr>
          <w:rFonts w:cs="Times New Roman"/>
          <w:i/>
          <w:szCs w:val="24"/>
        </w:rPr>
        <w:t xml:space="preserve"> ráta (CPI) 35.2</w:t>
      </w:r>
      <w:r w:rsidRPr="00986F85">
        <w:rPr>
          <w:rFonts w:cs="Times New Roman"/>
          <w:i/>
          <w:szCs w:val="24"/>
        </w:rPr>
        <w:t xml:space="preserve"> százalék volt. A</w:t>
      </w:r>
      <w:r w:rsidR="007C09CA" w:rsidRPr="00986F85">
        <w:rPr>
          <w:rFonts w:cs="Times New Roman"/>
          <w:i/>
          <w:szCs w:val="24"/>
        </w:rPr>
        <w:t xml:space="preserve"> reálértéken számolva a változások </w:t>
      </w:r>
      <w:r w:rsidRPr="00986F85">
        <w:rPr>
          <w:rFonts w:cs="Times New Roman"/>
          <w:i/>
          <w:szCs w:val="24"/>
        </w:rPr>
        <w:t xml:space="preserve">ettől függően </w:t>
      </w:r>
      <w:r w:rsidR="007C09CA" w:rsidRPr="00986F85">
        <w:rPr>
          <w:rFonts w:cs="Times New Roman"/>
          <w:i/>
          <w:szCs w:val="24"/>
        </w:rPr>
        <w:t>ksiebbek..</w:t>
      </w:r>
      <w:r w:rsidRPr="00986F85">
        <w:rPr>
          <w:rFonts w:cs="Times New Roman"/>
          <w:i/>
          <w:szCs w:val="24"/>
        </w:rPr>
        <w:t xml:space="preserve"> </w:t>
      </w:r>
    </w:p>
    <w:p w14:paraId="308F9BB4" w14:textId="77777777" w:rsidR="003F3683" w:rsidRPr="00986F85" w:rsidRDefault="003F3683" w:rsidP="00B04415">
      <w:pPr>
        <w:spacing w:after="0" w:line="360" w:lineRule="auto"/>
        <w:jc w:val="both"/>
        <w:rPr>
          <w:rFonts w:cs="Times New Roman"/>
          <w:szCs w:val="24"/>
        </w:rPr>
      </w:pPr>
    </w:p>
    <w:p w14:paraId="105524EE" w14:textId="77777777" w:rsidR="001947CD" w:rsidRPr="00986F85" w:rsidRDefault="00B15CC0" w:rsidP="00B15CC0">
      <w:pPr>
        <w:spacing w:after="0" w:line="360" w:lineRule="auto"/>
        <w:jc w:val="both"/>
        <w:rPr>
          <w:rFonts w:cs="Times New Roman"/>
          <w:szCs w:val="24"/>
        </w:rPr>
      </w:pPr>
      <w:r w:rsidRPr="00986F85">
        <w:rPr>
          <w:rFonts w:cs="Times New Roman"/>
          <w:szCs w:val="24"/>
        </w:rPr>
        <w:t xml:space="preserve">Mindez persze nem tükrőzi a vállalatok heterogenitását – adódjon az területi, iparági különbségekből, vagy éppen vállalatméret és –típus (pl. export-orientált vállalat) okán. </w:t>
      </w:r>
      <w:r w:rsidR="001947CD" w:rsidRPr="00986F85">
        <w:rPr>
          <w:rFonts w:cs="Times New Roman"/>
          <w:szCs w:val="24"/>
        </w:rPr>
        <w:t xml:space="preserve">(A </w:t>
      </w:r>
      <w:r w:rsidR="001947CD" w:rsidRPr="00986F85">
        <w:rPr>
          <w:rFonts w:cs="Times New Roman"/>
          <w:szCs w:val="24"/>
        </w:rPr>
        <w:lastRenderedPageBreak/>
        <w:t xml:space="preserve">vállalati indikátorok változásának iparági </w:t>
      </w:r>
      <w:r w:rsidR="005409D3" w:rsidRPr="00986F85">
        <w:rPr>
          <w:rFonts w:cs="Times New Roman"/>
          <w:szCs w:val="24"/>
        </w:rPr>
        <w:t xml:space="preserve">és területi </w:t>
      </w:r>
      <w:r w:rsidR="001947CD" w:rsidRPr="00986F85">
        <w:rPr>
          <w:rFonts w:cs="Times New Roman"/>
          <w:szCs w:val="24"/>
        </w:rPr>
        <w:t xml:space="preserve">szintű mutatóit a leíró statisztikákat </w:t>
      </w:r>
      <w:r w:rsidR="005409D3" w:rsidRPr="00986F85">
        <w:rPr>
          <w:rFonts w:cs="Times New Roman"/>
          <w:szCs w:val="24"/>
        </w:rPr>
        <w:t xml:space="preserve">tartalmazó Melléklet 2.3. és 2.4. sz. </w:t>
      </w:r>
      <w:r w:rsidR="001947CD" w:rsidRPr="00986F85">
        <w:rPr>
          <w:rFonts w:cs="Times New Roman"/>
          <w:szCs w:val="24"/>
        </w:rPr>
        <w:t>táblázat</w:t>
      </w:r>
      <w:r w:rsidR="005409D3" w:rsidRPr="00986F85">
        <w:rPr>
          <w:rFonts w:cs="Times New Roman"/>
          <w:szCs w:val="24"/>
        </w:rPr>
        <w:t xml:space="preserve">okban </w:t>
      </w:r>
      <w:r w:rsidR="001947CD" w:rsidRPr="00986F85">
        <w:rPr>
          <w:rFonts w:cs="Times New Roman"/>
          <w:szCs w:val="24"/>
        </w:rPr>
        <w:t xml:space="preserve">mutatjuk be.) </w:t>
      </w:r>
    </w:p>
    <w:p w14:paraId="2D767E73" w14:textId="77777777" w:rsidR="001947CD" w:rsidRPr="00986F85" w:rsidRDefault="001947CD" w:rsidP="00B15CC0">
      <w:pPr>
        <w:spacing w:after="0" w:line="360" w:lineRule="auto"/>
        <w:jc w:val="both"/>
        <w:rPr>
          <w:rFonts w:cs="Times New Roman"/>
          <w:szCs w:val="24"/>
        </w:rPr>
      </w:pPr>
    </w:p>
    <w:p w14:paraId="35DDE043" w14:textId="77777777" w:rsidR="00B15CC0" w:rsidRPr="00986F85" w:rsidRDefault="001947CD" w:rsidP="00B15CC0">
      <w:pPr>
        <w:spacing w:after="0" w:line="360" w:lineRule="auto"/>
        <w:jc w:val="both"/>
        <w:rPr>
          <w:rFonts w:eastAsia="Times New Roman" w:cs="Times New Roman"/>
          <w:color w:val="000000"/>
          <w:szCs w:val="24"/>
          <w:lang w:eastAsia="en-US"/>
        </w:rPr>
      </w:pPr>
      <w:r w:rsidRPr="00986F85">
        <w:rPr>
          <w:rFonts w:cs="Times New Roman"/>
          <w:szCs w:val="24"/>
        </w:rPr>
        <w:t>Továbbá f</w:t>
      </w:r>
      <w:r w:rsidR="00B15CC0" w:rsidRPr="00986F85">
        <w:rPr>
          <w:rFonts w:cs="Times New Roman"/>
          <w:szCs w:val="24"/>
        </w:rPr>
        <w:t xml:space="preserve">ontos, hogy a fajlagos mutatók esetében, ahol </w:t>
      </w:r>
      <w:r w:rsidR="00B15CC0" w:rsidRPr="00986F85">
        <w:rPr>
          <w:rFonts w:eastAsia="Times New Roman" w:cs="Times New Roman"/>
          <w:color w:val="000000"/>
          <w:szCs w:val="24"/>
          <w:lang w:eastAsia="en-US"/>
        </w:rPr>
        <w:t>a regisztrált alkalmazottak létszáma 0, ott értelemszerűen nem kalkuláltunk egy főre vetített arányokat. (Ez a cégek 7-8%-át érinti.)</w:t>
      </w:r>
    </w:p>
    <w:p w14:paraId="1BF1460E" w14:textId="77777777" w:rsidR="00B15CC0" w:rsidRPr="00986F85" w:rsidRDefault="00B15CC0" w:rsidP="00B04415">
      <w:pPr>
        <w:spacing w:after="0" w:line="360" w:lineRule="auto"/>
        <w:jc w:val="both"/>
        <w:rPr>
          <w:rFonts w:cs="Times New Roman"/>
          <w:szCs w:val="24"/>
        </w:rPr>
      </w:pPr>
    </w:p>
    <w:p w14:paraId="12194727" w14:textId="77777777" w:rsidR="00212BE3" w:rsidRPr="00986F85" w:rsidRDefault="00212BE3" w:rsidP="00B04415">
      <w:pPr>
        <w:spacing w:after="0" w:line="360" w:lineRule="auto"/>
        <w:jc w:val="both"/>
        <w:rPr>
          <w:rFonts w:cs="Times New Roman"/>
          <w:b/>
          <w:szCs w:val="24"/>
        </w:rPr>
      </w:pPr>
      <w:r w:rsidRPr="00986F85">
        <w:rPr>
          <w:rFonts w:cs="Times New Roman"/>
          <w:b/>
          <w:szCs w:val="24"/>
        </w:rPr>
        <w:t>Gazdasági válság következményei</w:t>
      </w:r>
    </w:p>
    <w:p w14:paraId="6ECB6241" w14:textId="77777777" w:rsidR="00220DD8" w:rsidRPr="00986F85" w:rsidRDefault="00212BE3" w:rsidP="00B04415">
      <w:pPr>
        <w:spacing w:after="0" w:line="360" w:lineRule="auto"/>
        <w:jc w:val="both"/>
        <w:rPr>
          <w:rFonts w:cs="Times New Roman"/>
          <w:szCs w:val="24"/>
        </w:rPr>
      </w:pPr>
      <w:r w:rsidRPr="00986F85">
        <w:rPr>
          <w:rFonts w:cs="Times New Roman"/>
          <w:szCs w:val="24"/>
        </w:rPr>
        <w:t>A 2008</w:t>
      </w:r>
      <w:r w:rsidR="00F11180" w:rsidRPr="00986F85">
        <w:rPr>
          <w:rFonts w:cs="Times New Roman"/>
          <w:szCs w:val="24"/>
        </w:rPr>
        <w:t xml:space="preserve">-at </w:t>
      </w:r>
      <w:r w:rsidRPr="00986F85">
        <w:rPr>
          <w:rFonts w:cs="Times New Roman"/>
          <w:szCs w:val="24"/>
        </w:rPr>
        <w:t>követ</w:t>
      </w:r>
      <w:r w:rsidR="00016773" w:rsidRPr="00986F85">
        <w:rPr>
          <w:rFonts w:cs="Times New Roman"/>
          <w:szCs w:val="24"/>
        </w:rPr>
        <w:t xml:space="preserve">ően </w:t>
      </w:r>
      <w:r w:rsidR="00F11180" w:rsidRPr="00986F85">
        <w:rPr>
          <w:rFonts w:cs="Times New Roman"/>
          <w:szCs w:val="24"/>
        </w:rPr>
        <w:t>egyértelműen kimutatható a vállalati szektor visszaesése</w:t>
      </w:r>
      <w:r w:rsidR="00016773" w:rsidRPr="00986F85">
        <w:rPr>
          <w:rFonts w:cs="Times New Roman"/>
          <w:szCs w:val="24"/>
        </w:rPr>
        <w:t xml:space="preserve">, és a válság nyomán minden iparágban </w:t>
      </w:r>
      <w:r w:rsidR="00F11180" w:rsidRPr="00986F85">
        <w:rPr>
          <w:rFonts w:cs="Times New Roman"/>
          <w:szCs w:val="24"/>
        </w:rPr>
        <w:t xml:space="preserve">romlottak a növekedési esélyek, illetve nem akadt olyan </w:t>
      </w:r>
      <w:r w:rsidR="003044E0" w:rsidRPr="00986F85">
        <w:rPr>
          <w:rFonts w:cs="Times New Roman"/>
          <w:szCs w:val="24"/>
        </w:rPr>
        <w:t xml:space="preserve">magyarországi </w:t>
      </w:r>
      <w:r w:rsidR="00F11180" w:rsidRPr="00986F85">
        <w:rPr>
          <w:rFonts w:cs="Times New Roman"/>
          <w:szCs w:val="24"/>
        </w:rPr>
        <w:t>térség, amely kibújhatott volna ezen következmények alól.</w:t>
      </w:r>
    </w:p>
    <w:p w14:paraId="0B855592" w14:textId="77777777" w:rsidR="00F1208B" w:rsidRPr="00986F85" w:rsidRDefault="00F1208B" w:rsidP="00B04415">
      <w:pPr>
        <w:spacing w:after="0" w:line="360" w:lineRule="auto"/>
        <w:jc w:val="both"/>
        <w:rPr>
          <w:rFonts w:cs="Times New Roman"/>
          <w:szCs w:val="24"/>
        </w:rPr>
      </w:pPr>
    </w:p>
    <w:p w14:paraId="1530828E" w14:textId="77777777" w:rsidR="00F24643" w:rsidRPr="00986F85" w:rsidRDefault="007E1F98" w:rsidP="006043F1">
      <w:pPr>
        <w:pStyle w:val="Kpalrs"/>
        <w:keepNext/>
        <w:jc w:val="center"/>
      </w:pPr>
      <w:r w:rsidRPr="00986F85">
        <w:fldChar w:fldCharType="begin"/>
      </w:r>
      <w:r w:rsidR="00134EE4" w:rsidRPr="00986F85">
        <w:instrText xml:space="preserve"> SEQ táblázat \* ARABIC </w:instrText>
      </w:r>
      <w:r w:rsidRPr="00986F85">
        <w:fldChar w:fldCharType="separate"/>
      </w:r>
      <w:bookmarkStart w:id="30" w:name="_Toc230854351"/>
      <w:r w:rsidR="00255252" w:rsidRPr="00986F85">
        <w:rPr>
          <w:noProof/>
        </w:rPr>
        <w:t>6</w:t>
      </w:r>
      <w:r w:rsidRPr="00986F85">
        <w:fldChar w:fldCharType="end"/>
      </w:r>
      <w:r w:rsidR="00F24643" w:rsidRPr="00986F85">
        <w:t xml:space="preserve">. táblázat: </w:t>
      </w:r>
      <w:r w:rsidR="00F24643" w:rsidRPr="00986F85">
        <w:rPr>
          <w:rFonts w:cs="Times New Roman"/>
        </w:rPr>
        <w:t>Főbb vállalat</w:t>
      </w:r>
      <w:r w:rsidR="00712890" w:rsidRPr="00986F85">
        <w:rPr>
          <w:rFonts w:cs="Times New Roman"/>
        </w:rPr>
        <w:t>i teljesítménymutatók változása (</w:t>
      </w:r>
      <w:r w:rsidR="00F24643" w:rsidRPr="00986F85">
        <w:rPr>
          <w:rFonts w:cs="Times New Roman"/>
        </w:rPr>
        <w:t>2009/2008</w:t>
      </w:r>
      <w:r w:rsidR="00712890" w:rsidRPr="00986F85">
        <w:rPr>
          <w:rFonts w:cs="Times New Roman"/>
        </w:rPr>
        <w:t>)</w:t>
      </w:r>
      <w:bookmarkEnd w:id="30"/>
    </w:p>
    <w:tbl>
      <w:tblPr>
        <w:tblpPr w:leftFromText="180" w:rightFromText="180" w:vertAnchor="text" w:tblpY="7"/>
        <w:tblW w:w="9139" w:type="dxa"/>
        <w:tblCellMar>
          <w:left w:w="70" w:type="dxa"/>
          <w:right w:w="70" w:type="dxa"/>
        </w:tblCellMar>
        <w:tblLook w:val="04A0" w:firstRow="1" w:lastRow="0" w:firstColumn="1" w:lastColumn="0" w:noHBand="0" w:noVBand="1"/>
      </w:tblPr>
      <w:tblGrid>
        <w:gridCol w:w="3138"/>
        <w:gridCol w:w="1039"/>
        <w:gridCol w:w="1175"/>
        <w:gridCol w:w="1385"/>
        <w:gridCol w:w="946"/>
        <w:gridCol w:w="1456"/>
      </w:tblGrid>
      <w:tr w:rsidR="007D55C0" w:rsidRPr="00986F85" w14:paraId="71BD5514" w14:textId="77777777" w:rsidTr="008C45B4">
        <w:trPr>
          <w:trHeight w:val="285"/>
        </w:trPr>
        <w:tc>
          <w:tcPr>
            <w:tcW w:w="3138" w:type="dxa"/>
            <w:tcBorders>
              <w:top w:val="nil"/>
              <w:left w:val="nil"/>
              <w:bottom w:val="nil"/>
              <w:right w:val="nil"/>
            </w:tcBorders>
            <w:shd w:val="clear" w:color="auto" w:fill="B10000"/>
            <w:noWrap/>
            <w:hideMark/>
          </w:tcPr>
          <w:p w14:paraId="010D4420" w14:textId="77777777" w:rsidR="007D55C0" w:rsidRPr="00986F85" w:rsidRDefault="007D55C0" w:rsidP="008C45B4">
            <w:pPr>
              <w:spacing w:after="0" w:line="240" w:lineRule="auto"/>
              <w:rPr>
                <w:rFonts w:eastAsia="Times New Roman"/>
                <w:b/>
                <w:color w:val="FFFFFF"/>
                <w:lang w:eastAsia="hu-HU"/>
              </w:rPr>
            </w:pPr>
            <w:r w:rsidRPr="00986F85">
              <w:rPr>
                <w:rFonts w:eastAsia="Times New Roman" w:cs="Times New Roman"/>
                <w:b/>
                <w:color w:val="FFFFFF"/>
                <w:lang w:eastAsia="hu-HU"/>
              </w:rPr>
              <w:t>Vállalati teljesítménymutatók</w:t>
            </w:r>
          </w:p>
        </w:tc>
        <w:tc>
          <w:tcPr>
            <w:tcW w:w="1039" w:type="dxa"/>
            <w:tcBorders>
              <w:top w:val="nil"/>
              <w:left w:val="nil"/>
              <w:bottom w:val="nil"/>
              <w:right w:val="nil"/>
            </w:tcBorders>
            <w:shd w:val="clear" w:color="auto" w:fill="B10000"/>
            <w:noWrap/>
            <w:hideMark/>
          </w:tcPr>
          <w:p w14:paraId="74FB3E7D" w14:textId="77777777" w:rsidR="007D55C0" w:rsidRPr="00986F85" w:rsidRDefault="007D55C0" w:rsidP="008C45B4">
            <w:pPr>
              <w:spacing w:after="0" w:line="240" w:lineRule="auto"/>
              <w:jc w:val="center"/>
              <w:rPr>
                <w:rFonts w:eastAsia="Times New Roman"/>
                <w:b/>
                <w:color w:val="FFFFFF"/>
                <w:lang w:eastAsia="hu-HU"/>
              </w:rPr>
            </w:pPr>
            <w:r w:rsidRPr="00986F85">
              <w:rPr>
                <w:rFonts w:eastAsia="Times New Roman"/>
                <w:b/>
                <w:color w:val="FFFFFF"/>
                <w:lang w:eastAsia="hu-HU"/>
              </w:rPr>
              <w:t>Átlag</w:t>
            </w:r>
          </w:p>
        </w:tc>
        <w:tc>
          <w:tcPr>
            <w:tcW w:w="1175" w:type="dxa"/>
            <w:tcBorders>
              <w:top w:val="nil"/>
              <w:left w:val="nil"/>
              <w:bottom w:val="nil"/>
              <w:right w:val="nil"/>
            </w:tcBorders>
            <w:shd w:val="clear" w:color="auto" w:fill="B10000"/>
            <w:noWrap/>
            <w:hideMark/>
          </w:tcPr>
          <w:p w14:paraId="65992A75" w14:textId="77777777" w:rsidR="007D55C0" w:rsidRPr="00986F85" w:rsidRDefault="007D55C0" w:rsidP="008C45B4">
            <w:pPr>
              <w:spacing w:after="0" w:line="240" w:lineRule="auto"/>
              <w:jc w:val="center"/>
              <w:rPr>
                <w:rFonts w:eastAsia="Times New Roman"/>
                <w:b/>
                <w:color w:val="FFFFFF"/>
                <w:lang w:eastAsia="hu-HU"/>
              </w:rPr>
            </w:pPr>
            <w:r w:rsidRPr="00986F85">
              <w:rPr>
                <w:rFonts w:eastAsia="Times New Roman"/>
                <w:b/>
                <w:color w:val="FFFFFF"/>
                <w:lang w:eastAsia="hu-HU"/>
              </w:rPr>
              <w:t>Szórás</w:t>
            </w:r>
          </w:p>
        </w:tc>
        <w:tc>
          <w:tcPr>
            <w:tcW w:w="1385" w:type="dxa"/>
            <w:tcBorders>
              <w:top w:val="nil"/>
              <w:left w:val="nil"/>
              <w:bottom w:val="nil"/>
              <w:right w:val="nil"/>
            </w:tcBorders>
            <w:shd w:val="clear" w:color="auto" w:fill="B10000"/>
            <w:noWrap/>
            <w:hideMark/>
          </w:tcPr>
          <w:p w14:paraId="3FFEC935" w14:textId="77777777" w:rsidR="007D55C0" w:rsidRPr="00986F85" w:rsidRDefault="007D55C0" w:rsidP="008C45B4">
            <w:pPr>
              <w:spacing w:after="0" w:line="240" w:lineRule="auto"/>
              <w:jc w:val="center"/>
              <w:rPr>
                <w:rFonts w:eastAsia="Times New Roman"/>
                <w:b/>
                <w:color w:val="FFFFFF"/>
                <w:lang w:eastAsia="hu-HU"/>
              </w:rPr>
            </w:pPr>
            <w:r w:rsidRPr="00986F85">
              <w:rPr>
                <w:rFonts w:eastAsia="Times New Roman"/>
                <w:b/>
                <w:color w:val="FFFFFF"/>
                <w:lang w:eastAsia="hu-HU"/>
              </w:rPr>
              <w:t>Alsó kvartilis</w:t>
            </w:r>
          </w:p>
        </w:tc>
        <w:tc>
          <w:tcPr>
            <w:tcW w:w="946" w:type="dxa"/>
            <w:tcBorders>
              <w:top w:val="nil"/>
              <w:left w:val="nil"/>
              <w:bottom w:val="nil"/>
              <w:right w:val="nil"/>
            </w:tcBorders>
            <w:shd w:val="clear" w:color="auto" w:fill="B10000"/>
            <w:noWrap/>
            <w:hideMark/>
          </w:tcPr>
          <w:p w14:paraId="2C79D604" w14:textId="77777777" w:rsidR="007D55C0" w:rsidRPr="00986F85" w:rsidRDefault="007D55C0" w:rsidP="008C45B4">
            <w:pPr>
              <w:spacing w:after="0" w:line="240" w:lineRule="auto"/>
              <w:jc w:val="center"/>
              <w:rPr>
                <w:rFonts w:eastAsia="Times New Roman"/>
                <w:b/>
                <w:color w:val="FFFFFF"/>
                <w:lang w:eastAsia="hu-HU"/>
              </w:rPr>
            </w:pPr>
            <w:r w:rsidRPr="00986F85">
              <w:rPr>
                <w:rFonts w:eastAsia="Times New Roman"/>
                <w:b/>
                <w:color w:val="FFFFFF"/>
                <w:lang w:eastAsia="hu-HU"/>
              </w:rPr>
              <w:t>Medián</w:t>
            </w:r>
          </w:p>
        </w:tc>
        <w:tc>
          <w:tcPr>
            <w:tcW w:w="1456" w:type="dxa"/>
            <w:tcBorders>
              <w:top w:val="nil"/>
              <w:left w:val="nil"/>
              <w:bottom w:val="nil"/>
              <w:right w:val="nil"/>
            </w:tcBorders>
            <w:shd w:val="clear" w:color="auto" w:fill="B10000"/>
            <w:noWrap/>
            <w:hideMark/>
          </w:tcPr>
          <w:p w14:paraId="5914102C" w14:textId="77777777" w:rsidR="007D55C0" w:rsidRPr="00986F85" w:rsidRDefault="007D55C0" w:rsidP="008C45B4">
            <w:pPr>
              <w:spacing w:after="0" w:line="240" w:lineRule="auto"/>
              <w:jc w:val="center"/>
              <w:rPr>
                <w:rFonts w:eastAsia="Times New Roman"/>
                <w:b/>
                <w:color w:val="FFFFFF"/>
                <w:lang w:eastAsia="hu-HU"/>
              </w:rPr>
            </w:pPr>
            <w:r w:rsidRPr="00986F85">
              <w:rPr>
                <w:rFonts w:eastAsia="Times New Roman"/>
                <w:b/>
                <w:color w:val="FFFFFF"/>
                <w:lang w:eastAsia="hu-HU"/>
              </w:rPr>
              <w:t>Felső kvartilis</w:t>
            </w:r>
          </w:p>
        </w:tc>
      </w:tr>
      <w:tr w:rsidR="007D55C0" w:rsidRPr="00986F85" w14:paraId="6D698CDB" w14:textId="77777777" w:rsidTr="008C45B4">
        <w:trPr>
          <w:trHeight w:val="285"/>
        </w:trPr>
        <w:tc>
          <w:tcPr>
            <w:tcW w:w="3138" w:type="dxa"/>
            <w:tcBorders>
              <w:top w:val="nil"/>
              <w:left w:val="nil"/>
              <w:bottom w:val="nil"/>
              <w:right w:val="nil"/>
            </w:tcBorders>
            <w:shd w:val="clear" w:color="auto" w:fill="auto"/>
            <w:noWrap/>
            <w:vAlign w:val="bottom"/>
            <w:hideMark/>
          </w:tcPr>
          <w:p w14:paraId="0775CC17" w14:textId="77777777" w:rsidR="007D55C0" w:rsidRPr="00986F85" w:rsidRDefault="007D55C0" w:rsidP="008C45B4">
            <w:pPr>
              <w:spacing w:after="0" w:line="240" w:lineRule="auto"/>
              <w:rPr>
                <w:rFonts w:eastAsia="Times New Roman"/>
                <w:color w:val="000000"/>
                <w:lang w:eastAsia="hu-HU"/>
              </w:rPr>
            </w:pPr>
            <w:r w:rsidRPr="00986F85">
              <w:rPr>
                <w:rFonts w:eastAsia="Times New Roman"/>
                <w:color w:val="000000"/>
                <w:lang w:eastAsia="hu-HU"/>
              </w:rPr>
              <w:t>Foglalkoztatottak száma (%)</w:t>
            </w:r>
          </w:p>
        </w:tc>
        <w:tc>
          <w:tcPr>
            <w:tcW w:w="1039" w:type="dxa"/>
            <w:tcBorders>
              <w:top w:val="nil"/>
              <w:left w:val="nil"/>
              <w:bottom w:val="nil"/>
              <w:right w:val="nil"/>
            </w:tcBorders>
            <w:shd w:val="clear" w:color="auto" w:fill="auto"/>
            <w:noWrap/>
            <w:vAlign w:val="bottom"/>
            <w:hideMark/>
          </w:tcPr>
          <w:p w14:paraId="4D235084"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-5</w:t>
            </w:r>
            <w:r w:rsidR="002A5599" w:rsidRPr="00986F85">
              <w:rPr>
                <w:rFonts w:eastAsia="Times New Roman"/>
                <w:color w:val="000000"/>
                <w:lang w:eastAsia="hu-HU"/>
              </w:rPr>
              <w:t>,</w:t>
            </w:r>
            <w:r w:rsidRPr="00986F85">
              <w:rPr>
                <w:rFonts w:eastAsia="Times New Roman"/>
                <w:color w:val="000000"/>
                <w:lang w:eastAsia="hu-HU"/>
              </w:rPr>
              <w:t>8</w:t>
            </w:r>
          </w:p>
        </w:tc>
        <w:tc>
          <w:tcPr>
            <w:tcW w:w="1175" w:type="dxa"/>
            <w:tcBorders>
              <w:top w:val="nil"/>
              <w:left w:val="nil"/>
              <w:bottom w:val="nil"/>
              <w:right w:val="nil"/>
            </w:tcBorders>
            <w:shd w:val="clear" w:color="auto" w:fill="auto"/>
            <w:noWrap/>
            <w:vAlign w:val="bottom"/>
            <w:hideMark/>
          </w:tcPr>
          <w:p w14:paraId="5ED4C0B4"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43</w:t>
            </w:r>
            <w:r w:rsidR="002A5599" w:rsidRPr="00986F85">
              <w:rPr>
                <w:rFonts w:eastAsia="Times New Roman"/>
                <w:color w:val="000000"/>
                <w:lang w:eastAsia="hu-HU"/>
              </w:rPr>
              <w:t>,</w:t>
            </w:r>
            <w:r w:rsidRPr="00986F85">
              <w:rPr>
                <w:rFonts w:eastAsia="Times New Roman"/>
                <w:color w:val="000000"/>
                <w:lang w:eastAsia="hu-HU"/>
              </w:rPr>
              <w:t>1</w:t>
            </w:r>
          </w:p>
        </w:tc>
        <w:tc>
          <w:tcPr>
            <w:tcW w:w="1385" w:type="dxa"/>
            <w:tcBorders>
              <w:top w:val="nil"/>
              <w:left w:val="nil"/>
              <w:bottom w:val="nil"/>
              <w:right w:val="nil"/>
            </w:tcBorders>
            <w:shd w:val="clear" w:color="auto" w:fill="auto"/>
            <w:noWrap/>
            <w:vAlign w:val="bottom"/>
            <w:hideMark/>
          </w:tcPr>
          <w:p w14:paraId="22F190AF"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-20</w:t>
            </w:r>
            <w:r w:rsidR="002A5599" w:rsidRPr="00986F85">
              <w:rPr>
                <w:rFonts w:eastAsia="Times New Roman"/>
                <w:color w:val="000000"/>
                <w:lang w:eastAsia="hu-HU"/>
              </w:rPr>
              <w:t>,</w:t>
            </w:r>
            <w:r w:rsidRPr="00986F85">
              <w:rPr>
                <w:rFonts w:eastAsia="Times New Roman"/>
                <w:color w:val="000000"/>
                <w:lang w:eastAsia="hu-HU"/>
              </w:rPr>
              <w:t>0</w:t>
            </w:r>
          </w:p>
        </w:tc>
        <w:tc>
          <w:tcPr>
            <w:tcW w:w="946" w:type="dxa"/>
            <w:tcBorders>
              <w:top w:val="nil"/>
              <w:left w:val="nil"/>
              <w:bottom w:val="nil"/>
              <w:right w:val="nil"/>
            </w:tcBorders>
            <w:shd w:val="clear" w:color="auto" w:fill="auto"/>
            <w:noWrap/>
            <w:vAlign w:val="bottom"/>
            <w:hideMark/>
          </w:tcPr>
          <w:p w14:paraId="28485481"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0</w:t>
            </w:r>
            <w:r w:rsidR="002A5599" w:rsidRPr="00986F85">
              <w:rPr>
                <w:rFonts w:eastAsia="Times New Roman"/>
                <w:color w:val="000000"/>
                <w:lang w:eastAsia="hu-HU"/>
              </w:rPr>
              <w:t>,</w:t>
            </w:r>
            <w:r w:rsidRPr="00986F85">
              <w:rPr>
                <w:rFonts w:eastAsia="Times New Roman"/>
                <w:color w:val="000000"/>
                <w:lang w:eastAsia="hu-HU"/>
              </w:rPr>
              <w:t>0</w:t>
            </w:r>
          </w:p>
        </w:tc>
        <w:tc>
          <w:tcPr>
            <w:tcW w:w="1456" w:type="dxa"/>
            <w:tcBorders>
              <w:top w:val="nil"/>
              <w:left w:val="nil"/>
              <w:bottom w:val="nil"/>
              <w:right w:val="nil"/>
            </w:tcBorders>
            <w:shd w:val="clear" w:color="auto" w:fill="auto"/>
            <w:noWrap/>
            <w:vAlign w:val="bottom"/>
            <w:hideMark/>
          </w:tcPr>
          <w:p w14:paraId="79DEA4EA"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0</w:t>
            </w:r>
            <w:r w:rsidR="002A5599" w:rsidRPr="00986F85">
              <w:rPr>
                <w:rFonts w:eastAsia="Times New Roman"/>
                <w:color w:val="000000"/>
                <w:lang w:eastAsia="hu-HU"/>
              </w:rPr>
              <w:t>,</w:t>
            </w:r>
            <w:r w:rsidRPr="00986F85">
              <w:rPr>
                <w:rFonts w:eastAsia="Times New Roman"/>
                <w:color w:val="000000"/>
                <w:lang w:eastAsia="hu-HU"/>
              </w:rPr>
              <w:t>0</w:t>
            </w:r>
          </w:p>
        </w:tc>
      </w:tr>
      <w:tr w:rsidR="007D55C0" w:rsidRPr="00986F85" w14:paraId="223FA00B" w14:textId="77777777" w:rsidTr="008C45B4">
        <w:trPr>
          <w:trHeight w:val="285"/>
        </w:trPr>
        <w:tc>
          <w:tcPr>
            <w:tcW w:w="3138" w:type="dxa"/>
            <w:tcBorders>
              <w:top w:val="nil"/>
              <w:left w:val="nil"/>
              <w:bottom w:val="nil"/>
              <w:right w:val="nil"/>
            </w:tcBorders>
            <w:shd w:val="clear" w:color="auto" w:fill="auto"/>
            <w:noWrap/>
            <w:vAlign w:val="bottom"/>
            <w:hideMark/>
          </w:tcPr>
          <w:p w14:paraId="054DA479" w14:textId="77777777" w:rsidR="007D55C0" w:rsidRPr="00986F85" w:rsidRDefault="007D55C0" w:rsidP="008C45B4">
            <w:pPr>
              <w:spacing w:after="0" w:line="240" w:lineRule="auto"/>
              <w:rPr>
                <w:rFonts w:eastAsia="Times New Roman"/>
                <w:color w:val="000000"/>
                <w:lang w:eastAsia="hu-HU"/>
              </w:rPr>
            </w:pPr>
            <w:r w:rsidRPr="00986F85">
              <w:rPr>
                <w:rFonts w:eastAsia="Times New Roman"/>
                <w:color w:val="000000"/>
                <w:lang w:eastAsia="hu-HU"/>
              </w:rPr>
              <w:t>Nettó árbevétel (%)</w:t>
            </w:r>
          </w:p>
        </w:tc>
        <w:tc>
          <w:tcPr>
            <w:tcW w:w="1039" w:type="dxa"/>
            <w:tcBorders>
              <w:top w:val="nil"/>
              <w:left w:val="nil"/>
              <w:bottom w:val="nil"/>
              <w:right w:val="nil"/>
            </w:tcBorders>
            <w:shd w:val="clear" w:color="auto" w:fill="auto"/>
            <w:noWrap/>
            <w:vAlign w:val="bottom"/>
            <w:hideMark/>
          </w:tcPr>
          <w:p w14:paraId="0EAB73A0"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33</w:t>
            </w:r>
            <w:r w:rsidR="002A5599" w:rsidRPr="00986F85">
              <w:rPr>
                <w:rFonts w:eastAsia="Times New Roman"/>
                <w:color w:val="000000"/>
                <w:lang w:eastAsia="hu-HU"/>
              </w:rPr>
              <w:t>,</w:t>
            </w:r>
            <w:r w:rsidRPr="00986F85">
              <w:rPr>
                <w:rFonts w:eastAsia="Times New Roman"/>
                <w:color w:val="000000"/>
                <w:lang w:eastAsia="hu-HU"/>
              </w:rPr>
              <w:t>9</w:t>
            </w:r>
          </w:p>
        </w:tc>
        <w:tc>
          <w:tcPr>
            <w:tcW w:w="1175" w:type="dxa"/>
            <w:tcBorders>
              <w:top w:val="nil"/>
              <w:left w:val="nil"/>
              <w:bottom w:val="nil"/>
              <w:right w:val="nil"/>
            </w:tcBorders>
            <w:shd w:val="clear" w:color="auto" w:fill="auto"/>
            <w:noWrap/>
            <w:vAlign w:val="bottom"/>
            <w:hideMark/>
          </w:tcPr>
          <w:p w14:paraId="627F8768"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3201</w:t>
            </w:r>
            <w:r w:rsidR="002A5599" w:rsidRPr="00986F85">
              <w:rPr>
                <w:rFonts w:eastAsia="Times New Roman"/>
                <w:color w:val="000000"/>
                <w:lang w:eastAsia="hu-HU"/>
              </w:rPr>
              <w:t>,</w:t>
            </w:r>
            <w:r w:rsidRPr="00986F85">
              <w:rPr>
                <w:rFonts w:eastAsia="Times New Roman"/>
                <w:color w:val="000000"/>
                <w:lang w:eastAsia="hu-HU"/>
              </w:rPr>
              <w:t>7</w:t>
            </w:r>
          </w:p>
        </w:tc>
        <w:tc>
          <w:tcPr>
            <w:tcW w:w="1385" w:type="dxa"/>
            <w:tcBorders>
              <w:top w:val="nil"/>
              <w:left w:val="nil"/>
              <w:bottom w:val="nil"/>
              <w:right w:val="nil"/>
            </w:tcBorders>
            <w:shd w:val="clear" w:color="auto" w:fill="auto"/>
            <w:noWrap/>
            <w:vAlign w:val="bottom"/>
            <w:hideMark/>
          </w:tcPr>
          <w:p w14:paraId="517A8928"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-28</w:t>
            </w:r>
            <w:r w:rsidR="002A5599" w:rsidRPr="00986F85">
              <w:rPr>
                <w:rFonts w:eastAsia="Times New Roman"/>
                <w:color w:val="000000"/>
                <w:lang w:eastAsia="hu-HU"/>
              </w:rPr>
              <w:t>,</w:t>
            </w:r>
            <w:r w:rsidRPr="00986F85">
              <w:rPr>
                <w:rFonts w:eastAsia="Times New Roman"/>
                <w:color w:val="000000"/>
                <w:lang w:eastAsia="hu-HU"/>
              </w:rPr>
              <w:t>6</w:t>
            </w:r>
          </w:p>
        </w:tc>
        <w:tc>
          <w:tcPr>
            <w:tcW w:w="946" w:type="dxa"/>
            <w:tcBorders>
              <w:top w:val="nil"/>
              <w:left w:val="nil"/>
              <w:bottom w:val="nil"/>
              <w:right w:val="nil"/>
            </w:tcBorders>
            <w:shd w:val="clear" w:color="auto" w:fill="auto"/>
            <w:noWrap/>
            <w:vAlign w:val="bottom"/>
            <w:hideMark/>
          </w:tcPr>
          <w:p w14:paraId="64EC9E58"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-10</w:t>
            </w:r>
            <w:r w:rsidR="002A5599" w:rsidRPr="00986F85">
              <w:rPr>
                <w:rFonts w:eastAsia="Times New Roman"/>
                <w:color w:val="000000"/>
                <w:lang w:eastAsia="hu-HU"/>
              </w:rPr>
              <w:t>,</w:t>
            </w:r>
            <w:r w:rsidRPr="00986F85">
              <w:rPr>
                <w:rFonts w:eastAsia="Times New Roman"/>
                <w:color w:val="000000"/>
                <w:lang w:eastAsia="hu-HU"/>
              </w:rPr>
              <w:t>9</w:t>
            </w:r>
          </w:p>
        </w:tc>
        <w:tc>
          <w:tcPr>
            <w:tcW w:w="1456" w:type="dxa"/>
            <w:tcBorders>
              <w:top w:val="nil"/>
              <w:left w:val="nil"/>
              <w:bottom w:val="nil"/>
              <w:right w:val="nil"/>
            </w:tcBorders>
            <w:shd w:val="clear" w:color="auto" w:fill="auto"/>
            <w:noWrap/>
            <w:vAlign w:val="bottom"/>
            <w:hideMark/>
          </w:tcPr>
          <w:p w14:paraId="64837580"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4</w:t>
            </w:r>
            <w:r w:rsidR="002A5599" w:rsidRPr="00986F85">
              <w:rPr>
                <w:rFonts w:eastAsia="Times New Roman"/>
                <w:color w:val="000000"/>
                <w:lang w:eastAsia="hu-HU"/>
              </w:rPr>
              <w:t>,</w:t>
            </w:r>
            <w:r w:rsidRPr="00986F85">
              <w:rPr>
                <w:rFonts w:eastAsia="Times New Roman"/>
                <w:color w:val="000000"/>
                <w:lang w:eastAsia="hu-HU"/>
              </w:rPr>
              <w:t>0</w:t>
            </w:r>
          </w:p>
        </w:tc>
      </w:tr>
      <w:tr w:rsidR="007D55C0" w:rsidRPr="00986F85" w14:paraId="3698D61D" w14:textId="77777777" w:rsidTr="008C45B4">
        <w:trPr>
          <w:trHeight w:val="285"/>
        </w:trPr>
        <w:tc>
          <w:tcPr>
            <w:tcW w:w="3138" w:type="dxa"/>
            <w:tcBorders>
              <w:top w:val="nil"/>
              <w:left w:val="nil"/>
              <w:bottom w:val="nil"/>
              <w:right w:val="nil"/>
            </w:tcBorders>
            <w:shd w:val="clear" w:color="auto" w:fill="auto"/>
            <w:noWrap/>
            <w:vAlign w:val="bottom"/>
            <w:hideMark/>
          </w:tcPr>
          <w:p w14:paraId="7DEB9917" w14:textId="77777777" w:rsidR="007D55C0" w:rsidRPr="00986F85" w:rsidRDefault="007D55C0" w:rsidP="008C45B4">
            <w:pPr>
              <w:spacing w:after="0" w:line="240" w:lineRule="auto"/>
              <w:rPr>
                <w:rFonts w:eastAsia="Times New Roman"/>
                <w:color w:val="000000"/>
                <w:lang w:eastAsia="hu-HU"/>
              </w:rPr>
            </w:pPr>
            <w:r w:rsidRPr="00986F85">
              <w:rPr>
                <w:rFonts w:eastAsia="Times New Roman"/>
                <w:color w:val="000000"/>
                <w:lang w:eastAsia="hu-HU"/>
              </w:rPr>
              <w:t>Egy foglalkoztatottra eső árbevétel (%)</w:t>
            </w:r>
          </w:p>
        </w:tc>
        <w:tc>
          <w:tcPr>
            <w:tcW w:w="1039" w:type="dxa"/>
            <w:tcBorders>
              <w:top w:val="nil"/>
              <w:left w:val="nil"/>
              <w:bottom w:val="nil"/>
              <w:right w:val="nil"/>
            </w:tcBorders>
            <w:shd w:val="clear" w:color="auto" w:fill="auto"/>
            <w:noWrap/>
            <w:vAlign w:val="bottom"/>
            <w:hideMark/>
          </w:tcPr>
          <w:p w14:paraId="525CF20D"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14</w:t>
            </w:r>
            <w:r w:rsidR="002A5599" w:rsidRPr="00986F85">
              <w:rPr>
                <w:rFonts w:eastAsia="Times New Roman"/>
                <w:color w:val="000000"/>
                <w:lang w:eastAsia="hu-HU"/>
              </w:rPr>
              <w:t>,</w:t>
            </w:r>
            <w:r w:rsidRPr="00986F85">
              <w:rPr>
                <w:rFonts w:eastAsia="Times New Roman"/>
                <w:color w:val="000000"/>
                <w:lang w:eastAsia="hu-HU"/>
              </w:rPr>
              <w:t>0</w:t>
            </w:r>
          </w:p>
        </w:tc>
        <w:tc>
          <w:tcPr>
            <w:tcW w:w="1175" w:type="dxa"/>
            <w:tcBorders>
              <w:top w:val="nil"/>
              <w:left w:val="nil"/>
              <w:bottom w:val="nil"/>
              <w:right w:val="nil"/>
            </w:tcBorders>
            <w:shd w:val="clear" w:color="auto" w:fill="auto"/>
            <w:noWrap/>
            <w:vAlign w:val="bottom"/>
            <w:hideMark/>
          </w:tcPr>
          <w:p w14:paraId="52BECFBD"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616</w:t>
            </w:r>
            <w:r w:rsidR="002A5599" w:rsidRPr="00986F85">
              <w:rPr>
                <w:rFonts w:eastAsia="Times New Roman"/>
                <w:color w:val="000000"/>
                <w:lang w:eastAsia="hu-HU"/>
              </w:rPr>
              <w:t>,</w:t>
            </w:r>
            <w:r w:rsidRPr="00986F85">
              <w:rPr>
                <w:rFonts w:eastAsia="Times New Roman"/>
                <w:color w:val="000000"/>
                <w:lang w:eastAsia="hu-HU"/>
              </w:rPr>
              <w:t>3</w:t>
            </w:r>
          </w:p>
        </w:tc>
        <w:tc>
          <w:tcPr>
            <w:tcW w:w="1385" w:type="dxa"/>
            <w:tcBorders>
              <w:top w:val="nil"/>
              <w:left w:val="nil"/>
              <w:bottom w:val="nil"/>
              <w:right w:val="nil"/>
            </w:tcBorders>
            <w:shd w:val="clear" w:color="auto" w:fill="auto"/>
            <w:noWrap/>
            <w:vAlign w:val="bottom"/>
            <w:hideMark/>
          </w:tcPr>
          <w:p w14:paraId="7D345887"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-22</w:t>
            </w:r>
            <w:r w:rsidR="002A5599" w:rsidRPr="00986F85">
              <w:rPr>
                <w:rFonts w:eastAsia="Times New Roman"/>
                <w:color w:val="000000"/>
                <w:lang w:eastAsia="hu-HU"/>
              </w:rPr>
              <w:t>,</w:t>
            </w:r>
            <w:r w:rsidRPr="00986F85">
              <w:rPr>
                <w:rFonts w:eastAsia="Times New Roman"/>
                <w:color w:val="000000"/>
                <w:lang w:eastAsia="hu-HU"/>
              </w:rPr>
              <w:t>8</w:t>
            </w:r>
          </w:p>
        </w:tc>
        <w:tc>
          <w:tcPr>
            <w:tcW w:w="946" w:type="dxa"/>
            <w:tcBorders>
              <w:top w:val="nil"/>
              <w:left w:val="nil"/>
              <w:bottom w:val="nil"/>
              <w:right w:val="nil"/>
            </w:tcBorders>
            <w:shd w:val="clear" w:color="auto" w:fill="auto"/>
            <w:noWrap/>
            <w:vAlign w:val="bottom"/>
            <w:hideMark/>
          </w:tcPr>
          <w:p w14:paraId="5C352F33"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-5</w:t>
            </w:r>
            <w:r w:rsidR="002A5599" w:rsidRPr="00986F85">
              <w:rPr>
                <w:rFonts w:eastAsia="Times New Roman"/>
                <w:color w:val="000000"/>
                <w:lang w:eastAsia="hu-HU"/>
              </w:rPr>
              <w:t>,</w:t>
            </w:r>
            <w:r w:rsidRPr="00986F85">
              <w:rPr>
                <w:rFonts w:eastAsia="Times New Roman"/>
                <w:color w:val="000000"/>
                <w:lang w:eastAsia="hu-HU"/>
              </w:rPr>
              <w:t>2</w:t>
            </w:r>
          </w:p>
        </w:tc>
        <w:tc>
          <w:tcPr>
            <w:tcW w:w="1456" w:type="dxa"/>
            <w:tcBorders>
              <w:top w:val="nil"/>
              <w:left w:val="nil"/>
              <w:bottom w:val="nil"/>
              <w:right w:val="nil"/>
            </w:tcBorders>
            <w:shd w:val="clear" w:color="auto" w:fill="auto"/>
            <w:noWrap/>
            <w:vAlign w:val="bottom"/>
            <w:hideMark/>
          </w:tcPr>
          <w:p w14:paraId="7F60909D"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13</w:t>
            </w:r>
            <w:r w:rsidR="002A5599" w:rsidRPr="00986F85">
              <w:rPr>
                <w:rFonts w:eastAsia="Times New Roman"/>
                <w:color w:val="000000"/>
                <w:lang w:eastAsia="hu-HU"/>
              </w:rPr>
              <w:t>,</w:t>
            </w:r>
            <w:r w:rsidRPr="00986F85">
              <w:rPr>
                <w:rFonts w:eastAsia="Times New Roman"/>
                <w:color w:val="000000"/>
                <w:lang w:eastAsia="hu-HU"/>
              </w:rPr>
              <w:t>6</w:t>
            </w:r>
          </w:p>
        </w:tc>
      </w:tr>
      <w:tr w:rsidR="007D55C0" w:rsidRPr="00986F85" w14:paraId="7C7A868F" w14:textId="77777777" w:rsidTr="008C45B4">
        <w:trPr>
          <w:trHeight w:val="285"/>
        </w:trPr>
        <w:tc>
          <w:tcPr>
            <w:tcW w:w="3138" w:type="dxa"/>
            <w:tcBorders>
              <w:top w:val="nil"/>
              <w:left w:val="nil"/>
              <w:bottom w:val="nil"/>
              <w:right w:val="nil"/>
            </w:tcBorders>
            <w:shd w:val="clear" w:color="auto" w:fill="auto"/>
            <w:noWrap/>
            <w:vAlign w:val="bottom"/>
            <w:hideMark/>
          </w:tcPr>
          <w:p w14:paraId="205AF2C6" w14:textId="77777777" w:rsidR="007D55C0" w:rsidRPr="00986F85" w:rsidRDefault="007D55C0" w:rsidP="008C45B4">
            <w:pPr>
              <w:spacing w:after="0" w:line="240" w:lineRule="auto"/>
              <w:rPr>
                <w:rFonts w:eastAsia="Times New Roman"/>
                <w:color w:val="000000"/>
                <w:lang w:eastAsia="hu-HU"/>
              </w:rPr>
            </w:pPr>
            <w:r w:rsidRPr="00986F85">
              <w:rPr>
                <w:rFonts w:eastAsia="Times New Roman"/>
                <w:color w:val="000000"/>
                <w:lang w:eastAsia="hu-HU"/>
              </w:rPr>
              <w:t>Tárgyi eszköz (%)</w:t>
            </w:r>
          </w:p>
        </w:tc>
        <w:tc>
          <w:tcPr>
            <w:tcW w:w="1039" w:type="dxa"/>
            <w:tcBorders>
              <w:top w:val="nil"/>
              <w:left w:val="nil"/>
              <w:bottom w:val="nil"/>
              <w:right w:val="nil"/>
            </w:tcBorders>
            <w:shd w:val="clear" w:color="auto" w:fill="auto"/>
            <w:noWrap/>
            <w:vAlign w:val="bottom"/>
            <w:hideMark/>
          </w:tcPr>
          <w:p w14:paraId="5C206068"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63</w:t>
            </w:r>
            <w:r w:rsidR="002A5599" w:rsidRPr="00986F85">
              <w:rPr>
                <w:rFonts w:eastAsia="Times New Roman"/>
                <w:color w:val="000000"/>
                <w:lang w:eastAsia="hu-HU"/>
              </w:rPr>
              <w:t>,</w:t>
            </w:r>
            <w:r w:rsidRPr="00986F85">
              <w:rPr>
                <w:rFonts w:eastAsia="Times New Roman"/>
                <w:color w:val="000000"/>
                <w:lang w:eastAsia="hu-HU"/>
              </w:rPr>
              <w:t>7</w:t>
            </w:r>
          </w:p>
        </w:tc>
        <w:tc>
          <w:tcPr>
            <w:tcW w:w="1175" w:type="dxa"/>
            <w:tcBorders>
              <w:top w:val="nil"/>
              <w:left w:val="nil"/>
              <w:bottom w:val="nil"/>
              <w:right w:val="nil"/>
            </w:tcBorders>
            <w:shd w:val="clear" w:color="auto" w:fill="auto"/>
            <w:noWrap/>
            <w:vAlign w:val="bottom"/>
            <w:hideMark/>
          </w:tcPr>
          <w:p w14:paraId="611F64C0"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5481</w:t>
            </w:r>
            <w:r w:rsidR="002A5599" w:rsidRPr="00986F85">
              <w:rPr>
                <w:rFonts w:eastAsia="Times New Roman"/>
                <w:color w:val="000000"/>
                <w:lang w:eastAsia="hu-HU"/>
              </w:rPr>
              <w:t>,</w:t>
            </w:r>
            <w:r w:rsidRPr="00986F85">
              <w:rPr>
                <w:rFonts w:eastAsia="Times New Roman"/>
                <w:color w:val="000000"/>
                <w:lang w:eastAsia="hu-HU"/>
              </w:rPr>
              <w:t>0</w:t>
            </w:r>
          </w:p>
        </w:tc>
        <w:tc>
          <w:tcPr>
            <w:tcW w:w="1385" w:type="dxa"/>
            <w:tcBorders>
              <w:top w:val="nil"/>
              <w:left w:val="nil"/>
              <w:bottom w:val="nil"/>
              <w:right w:val="nil"/>
            </w:tcBorders>
            <w:shd w:val="clear" w:color="auto" w:fill="auto"/>
            <w:noWrap/>
            <w:vAlign w:val="bottom"/>
            <w:hideMark/>
          </w:tcPr>
          <w:p w14:paraId="0C68F3F8"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-20</w:t>
            </w:r>
            <w:r w:rsidR="002A5599" w:rsidRPr="00986F85">
              <w:rPr>
                <w:rFonts w:eastAsia="Times New Roman"/>
                <w:color w:val="000000"/>
                <w:lang w:eastAsia="hu-HU"/>
              </w:rPr>
              <w:t>,</w:t>
            </w:r>
            <w:r w:rsidRPr="00986F85">
              <w:rPr>
                <w:rFonts w:eastAsia="Times New Roman"/>
                <w:color w:val="000000"/>
                <w:lang w:eastAsia="hu-HU"/>
              </w:rPr>
              <w:t>9</w:t>
            </w:r>
          </w:p>
        </w:tc>
        <w:tc>
          <w:tcPr>
            <w:tcW w:w="946" w:type="dxa"/>
            <w:tcBorders>
              <w:top w:val="nil"/>
              <w:left w:val="nil"/>
              <w:bottom w:val="nil"/>
              <w:right w:val="nil"/>
            </w:tcBorders>
            <w:shd w:val="clear" w:color="auto" w:fill="auto"/>
            <w:noWrap/>
            <w:vAlign w:val="bottom"/>
            <w:hideMark/>
          </w:tcPr>
          <w:p w14:paraId="316418E2"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-7</w:t>
            </w:r>
            <w:r w:rsidR="002A5599" w:rsidRPr="00986F85">
              <w:rPr>
                <w:rFonts w:eastAsia="Times New Roman"/>
                <w:color w:val="000000"/>
                <w:lang w:eastAsia="hu-HU"/>
              </w:rPr>
              <w:t>,</w:t>
            </w:r>
            <w:r w:rsidRPr="00986F85">
              <w:rPr>
                <w:rFonts w:eastAsia="Times New Roman"/>
                <w:color w:val="000000"/>
                <w:lang w:eastAsia="hu-HU"/>
              </w:rPr>
              <w:t>2</w:t>
            </w:r>
          </w:p>
        </w:tc>
        <w:tc>
          <w:tcPr>
            <w:tcW w:w="1456" w:type="dxa"/>
            <w:tcBorders>
              <w:top w:val="nil"/>
              <w:left w:val="nil"/>
              <w:bottom w:val="nil"/>
              <w:right w:val="nil"/>
            </w:tcBorders>
            <w:shd w:val="clear" w:color="auto" w:fill="auto"/>
            <w:noWrap/>
            <w:vAlign w:val="bottom"/>
            <w:hideMark/>
          </w:tcPr>
          <w:p w14:paraId="681B5AE2"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1</w:t>
            </w:r>
            <w:r w:rsidR="002A5599" w:rsidRPr="00986F85">
              <w:rPr>
                <w:rFonts w:eastAsia="Times New Roman"/>
                <w:color w:val="000000"/>
                <w:lang w:eastAsia="hu-HU"/>
              </w:rPr>
              <w:t>,</w:t>
            </w:r>
            <w:r w:rsidRPr="00986F85">
              <w:rPr>
                <w:rFonts w:eastAsia="Times New Roman"/>
                <w:color w:val="000000"/>
                <w:lang w:eastAsia="hu-HU"/>
              </w:rPr>
              <w:t>2</w:t>
            </w:r>
          </w:p>
        </w:tc>
      </w:tr>
      <w:tr w:rsidR="007D55C0" w:rsidRPr="00986F85" w14:paraId="57D6AFB1" w14:textId="77777777" w:rsidTr="008C45B4">
        <w:trPr>
          <w:trHeight w:val="285"/>
        </w:trPr>
        <w:tc>
          <w:tcPr>
            <w:tcW w:w="3138" w:type="dxa"/>
            <w:tcBorders>
              <w:top w:val="nil"/>
              <w:left w:val="nil"/>
              <w:bottom w:val="nil"/>
              <w:right w:val="nil"/>
            </w:tcBorders>
            <w:shd w:val="clear" w:color="auto" w:fill="auto"/>
            <w:noWrap/>
            <w:vAlign w:val="bottom"/>
            <w:hideMark/>
          </w:tcPr>
          <w:p w14:paraId="038922D3" w14:textId="77777777" w:rsidR="007D55C0" w:rsidRPr="00986F85" w:rsidRDefault="007D55C0" w:rsidP="008C45B4">
            <w:pPr>
              <w:spacing w:after="0" w:line="240" w:lineRule="auto"/>
              <w:rPr>
                <w:rFonts w:eastAsia="Times New Roman"/>
                <w:color w:val="000000"/>
                <w:lang w:eastAsia="hu-HU"/>
              </w:rPr>
            </w:pPr>
            <w:r w:rsidRPr="00986F85">
              <w:rPr>
                <w:rFonts w:eastAsia="Times New Roman"/>
                <w:color w:val="000000"/>
                <w:lang w:eastAsia="hu-HU"/>
              </w:rPr>
              <w:t>Tőkeintenzitás (%)</w:t>
            </w:r>
          </w:p>
        </w:tc>
        <w:tc>
          <w:tcPr>
            <w:tcW w:w="1039" w:type="dxa"/>
            <w:tcBorders>
              <w:top w:val="nil"/>
              <w:left w:val="nil"/>
              <w:bottom w:val="nil"/>
              <w:right w:val="nil"/>
            </w:tcBorders>
            <w:shd w:val="clear" w:color="auto" w:fill="auto"/>
            <w:noWrap/>
            <w:vAlign w:val="bottom"/>
            <w:hideMark/>
          </w:tcPr>
          <w:p w14:paraId="3F09AA55"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99</w:t>
            </w:r>
            <w:r w:rsidR="002A5599" w:rsidRPr="00986F85">
              <w:rPr>
                <w:rFonts w:eastAsia="Times New Roman"/>
                <w:color w:val="000000"/>
                <w:lang w:eastAsia="hu-HU"/>
              </w:rPr>
              <w:t>,</w:t>
            </w:r>
            <w:r w:rsidRPr="00986F85">
              <w:rPr>
                <w:rFonts w:eastAsia="Times New Roman"/>
                <w:color w:val="000000"/>
                <w:lang w:eastAsia="hu-HU"/>
              </w:rPr>
              <w:t>1</w:t>
            </w:r>
          </w:p>
        </w:tc>
        <w:tc>
          <w:tcPr>
            <w:tcW w:w="1175" w:type="dxa"/>
            <w:tcBorders>
              <w:top w:val="nil"/>
              <w:left w:val="nil"/>
              <w:bottom w:val="nil"/>
              <w:right w:val="nil"/>
            </w:tcBorders>
            <w:shd w:val="clear" w:color="auto" w:fill="auto"/>
            <w:noWrap/>
            <w:vAlign w:val="bottom"/>
            <w:hideMark/>
          </w:tcPr>
          <w:p w14:paraId="70D842C3"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5681</w:t>
            </w:r>
            <w:r w:rsidR="002A5599" w:rsidRPr="00986F85">
              <w:rPr>
                <w:rFonts w:eastAsia="Times New Roman"/>
                <w:color w:val="000000"/>
                <w:lang w:eastAsia="hu-HU"/>
              </w:rPr>
              <w:t>,</w:t>
            </w:r>
            <w:r w:rsidRPr="00986F85">
              <w:rPr>
                <w:rFonts w:eastAsia="Times New Roman"/>
                <w:color w:val="000000"/>
                <w:lang w:eastAsia="hu-HU"/>
              </w:rPr>
              <w:t>3</w:t>
            </w:r>
          </w:p>
        </w:tc>
        <w:tc>
          <w:tcPr>
            <w:tcW w:w="1385" w:type="dxa"/>
            <w:tcBorders>
              <w:top w:val="nil"/>
              <w:left w:val="nil"/>
              <w:bottom w:val="nil"/>
              <w:right w:val="nil"/>
            </w:tcBorders>
            <w:shd w:val="clear" w:color="auto" w:fill="auto"/>
            <w:noWrap/>
            <w:vAlign w:val="bottom"/>
            <w:hideMark/>
          </w:tcPr>
          <w:p w14:paraId="33862269"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-19</w:t>
            </w:r>
            <w:r w:rsidR="002A5599" w:rsidRPr="00986F85">
              <w:rPr>
                <w:rFonts w:eastAsia="Times New Roman"/>
                <w:color w:val="000000"/>
                <w:lang w:eastAsia="hu-HU"/>
              </w:rPr>
              <w:t>,</w:t>
            </w:r>
            <w:r w:rsidRPr="00986F85">
              <w:rPr>
                <w:rFonts w:eastAsia="Times New Roman"/>
                <w:color w:val="000000"/>
                <w:lang w:eastAsia="hu-HU"/>
              </w:rPr>
              <w:t>3</w:t>
            </w:r>
          </w:p>
        </w:tc>
        <w:tc>
          <w:tcPr>
            <w:tcW w:w="946" w:type="dxa"/>
            <w:tcBorders>
              <w:top w:val="nil"/>
              <w:left w:val="nil"/>
              <w:bottom w:val="nil"/>
              <w:right w:val="nil"/>
            </w:tcBorders>
            <w:shd w:val="clear" w:color="auto" w:fill="auto"/>
            <w:noWrap/>
            <w:vAlign w:val="bottom"/>
            <w:hideMark/>
          </w:tcPr>
          <w:p w14:paraId="3BE2DB74"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-2</w:t>
            </w:r>
            <w:r w:rsidR="002A5599" w:rsidRPr="00986F85">
              <w:rPr>
                <w:rFonts w:eastAsia="Times New Roman"/>
                <w:color w:val="000000"/>
                <w:lang w:eastAsia="hu-HU"/>
              </w:rPr>
              <w:t>,</w:t>
            </w:r>
            <w:r w:rsidRPr="00986F85">
              <w:rPr>
                <w:rFonts w:eastAsia="Times New Roman"/>
                <w:color w:val="000000"/>
                <w:lang w:eastAsia="hu-HU"/>
              </w:rPr>
              <w:t>2</w:t>
            </w:r>
          </w:p>
        </w:tc>
        <w:tc>
          <w:tcPr>
            <w:tcW w:w="1456" w:type="dxa"/>
            <w:tcBorders>
              <w:top w:val="nil"/>
              <w:left w:val="nil"/>
              <w:bottom w:val="nil"/>
              <w:right w:val="nil"/>
            </w:tcBorders>
            <w:shd w:val="clear" w:color="auto" w:fill="auto"/>
            <w:noWrap/>
            <w:vAlign w:val="bottom"/>
            <w:hideMark/>
          </w:tcPr>
          <w:p w14:paraId="0909CBA8"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23</w:t>
            </w:r>
            <w:r w:rsidR="002A5599" w:rsidRPr="00986F85">
              <w:rPr>
                <w:rFonts w:eastAsia="Times New Roman"/>
                <w:color w:val="000000"/>
                <w:lang w:eastAsia="hu-HU"/>
              </w:rPr>
              <w:t>,</w:t>
            </w:r>
            <w:r w:rsidRPr="00986F85">
              <w:rPr>
                <w:rFonts w:eastAsia="Times New Roman"/>
                <w:color w:val="000000"/>
                <w:lang w:eastAsia="hu-HU"/>
              </w:rPr>
              <w:t>2</w:t>
            </w:r>
          </w:p>
        </w:tc>
      </w:tr>
      <w:tr w:rsidR="007D55C0" w:rsidRPr="00986F85" w14:paraId="31FE4876" w14:textId="77777777" w:rsidTr="008C45B4">
        <w:trPr>
          <w:trHeight w:val="285"/>
        </w:trPr>
        <w:tc>
          <w:tcPr>
            <w:tcW w:w="3138" w:type="dxa"/>
            <w:tcBorders>
              <w:top w:val="nil"/>
              <w:left w:val="nil"/>
              <w:bottom w:val="nil"/>
              <w:right w:val="nil"/>
            </w:tcBorders>
            <w:shd w:val="clear" w:color="auto" w:fill="auto"/>
            <w:noWrap/>
            <w:vAlign w:val="bottom"/>
            <w:hideMark/>
          </w:tcPr>
          <w:p w14:paraId="621EF3F6" w14:textId="77777777" w:rsidR="007D55C0" w:rsidRPr="00986F85" w:rsidRDefault="007D55C0" w:rsidP="008C45B4">
            <w:pPr>
              <w:spacing w:after="0" w:line="240" w:lineRule="auto"/>
              <w:rPr>
                <w:rFonts w:eastAsia="Times New Roman"/>
                <w:color w:val="000000"/>
                <w:lang w:eastAsia="hu-HU"/>
              </w:rPr>
            </w:pPr>
            <w:r w:rsidRPr="00986F85">
              <w:rPr>
                <w:rFonts w:eastAsia="Times New Roman"/>
                <w:color w:val="000000"/>
                <w:lang w:eastAsia="hu-HU"/>
              </w:rPr>
              <w:t>Jegyzett tőke</w:t>
            </w:r>
            <w:r w:rsidR="004B585C" w:rsidRPr="00986F85">
              <w:rPr>
                <w:rFonts w:eastAsia="Times New Roman"/>
                <w:color w:val="000000"/>
                <w:lang w:eastAsia="hu-HU"/>
              </w:rPr>
              <w:t xml:space="preserve"> (%)</w:t>
            </w:r>
          </w:p>
        </w:tc>
        <w:tc>
          <w:tcPr>
            <w:tcW w:w="1039" w:type="dxa"/>
            <w:tcBorders>
              <w:top w:val="nil"/>
              <w:left w:val="nil"/>
              <w:bottom w:val="nil"/>
              <w:right w:val="nil"/>
            </w:tcBorders>
            <w:shd w:val="clear" w:color="auto" w:fill="auto"/>
            <w:noWrap/>
            <w:vAlign w:val="bottom"/>
            <w:hideMark/>
          </w:tcPr>
          <w:p w14:paraId="58821C54"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1130</w:t>
            </w:r>
            <w:r w:rsidR="002A5599" w:rsidRPr="00986F85">
              <w:rPr>
                <w:rFonts w:eastAsia="Times New Roman"/>
                <w:color w:val="000000"/>
                <w:lang w:eastAsia="hu-HU"/>
              </w:rPr>
              <w:t>,</w:t>
            </w:r>
            <w:r w:rsidRPr="00986F85">
              <w:rPr>
                <w:rFonts w:eastAsia="Times New Roman"/>
                <w:color w:val="000000"/>
                <w:lang w:eastAsia="hu-HU"/>
              </w:rPr>
              <w:t>3</w:t>
            </w:r>
          </w:p>
        </w:tc>
        <w:tc>
          <w:tcPr>
            <w:tcW w:w="1175" w:type="dxa"/>
            <w:tcBorders>
              <w:top w:val="nil"/>
              <w:left w:val="nil"/>
              <w:bottom w:val="nil"/>
              <w:right w:val="nil"/>
            </w:tcBorders>
            <w:shd w:val="clear" w:color="auto" w:fill="auto"/>
            <w:noWrap/>
            <w:vAlign w:val="bottom"/>
            <w:hideMark/>
          </w:tcPr>
          <w:p w14:paraId="128594F1"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163014</w:t>
            </w:r>
            <w:r w:rsidR="002A5599" w:rsidRPr="00986F85">
              <w:rPr>
                <w:rFonts w:eastAsia="Times New Roman"/>
                <w:color w:val="000000"/>
                <w:lang w:eastAsia="hu-HU"/>
              </w:rPr>
              <w:t>,</w:t>
            </w:r>
            <w:r w:rsidRPr="00986F85">
              <w:rPr>
                <w:rFonts w:eastAsia="Times New Roman"/>
                <w:color w:val="000000"/>
                <w:lang w:eastAsia="hu-HU"/>
              </w:rPr>
              <w:t>1</w:t>
            </w:r>
          </w:p>
        </w:tc>
        <w:tc>
          <w:tcPr>
            <w:tcW w:w="1385" w:type="dxa"/>
            <w:tcBorders>
              <w:top w:val="nil"/>
              <w:left w:val="nil"/>
              <w:bottom w:val="nil"/>
              <w:right w:val="nil"/>
            </w:tcBorders>
            <w:shd w:val="clear" w:color="auto" w:fill="auto"/>
            <w:noWrap/>
            <w:vAlign w:val="bottom"/>
            <w:hideMark/>
          </w:tcPr>
          <w:p w14:paraId="29AF8D89"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0</w:t>
            </w:r>
            <w:r w:rsidR="002A5599" w:rsidRPr="00986F85">
              <w:rPr>
                <w:rFonts w:eastAsia="Times New Roman"/>
                <w:color w:val="000000"/>
                <w:lang w:eastAsia="hu-HU"/>
              </w:rPr>
              <w:t>,</w:t>
            </w:r>
            <w:r w:rsidRPr="00986F85">
              <w:rPr>
                <w:rFonts w:eastAsia="Times New Roman"/>
                <w:color w:val="000000"/>
                <w:lang w:eastAsia="hu-HU"/>
              </w:rPr>
              <w:t>0</w:t>
            </w:r>
          </w:p>
        </w:tc>
        <w:tc>
          <w:tcPr>
            <w:tcW w:w="946" w:type="dxa"/>
            <w:tcBorders>
              <w:top w:val="nil"/>
              <w:left w:val="nil"/>
              <w:bottom w:val="nil"/>
              <w:right w:val="nil"/>
            </w:tcBorders>
            <w:shd w:val="clear" w:color="auto" w:fill="auto"/>
            <w:noWrap/>
            <w:vAlign w:val="bottom"/>
            <w:hideMark/>
          </w:tcPr>
          <w:p w14:paraId="4ED58C26"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0</w:t>
            </w:r>
            <w:r w:rsidR="002A5599" w:rsidRPr="00986F85">
              <w:rPr>
                <w:rFonts w:eastAsia="Times New Roman"/>
                <w:color w:val="000000"/>
                <w:lang w:eastAsia="hu-HU"/>
              </w:rPr>
              <w:t>,</w:t>
            </w:r>
            <w:r w:rsidRPr="00986F85">
              <w:rPr>
                <w:rFonts w:eastAsia="Times New Roman"/>
                <w:color w:val="000000"/>
                <w:lang w:eastAsia="hu-HU"/>
              </w:rPr>
              <w:t>0</w:t>
            </w:r>
          </w:p>
        </w:tc>
        <w:tc>
          <w:tcPr>
            <w:tcW w:w="1456" w:type="dxa"/>
            <w:tcBorders>
              <w:top w:val="nil"/>
              <w:left w:val="nil"/>
              <w:bottom w:val="nil"/>
              <w:right w:val="nil"/>
            </w:tcBorders>
            <w:shd w:val="clear" w:color="auto" w:fill="auto"/>
            <w:noWrap/>
            <w:vAlign w:val="bottom"/>
            <w:hideMark/>
          </w:tcPr>
          <w:p w14:paraId="716E5D4D"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0</w:t>
            </w:r>
            <w:r w:rsidR="002A5599" w:rsidRPr="00986F85">
              <w:rPr>
                <w:rFonts w:eastAsia="Times New Roman"/>
                <w:color w:val="000000"/>
                <w:lang w:eastAsia="hu-HU"/>
              </w:rPr>
              <w:t>,</w:t>
            </w:r>
            <w:r w:rsidRPr="00986F85">
              <w:rPr>
                <w:rFonts w:eastAsia="Times New Roman"/>
                <w:color w:val="000000"/>
                <w:lang w:eastAsia="hu-HU"/>
              </w:rPr>
              <w:t>0</w:t>
            </w:r>
          </w:p>
        </w:tc>
      </w:tr>
      <w:tr w:rsidR="007D55C0" w:rsidRPr="00986F85" w14:paraId="41BA796B" w14:textId="77777777" w:rsidTr="008C45B4">
        <w:trPr>
          <w:trHeight w:val="285"/>
        </w:trPr>
        <w:tc>
          <w:tcPr>
            <w:tcW w:w="3138" w:type="dxa"/>
            <w:tcBorders>
              <w:top w:val="nil"/>
              <w:left w:val="nil"/>
              <w:bottom w:val="nil"/>
              <w:right w:val="nil"/>
            </w:tcBorders>
            <w:shd w:val="clear" w:color="auto" w:fill="auto"/>
            <w:noWrap/>
            <w:vAlign w:val="bottom"/>
            <w:hideMark/>
          </w:tcPr>
          <w:p w14:paraId="032EA984" w14:textId="77777777" w:rsidR="007D55C0" w:rsidRPr="00986F85" w:rsidRDefault="007D55C0" w:rsidP="008C45B4">
            <w:pPr>
              <w:spacing w:after="0" w:line="240" w:lineRule="auto"/>
              <w:rPr>
                <w:rFonts w:eastAsia="Times New Roman"/>
                <w:color w:val="000000"/>
                <w:lang w:eastAsia="hu-HU"/>
              </w:rPr>
            </w:pPr>
            <w:r w:rsidRPr="00986F85">
              <w:rPr>
                <w:rFonts w:eastAsia="Times New Roman"/>
                <w:color w:val="000000"/>
                <w:lang w:eastAsia="hu-HU"/>
              </w:rPr>
              <w:t>Egy foglalkoztatottra eső jegyzett tőke (%)</w:t>
            </w:r>
          </w:p>
        </w:tc>
        <w:tc>
          <w:tcPr>
            <w:tcW w:w="1039" w:type="dxa"/>
            <w:tcBorders>
              <w:top w:val="nil"/>
              <w:left w:val="nil"/>
              <w:bottom w:val="nil"/>
              <w:right w:val="nil"/>
            </w:tcBorders>
            <w:shd w:val="clear" w:color="auto" w:fill="auto"/>
            <w:noWrap/>
            <w:vAlign w:val="bottom"/>
            <w:hideMark/>
          </w:tcPr>
          <w:p w14:paraId="3029EDD8"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1408</w:t>
            </w:r>
            <w:r w:rsidR="002A5599" w:rsidRPr="00986F85">
              <w:rPr>
                <w:rFonts w:eastAsia="Times New Roman"/>
                <w:color w:val="000000"/>
                <w:lang w:eastAsia="hu-HU"/>
              </w:rPr>
              <w:t>,</w:t>
            </w:r>
            <w:r w:rsidRPr="00986F85">
              <w:rPr>
                <w:rFonts w:eastAsia="Times New Roman"/>
                <w:color w:val="000000"/>
                <w:lang w:eastAsia="hu-HU"/>
              </w:rPr>
              <w:t>3</w:t>
            </w:r>
          </w:p>
        </w:tc>
        <w:tc>
          <w:tcPr>
            <w:tcW w:w="1175" w:type="dxa"/>
            <w:tcBorders>
              <w:top w:val="nil"/>
              <w:left w:val="nil"/>
              <w:bottom w:val="nil"/>
              <w:right w:val="nil"/>
            </w:tcBorders>
            <w:shd w:val="clear" w:color="auto" w:fill="auto"/>
            <w:noWrap/>
            <w:vAlign w:val="bottom"/>
            <w:hideMark/>
          </w:tcPr>
          <w:p w14:paraId="5396367C"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216998</w:t>
            </w:r>
            <w:r w:rsidR="002A5599" w:rsidRPr="00986F85">
              <w:rPr>
                <w:rFonts w:eastAsia="Times New Roman"/>
                <w:color w:val="000000"/>
                <w:lang w:eastAsia="hu-HU"/>
              </w:rPr>
              <w:t>,</w:t>
            </w:r>
            <w:r w:rsidRPr="00986F85">
              <w:rPr>
                <w:rFonts w:eastAsia="Times New Roman"/>
                <w:color w:val="000000"/>
                <w:lang w:eastAsia="hu-HU"/>
              </w:rPr>
              <w:t>5</w:t>
            </w:r>
          </w:p>
        </w:tc>
        <w:tc>
          <w:tcPr>
            <w:tcW w:w="1385" w:type="dxa"/>
            <w:tcBorders>
              <w:top w:val="nil"/>
              <w:left w:val="nil"/>
              <w:bottom w:val="nil"/>
              <w:right w:val="nil"/>
            </w:tcBorders>
            <w:shd w:val="clear" w:color="auto" w:fill="auto"/>
            <w:noWrap/>
            <w:vAlign w:val="bottom"/>
            <w:hideMark/>
          </w:tcPr>
          <w:p w14:paraId="44B51AAC"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0</w:t>
            </w:r>
            <w:r w:rsidR="002A5599" w:rsidRPr="00986F85">
              <w:rPr>
                <w:rFonts w:eastAsia="Times New Roman"/>
                <w:color w:val="000000"/>
                <w:lang w:eastAsia="hu-HU"/>
              </w:rPr>
              <w:t>,</w:t>
            </w:r>
            <w:r w:rsidRPr="00986F85">
              <w:rPr>
                <w:rFonts w:eastAsia="Times New Roman"/>
                <w:color w:val="000000"/>
                <w:lang w:eastAsia="hu-HU"/>
              </w:rPr>
              <w:t>0</w:t>
            </w:r>
          </w:p>
        </w:tc>
        <w:tc>
          <w:tcPr>
            <w:tcW w:w="946" w:type="dxa"/>
            <w:tcBorders>
              <w:top w:val="nil"/>
              <w:left w:val="nil"/>
              <w:bottom w:val="nil"/>
              <w:right w:val="nil"/>
            </w:tcBorders>
            <w:shd w:val="clear" w:color="auto" w:fill="auto"/>
            <w:noWrap/>
            <w:vAlign w:val="bottom"/>
            <w:hideMark/>
          </w:tcPr>
          <w:p w14:paraId="72CD1A57"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0</w:t>
            </w:r>
            <w:r w:rsidR="002A5599" w:rsidRPr="00986F85">
              <w:rPr>
                <w:rFonts w:eastAsia="Times New Roman"/>
                <w:color w:val="000000"/>
                <w:lang w:eastAsia="hu-HU"/>
              </w:rPr>
              <w:t>,</w:t>
            </w:r>
            <w:r w:rsidRPr="00986F85">
              <w:rPr>
                <w:rFonts w:eastAsia="Times New Roman"/>
                <w:color w:val="000000"/>
                <w:lang w:eastAsia="hu-HU"/>
              </w:rPr>
              <w:t>0</w:t>
            </w:r>
          </w:p>
        </w:tc>
        <w:tc>
          <w:tcPr>
            <w:tcW w:w="1456" w:type="dxa"/>
            <w:tcBorders>
              <w:top w:val="nil"/>
              <w:left w:val="nil"/>
              <w:bottom w:val="nil"/>
              <w:right w:val="nil"/>
            </w:tcBorders>
            <w:shd w:val="clear" w:color="auto" w:fill="auto"/>
            <w:noWrap/>
            <w:vAlign w:val="bottom"/>
            <w:hideMark/>
          </w:tcPr>
          <w:p w14:paraId="41785DFD"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25</w:t>
            </w:r>
            <w:r w:rsidR="002A5599" w:rsidRPr="00986F85">
              <w:rPr>
                <w:rFonts w:eastAsia="Times New Roman"/>
                <w:color w:val="000000"/>
                <w:lang w:eastAsia="hu-HU"/>
              </w:rPr>
              <w:t>,</w:t>
            </w:r>
            <w:r w:rsidRPr="00986F85">
              <w:rPr>
                <w:rFonts w:eastAsia="Times New Roman"/>
                <w:color w:val="000000"/>
                <w:lang w:eastAsia="hu-HU"/>
              </w:rPr>
              <w:t>0</w:t>
            </w:r>
          </w:p>
        </w:tc>
      </w:tr>
      <w:tr w:rsidR="007D55C0" w:rsidRPr="00986F85" w14:paraId="49E0B2FF" w14:textId="77777777" w:rsidTr="008C45B4">
        <w:trPr>
          <w:trHeight w:val="285"/>
        </w:trPr>
        <w:tc>
          <w:tcPr>
            <w:tcW w:w="3138" w:type="dxa"/>
            <w:tcBorders>
              <w:top w:val="nil"/>
              <w:left w:val="nil"/>
              <w:bottom w:val="nil"/>
              <w:right w:val="nil"/>
            </w:tcBorders>
            <w:shd w:val="clear" w:color="auto" w:fill="auto"/>
            <w:noWrap/>
            <w:vAlign w:val="bottom"/>
            <w:hideMark/>
          </w:tcPr>
          <w:p w14:paraId="29D0D4CA" w14:textId="77777777" w:rsidR="007D55C0" w:rsidRPr="00986F85" w:rsidRDefault="007D55C0" w:rsidP="008C45B4">
            <w:pPr>
              <w:spacing w:after="0" w:line="240" w:lineRule="auto"/>
              <w:rPr>
                <w:rFonts w:eastAsia="Times New Roman" w:cs="Times New Roman"/>
                <w:color w:val="000000"/>
                <w:lang w:eastAsia="hu-HU"/>
              </w:rPr>
            </w:pPr>
            <w:r w:rsidRPr="00986F85">
              <w:rPr>
                <w:rFonts w:eastAsia="Times New Roman"/>
                <w:color w:val="000000"/>
                <w:lang w:eastAsia="hu-HU"/>
              </w:rPr>
              <w:t>Likviditás</w:t>
            </w:r>
          </w:p>
        </w:tc>
        <w:tc>
          <w:tcPr>
            <w:tcW w:w="1039" w:type="dxa"/>
            <w:tcBorders>
              <w:top w:val="nil"/>
              <w:left w:val="nil"/>
              <w:bottom w:val="nil"/>
              <w:right w:val="nil"/>
            </w:tcBorders>
            <w:shd w:val="clear" w:color="auto" w:fill="auto"/>
            <w:noWrap/>
            <w:vAlign w:val="bottom"/>
            <w:hideMark/>
          </w:tcPr>
          <w:p w14:paraId="4B8017D5"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106</w:t>
            </w:r>
            <w:r w:rsidR="002A5599" w:rsidRPr="00986F85">
              <w:rPr>
                <w:rFonts w:eastAsia="Times New Roman"/>
                <w:color w:val="000000"/>
                <w:lang w:eastAsia="hu-HU"/>
              </w:rPr>
              <w:t>,</w:t>
            </w:r>
            <w:r w:rsidRPr="00986F85">
              <w:rPr>
                <w:rFonts w:eastAsia="Times New Roman"/>
                <w:color w:val="000000"/>
                <w:lang w:eastAsia="hu-HU"/>
              </w:rPr>
              <w:t>6</w:t>
            </w:r>
          </w:p>
        </w:tc>
        <w:tc>
          <w:tcPr>
            <w:tcW w:w="1175" w:type="dxa"/>
            <w:tcBorders>
              <w:top w:val="nil"/>
              <w:left w:val="nil"/>
              <w:bottom w:val="nil"/>
              <w:right w:val="nil"/>
            </w:tcBorders>
            <w:shd w:val="clear" w:color="auto" w:fill="auto"/>
            <w:noWrap/>
            <w:vAlign w:val="bottom"/>
            <w:hideMark/>
          </w:tcPr>
          <w:p w14:paraId="0C1F270A"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2761</w:t>
            </w:r>
            <w:r w:rsidR="002A5599" w:rsidRPr="00986F85">
              <w:rPr>
                <w:rFonts w:eastAsia="Times New Roman"/>
                <w:color w:val="000000"/>
                <w:lang w:eastAsia="hu-HU"/>
              </w:rPr>
              <w:t>,</w:t>
            </w:r>
            <w:r w:rsidRPr="00986F85">
              <w:rPr>
                <w:rFonts w:eastAsia="Times New Roman"/>
                <w:color w:val="000000"/>
                <w:lang w:eastAsia="hu-HU"/>
              </w:rPr>
              <w:t>4</w:t>
            </w:r>
          </w:p>
        </w:tc>
        <w:tc>
          <w:tcPr>
            <w:tcW w:w="1385" w:type="dxa"/>
            <w:tcBorders>
              <w:top w:val="nil"/>
              <w:left w:val="nil"/>
              <w:bottom w:val="nil"/>
              <w:right w:val="nil"/>
            </w:tcBorders>
            <w:shd w:val="clear" w:color="auto" w:fill="auto"/>
            <w:noWrap/>
            <w:vAlign w:val="bottom"/>
            <w:hideMark/>
          </w:tcPr>
          <w:p w14:paraId="22296A40"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-20</w:t>
            </w:r>
            <w:r w:rsidR="002A5599" w:rsidRPr="00986F85">
              <w:rPr>
                <w:rFonts w:eastAsia="Times New Roman"/>
                <w:color w:val="000000"/>
                <w:lang w:eastAsia="hu-HU"/>
              </w:rPr>
              <w:t>,</w:t>
            </w:r>
            <w:r w:rsidRPr="00986F85">
              <w:rPr>
                <w:rFonts w:eastAsia="Times New Roman"/>
                <w:color w:val="000000"/>
                <w:lang w:eastAsia="hu-HU"/>
              </w:rPr>
              <w:t>7</w:t>
            </w:r>
          </w:p>
        </w:tc>
        <w:tc>
          <w:tcPr>
            <w:tcW w:w="946" w:type="dxa"/>
            <w:tcBorders>
              <w:top w:val="nil"/>
              <w:left w:val="nil"/>
              <w:bottom w:val="nil"/>
              <w:right w:val="nil"/>
            </w:tcBorders>
            <w:shd w:val="clear" w:color="auto" w:fill="auto"/>
            <w:noWrap/>
            <w:vAlign w:val="bottom"/>
            <w:hideMark/>
          </w:tcPr>
          <w:p w14:paraId="29DDD4E5"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2</w:t>
            </w:r>
            <w:r w:rsidR="002A5599" w:rsidRPr="00986F85">
              <w:rPr>
                <w:rFonts w:eastAsia="Times New Roman"/>
                <w:color w:val="000000"/>
                <w:lang w:eastAsia="hu-HU"/>
              </w:rPr>
              <w:t>,</w:t>
            </w:r>
            <w:r w:rsidRPr="00986F85">
              <w:rPr>
                <w:rFonts w:eastAsia="Times New Roman"/>
                <w:color w:val="000000"/>
                <w:lang w:eastAsia="hu-HU"/>
              </w:rPr>
              <w:t>7</w:t>
            </w:r>
          </w:p>
        </w:tc>
        <w:tc>
          <w:tcPr>
            <w:tcW w:w="1456" w:type="dxa"/>
            <w:tcBorders>
              <w:top w:val="nil"/>
              <w:left w:val="nil"/>
              <w:bottom w:val="nil"/>
              <w:right w:val="nil"/>
            </w:tcBorders>
            <w:shd w:val="clear" w:color="auto" w:fill="auto"/>
            <w:noWrap/>
            <w:vAlign w:val="bottom"/>
            <w:hideMark/>
          </w:tcPr>
          <w:p w14:paraId="3E3D1F25"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33</w:t>
            </w:r>
            <w:r w:rsidR="002A5599" w:rsidRPr="00986F85">
              <w:rPr>
                <w:rFonts w:eastAsia="Times New Roman"/>
                <w:color w:val="000000"/>
                <w:lang w:eastAsia="hu-HU"/>
              </w:rPr>
              <w:t>,</w:t>
            </w:r>
            <w:r w:rsidRPr="00986F85">
              <w:rPr>
                <w:rFonts w:eastAsia="Times New Roman"/>
                <w:color w:val="000000"/>
                <w:lang w:eastAsia="hu-HU"/>
              </w:rPr>
              <w:t>9</w:t>
            </w:r>
          </w:p>
        </w:tc>
      </w:tr>
      <w:tr w:rsidR="007D55C0" w:rsidRPr="00986F85" w14:paraId="5710AB2F" w14:textId="77777777" w:rsidTr="008C45B4">
        <w:trPr>
          <w:trHeight w:val="285"/>
        </w:trPr>
        <w:tc>
          <w:tcPr>
            <w:tcW w:w="3138" w:type="dxa"/>
            <w:tcBorders>
              <w:top w:val="nil"/>
              <w:left w:val="nil"/>
              <w:bottom w:val="nil"/>
              <w:right w:val="nil"/>
            </w:tcBorders>
            <w:shd w:val="clear" w:color="auto" w:fill="auto"/>
            <w:noWrap/>
            <w:vAlign w:val="bottom"/>
            <w:hideMark/>
          </w:tcPr>
          <w:p w14:paraId="4C3FB156" w14:textId="77777777" w:rsidR="007D55C0" w:rsidRPr="00986F85" w:rsidRDefault="007D55C0" w:rsidP="008C45B4">
            <w:pPr>
              <w:spacing w:after="0" w:line="240" w:lineRule="auto"/>
              <w:rPr>
                <w:rFonts w:eastAsia="Times New Roman"/>
                <w:color w:val="000000"/>
                <w:lang w:eastAsia="hu-HU"/>
              </w:rPr>
            </w:pPr>
            <w:r w:rsidRPr="00986F85">
              <w:rPr>
                <w:rFonts w:eastAsia="Times New Roman"/>
                <w:color w:val="000000"/>
                <w:lang w:eastAsia="hu-HU"/>
              </w:rPr>
              <w:t>Üzemi eredmény</w:t>
            </w:r>
            <w:r w:rsidR="004B585C" w:rsidRPr="00986F85">
              <w:rPr>
                <w:rFonts w:eastAsia="Times New Roman"/>
                <w:color w:val="000000"/>
                <w:lang w:eastAsia="hu-HU"/>
              </w:rPr>
              <w:t xml:space="preserve"> </w:t>
            </w:r>
            <w:r w:rsidR="004B585C" w:rsidRPr="00986F85">
              <w:rPr>
                <w:rFonts w:eastAsia="Times New Roman"/>
                <w:color w:val="000000"/>
                <w:sz w:val="22"/>
                <w:lang w:eastAsia="hu-HU"/>
              </w:rPr>
              <w:t>(e FT)</w:t>
            </w:r>
          </w:p>
        </w:tc>
        <w:tc>
          <w:tcPr>
            <w:tcW w:w="1039" w:type="dxa"/>
            <w:tcBorders>
              <w:top w:val="nil"/>
              <w:left w:val="nil"/>
              <w:bottom w:val="nil"/>
              <w:right w:val="nil"/>
            </w:tcBorders>
            <w:shd w:val="clear" w:color="auto" w:fill="auto"/>
            <w:noWrap/>
            <w:vAlign w:val="bottom"/>
            <w:hideMark/>
          </w:tcPr>
          <w:p w14:paraId="4282FBC5"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-5114</w:t>
            </w:r>
            <w:r w:rsidR="002A5599" w:rsidRPr="00986F85">
              <w:rPr>
                <w:rFonts w:eastAsia="Times New Roman"/>
                <w:color w:val="000000"/>
                <w:lang w:eastAsia="hu-HU"/>
              </w:rPr>
              <w:t>,</w:t>
            </w:r>
            <w:r w:rsidRPr="00986F85">
              <w:rPr>
                <w:rFonts w:eastAsia="Times New Roman"/>
                <w:color w:val="000000"/>
                <w:lang w:eastAsia="hu-HU"/>
              </w:rPr>
              <w:t>2</w:t>
            </w:r>
          </w:p>
        </w:tc>
        <w:tc>
          <w:tcPr>
            <w:tcW w:w="1175" w:type="dxa"/>
            <w:tcBorders>
              <w:top w:val="nil"/>
              <w:left w:val="nil"/>
              <w:bottom w:val="nil"/>
              <w:right w:val="nil"/>
            </w:tcBorders>
            <w:shd w:val="clear" w:color="auto" w:fill="auto"/>
            <w:noWrap/>
            <w:vAlign w:val="bottom"/>
            <w:hideMark/>
          </w:tcPr>
          <w:p w14:paraId="36019201"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211417</w:t>
            </w:r>
            <w:r w:rsidR="002A5599" w:rsidRPr="00986F85">
              <w:rPr>
                <w:rFonts w:eastAsia="Times New Roman"/>
                <w:color w:val="000000"/>
                <w:lang w:eastAsia="hu-HU"/>
              </w:rPr>
              <w:t>,</w:t>
            </w:r>
            <w:r w:rsidRPr="00986F85">
              <w:rPr>
                <w:rFonts w:eastAsia="Times New Roman"/>
                <w:color w:val="000000"/>
                <w:lang w:eastAsia="hu-HU"/>
              </w:rPr>
              <w:t>8</w:t>
            </w:r>
          </w:p>
        </w:tc>
        <w:tc>
          <w:tcPr>
            <w:tcW w:w="1385" w:type="dxa"/>
            <w:tcBorders>
              <w:top w:val="nil"/>
              <w:left w:val="nil"/>
              <w:bottom w:val="nil"/>
              <w:right w:val="nil"/>
            </w:tcBorders>
            <w:shd w:val="clear" w:color="auto" w:fill="auto"/>
            <w:noWrap/>
            <w:vAlign w:val="bottom"/>
            <w:hideMark/>
          </w:tcPr>
          <w:p w14:paraId="754AF73E"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-6846</w:t>
            </w:r>
            <w:r w:rsidR="002A5599" w:rsidRPr="00986F85">
              <w:rPr>
                <w:rFonts w:eastAsia="Times New Roman"/>
                <w:color w:val="000000"/>
                <w:lang w:eastAsia="hu-HU"/>
              </w:rPr>
              <w:t>,</w:t>
            </w:r>
            <w:r w:rsidRPr="00986F85">
              <w:rPr>
                <w:rFonts w:eastAsia="Times New Roman"/>
                <w:color w:val="000000"/>
                <w:lang w:eastAsia="hu-HU"/>
              </w:rPr>
              <w:t>0</w:t>
            </w:r>
          </w:p>
        </w:tc>
        <w:tc>
          <w:tcPr>
            <w:tcW w:w="946" w:type="dxa"/>
            <w:tcBorders>
              <w:top w:val="nil"/>
              <w:left w:val="nil"/>
              <w:bottom w:val="nil"/>
              <w:right w:val="nil"/>
            </w:tcBorders>
            <w:shd w:val="clear" w:color="auto" w:fill="auto"/>
            <w:noWrap/>
            <w:vAlign w:val="bottom"/>
            <w:hideMark/>
          </w:tcPr>
          <w:p w14:paraId="57FBFF48"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-678</w:t>
            </w:r>
            <w:r w:rsidR="002A5599" w:rsidRPr="00986F85">
              <w:rPr>
                <w:rFonts w:eastAsia="Times New Roman"/>
                <w:color w:val="000000"/>
                <w:lang w:eastAsia="hu-HU"/>
              </w:rPr>
              <w:t>,</w:t>
            </w:r>
            <w:r w:rsidRPr="00986F85">
              <w:rPr>
                <w:rFonts w:eastAsia="Times New Roman"/>
                <w:color w:val="000000"/>
                <w:lang w:eastAsia="hu-HU"/>
              </w:rPr>
              <w:t>0</w:t>
            </w:r>
          </w:p>
        </w:tc>
        <w:tc>
          <w:tcPr>
            <w:tcW w:w="1456" w:type="dxa"/>
            <w:tcBorders>
              <w:top w:val="nil"/>
              <w:left w:val="nil"/>
              <w:bottom w:val="nil"/>
              <w:right w:val="nil"/>
            </w:tcBorders>
            <w:shd w:val="clear" w:color="auto" w:fill="auto"/>
            <w:noWrap/>
            <w:vAlign w:val="bottom"/>
            <w:hideMark/>
          </w:tcPr>
          <w:p w14:paraId="797D4D70"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2343</w:t>
            </w:r>
            <w:r w:rsidR="002A5599" w:rsidRPr="00986F85">
              <w:rPr>
                <w:rFonts w:eastAsia="Times New Roman"/>
                <w:color w:val="000000"/>
                <w:lang w:eastAsia="hu-HU"/>
              </w:rPr>
              <w:t>,</w:t>
            </w:r>
            <w:r w:rsidRPr="00986F85">
              <w:rPr>
                <w:rFonts w:eastAsia="Times New Roman"/>
                <w:color w:val="000000"/>
                <w:lang w:eastAsia="hu-HU"/>
              </w:rPr>
              <w:t>0</w:t>
            </w:r>
          </w:p>
        </w:tc>
      </w:tr>
      <w:tr w:rsidR="007D55C0" w:rsidRPr="00986F85" w14:paraId="4897C569" w14:textId="77777777" w:rsidTr="008C45B4">
        <w:trPr>
          <w:trHeight w:val="285"/>
        </w:trPr>
        <w:tc>
          <w:tcPr>
            <w:tcW w:w="3138" w:type="dxa"/>
            <w:tcBorders>
              <w:top w:val="nil"/>
              <w:left w:val="nil"/>
              <w:bottom w:val="nil"/>
              <w:right w:val="nil"/>
            </w:tcBorders>
            <w:shd w:val="clear" w:color="auto" w:fill="auto"/>
            <w:noWrap/>
            <w:vAlign w:val="bottom"/>
            <w:hideMark/>
          </w:tcPr>
          <w:p w14:paraId="358420B0" w14:textId="77777777" w:rsidR="007D55C0" w:rsidRPr="00986F85" w:rsidRDefault="007D55C0" w:rsidP="008C45B4">
            <w:pPr>
              <w:spacing w:after="0" w:line="240" w:lineRule="auto"/>
              <w:rPr>
                <w:rFonts w:eastAsia="Times New Roman"/>
                <w:color w:val="000000"/>
                <w:lang w:eastAsia="hu-HU"/>
              </w:rPr>
            </w:pPr>
            <w:r w:rsidRPr="00986F85">
              <w:rPr>
                <w:rFonts w:eastAsia="Times New Roman"/>
                <w:color w:val="000000"/>
                <w:lang w:eastAsia="hu-HU"/>
              </w:rPr>
              <w:t>Egy foglalkoztatottra eső üzemi eredmény</w:t>
            </w:r>
            <w:r w:rsidR="004B585C" w:rsidRPr="00986F85">
              <w:rPr>
                <w:rFonts w:eastAsia="Times New Roman"/>
                <w:color w:val="000000"/>
                <w:lang w:eastAsia="hu-HU"/>
              </w:rPr>
              <w:t xml:space="preserve"> </w:t>
            </w:r>
            <w:r w:rsidR="004B585C" w:rsidRPr="00986F85">
              <w:rPr>
                <w:rFonts w:eastAsia="Times New Roman"/>
                <w:color w:val="000000"/>
                <w:sz w:val="22"/>
                <w:lang w:eastAsia="hu-HU"/>
              </w:rPr>
              <w:t>(e FT)</w:t>
            </w:r>
          </w:p>
        </w:tc>
        <w:tc>
          <w:tcPr>
            <w:tcW w:w="1039" w:type="dxa"/>
            <w:tcBorders>
              <w:top w:val="nil"/>
              <w:left w:val="nil"/>
              <w:bottom w:val="nil"/>
              <w:right w:val="nil"/>
            </w:tcBorders>
            <w:shd w:val="clear" w:color="auto" w:fill="auto"/>
            <w:noWrap/>
            <w:vAlign w:val="bottom"/>
            <w:hideMark/>
          </w:tcPr>
          <w:p w14:paraId="28E6C805"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-1365</w:t>
            </w:r>
            <w:r w:rsidR="002A5599" w:rsidRPr="00986F85">
              <w:rPr>
                <w:rFonts w:eastAsia="Times New Roman"/>
                <w:color w:val="000000"/>
                <w:lang w:eastAsia="hu-HU"/>
              </w:rPr>
              <w:t>,</w:t>
            </w:r>
            <w:r w:rsidRPr="00986F85">
              <w:rPr>
                <w:rFonts w:eastAsia="Times New Roman"/>
                <w:color w:val="000000"/>
                <w:lang w:eastAsia="hu-HU"/>
              </w:rPr>
              <w:t>5</w:t>
            </w:r>
          </w:p>
        </w:tc>
        <w:tc>
          <w:tcPr>
            <w:tcW w:w="1175" w:type="dxa"/>
            <w:tcBorders>
              <w:top w:val="nil"/>
              <w:left w:val="nil"/>
              <w:bottom w:val="nil"/>
              <w:right w:val="nil"/>
            </w:tcBorders>
            <w:shd w:val="clear" w:color="auto" w:fill="auto"/>
            <w:noWrap/>
            <w:vAlign w:val="bottom"/>
            <w:hideMark/>
          </w:tcPr>
          <w:p w14:paraId="3894379E"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143573</w:t>
            </w:r>
            <w:r w:rsidR="002A5599" w:rsidRPr="00986F85">
              <w:rPr>
                <w:rFonts w:eastAsia="Times New Roman"/>
                <w:color w:val="000000"/>
                <w:lang w:eastAsia="hu-HU"/>
              </w:rPr>
              <w:t>,</w:t>
            </w:r>
            <w:r w:rsidRPr="00986F85">
              <w:rPr>
                <w:rFonts w:eastAsia="Times New Roman"/>
                <w:color w:val="000000"/>
                <w:lang w:eastAsia="hu-HU"/>
              </w:rPr>
              <w:t>5</w:t>
            </w:r>
          </w:p>
        </w:tc>
        <w:tc>
          <w:tcPr>
            <w:tcW w:w="1385" w:type="dxa"/>
            <w:tcBorders>
              <w:top w:val="nil"/>
              <w:left w:val="nil"/>
              <w:bottom w:val="nil"/>
              <w:right w:val="nil"/>
            </w:tcBorders>
            <w:shd w:val="clear" w:color="auto" w:fill="auto"/>
            <w:noWrap/>
            <w:vAlign w:val="bottom"/>
            <w:hideMark/>
          </w:tcPr>
          <w:p w14:paraId="29266D09"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-758</w:t>
            </w:r>
            <w:r w:rsidR="002A5599" w:rsidRPr="00986F85">
              <w:rPr>
                <w:rFonts w:eastAsia="Times New Roman"/>
                <w:color w:val="000000"/>
                <w:lang w:eastAsia="hu-HU"/>
              </w:rPr>
              <w:t>,</w:t>
            </w:r>
            <w:r w:rsidRPr="00986F85">
              <w:rPr>
                <w:rFonts w:eastAsia="Times New Roman"/>
                <w:color w:val="000000"/>
                <w:lang w:eastAsia="hu-HU"/>
              </w:rPr>
              <w:t>4</w:t>
            </w:r>
          </w:p>
        </w:tc>
        <w:tc>
          <w:tcPr>
            <w:tcW w:w="946" w:type="dxa"/>
            <w:tcBorders>
              <w:top w:val="nil"/>
              <w:left w:val="nil"/>
              <w:bottom w:val="nil"/>
              <w:right w:val="nil"/>
            </w:tcBorders>
            <w:shd w:val="clear" w:color="auto" w:fill="auto"/>
            <w:noWrap/>
            <w:vAlign w:val="bottom"/>
            <w:hideMark/>
          </w:tcPr>
          <w:p w14:paraId="4231B46E"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-75</w:t>
            </w:r>
            <w:r w:rsidR="002A5599" w:rsidRPr="00986F85">
              <w:rPr>
                <w:rFonts w:eastAsia="Times New Roman"/>
                <w:color w:val="000000"/>
                <w:lang w:eastAsia="hu-HU"/>
              </w:rPr>
              <w:t>,</w:t>
            </w:r>
            <w:r w:rsidRPr="00986F85">
              <w:rPr>
                <w:rFonts w:eastAsia="Times New Roman"/>
                <w:color w:val="000000"/>
                <w:lang w:eastAsia="hu-HU"/>
              </w:rPr>
              <w:t>6</w:t>
            </w:r>
          </w:p>
        </w:tc>
        <w:tc>
          <w:tcPr>
            <w:tcW w:w="1456" w:type="dxa"/>
            <w:tcBorders>
              <w:top w:val="nil"/>
              <w:left w:val="nil"/>
              <w:bottom w:val="nil"/>
              <w:right w:val="nil"/>
            </w:tcBorders>
            <w:shd w:val="clear" w:color="auto" w:fill="auto"/>
            <w:noWrap/>
            <w:vAlign w:val="bottom"/>
            <w:hideMark/>
          </w:tcPr>
          <w:p w14:paraId="07E3C8B7"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260</w:t>
            </w:r>
            <w:r w:rsidR="002A5599" w:rsidRPr="00986F85">
              <w:rPr>
                <w:rFonts w:eastAsia="Times New Roman"/>
                <w:color w:val="000000"/>
                <w:lang w:eastAsia="hu-HU"/>
              </w:rPr>
              <w:t>,</w:t>
            </w:r>
            <w:r w:rsidRPr="00986F85">
              <w:rPr>
                <w:rFonts w:eastAsia="Times New Roman"/>
                <w:color w:val="000000"/>
                <w:lang w:eastAsia="hu-HU"/>
              </w:rPr>
              <w:t>2</w:t>
            </w:r>
          </w:p>
        </w:tc>
      </w:tr>
      <w:tr w:rsidR="007D55C0" w:rsidRPr="00986F85" w14:paraId="5D1F2724" w14:textId="77777777" w:rsidTr="008C45B4">
        <w:trPr>
          <w:trHeight w:val="285"/>
        </w:trPr>
        <w:tc>
          <w:tcPr>
            <w:tcW w:w="3138" w:type="dxa"/>
            <w:tcBorders>
              <w:top w:val="nil"/>
              <w:left w:val="nil"/>
              <w:bottom w:val="nil"/>
              <w:right w:val="nil"/>
            </w:tcBorders>
            <w:shd w:val="clear" w:color="auto" w:fill="auto"/>
            <w:noWrap/>
            <w:vAlign w:val="bottom"/>
            <w:hideMark/>
          </w:tcPr>
          <w:p w14:paraId="017D1814" w14:textId="77777777" w:rsidR="007D55C0" w:rsidRPr="00986F85" w:rsidRDefault="007D55C0" w:rsidP="008C45B4">
            <w:pPr>
              <w:spacing w:after="0" w:line="240" w:lineRule="auto"/>
              <w:rPr>
                <w:rFonts w:eastAsia="Times New Roman"/>
                <w:color w:val="000000"/>
                <w:lang w:eastAsia="hu-HU"/>
              </w:rPr>
            </w:pPr>
            <w:r w:rsidRPr="00986F85">
              <w:rPr>
                <w:rFonts w:eastAsia="Times New Roman"/>
                <w:color w:val="000000"/>
                <w:lang w:eastAsia="hu-HU"/>
              </w:rPr>
              <w:t>Hozzáadott érték</w:t>
            </w:r>
            <w:r w:rsidR="004B585C" w:rsidRPr="00986F85">
              <w:rPr>
                <w:rFonts w:eastAsia="Times New Roman"/>
                <w:color w:val="000000"/>
                <w:lang w:eastAsia="hu-HU"/>
              </w:rPr>
              <w:t xml:space="preserve"> </w:t>
            </w:r>
            <w:r w:rsidR="004B585C" w:rsidRPr="00986F85">
              <w:rPr>
                <w:rFonts w:eastAsia="Times New Roman"/>
                <w:color w:val="000000"/>
                <w:sz w:val="22"/>
                <w:lang w:eastAsia="hu-HU"/>
              </w:rPr>
              <w:t>(e FT)</w:t>
            </w:r>
          </w:p>
        </w:tc>
        <w:tc>
          <w:tcPr>
            <w:tcW w:w="1039" w:type="dxa"/>
            <w:tcBorders>
              <w:top w:val="nil"/>
              <w:left w:val="nil"/>
              <w:bottom w:val="nil"/>
              <w:right w:val="nil"/>
            </w:tcBorders>
            <w:shd w:val="clear" w:color="auto" w:fill="auto"/>
            <w:noWrap/>
            <w:vAlign w:val="bottom"/>
            <w:hideMark/>
          </w:tcPr>
          <w:p w14:paraId="37115CF5"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-21773</w:t>
            </w:r>
            <w:r w:rsidR="002A5599" w:rsidRPr="00986F85">
              <w:rPr>
                <w:rFonts w:eastAsia="Times New Roman"/>
                <w:color w:val="000000"/>
                <w:lang w:eastAsia="hu-HU"/>
              </w:rPr>
              <w:t>,</w:t>
            </w:r>
            <w:r w:rsidRPr="00986F85">
              <w:rPr>
                <w:rFonts w:eastAsia="Times New Roman"/>
                <w:color w:val="000000"/>
                <w:lang w:eastAsia="hu-HU"/>
              </w:rPr>
              <w:t>7</w:t>
            </w:r>
          </w:p>
        </w:tc>
        <w:tc>
          <w:tcPr>
            <w:tcW w:w="1175" w:type="dxa"/>
            <w:tcBorders>
              <w:top w:val="nil"/>
              <w:left w:val="nil"/>
              <w:bottom w:val="nil"/>
              <w:right w:val="nil"/>
            </w:tcBorders>
            <w:shd w:val="clear" w:color="auto" w:fill="auto"/>
            <w:noWrap/>
            <w:vAlign w:val="bottom"/>
            <w:hideMark/>
          </w:tcPr>
          <w:p w14:paraId="3027E47E"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3166937</w:t>
            </w:r>
            <w:r w:rsidR="002A5599" w:rsidRPr="00986F85">
              <w:rPr>
                <w:rFonts w:eastAsia="Times New Roman"/>
                <w:color w:val="000000"/>
                <w:lang w:eastAsia="hu-HU"/>
              </w:rPr>
              <w:t>,</w:t>
            </w:r>
            <w:r w:rsidRPr="00986F85">
              <w:rPr>
                <w:rFonts w:eastAsia="Times New Roman"/>
                <w:color w:val="000000"/>
                <w:lang w:eastAsia="hu-HU"/>
              </w:rPr>
              <w:t>0</w:t>
            </w:r>
          </w:p>
        </w:tc>
        <w:tc>
          <w:tcPr>
            <w:tcW w:w="1385" w:type="dxa"/>
            <w:tcBorders>
              <w:top w:val="nil"/>
              <w:left w:val="nil"/>
              <w:bottom w:val="nil"/>
              <w:right w:val="nil"/>
            </w:tcBorders>
            <w:shd w:val="clear" w:color="auto" w:fill="auto"/>
            <w:noWrap/>
            <w:vAlign w:val="bottom"/>
            <w:hideMark/>
          </w:tcPr>
          <w:p w14:paraId="057591A4"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-10786</w:t>
            </w:r>
            <w:r w:rsidR="002A5599" w:rsidRPr="00986F85">
              <w:rPr>
                <w:rFonts w:eastAsia="Times New Roman"/>
                <w:color w:val="000000"/>
                <w:lang w:eastAsia="hu-HU"/>
              </w:rPr>
              <w:t>,</w:t>
            </w:r>
            <w:r w:rsidRPr="00986F85">
              <w:rPr>
                <w:rFonts w:eastAsia="Times New Roman"/>
                <w:color w:val="000000"/>
                <w:lang w:eastAsia="hu-HU"/>
              </w:rPr>
              <w:t>0</w:t>
            </w:r>
          </w:p>
        </w:tc>
        <w:tc>
          <w:tcPr>
            <w:tcW w:w="946" w:type="dxa"/>
            <w:tcBorders>
              <w:top w:val="nil"/>
              <w:left w:val="nil"/>
              <w:bottom w:val="nil"/>
              <w:right w:val="nil"/>
            </w:tcBorders>
            <w:shd w:val="clear" w:color="auto" w:fill="auto"/>
            <w:noWrap/>
            <w:vAlign w:val="bottom"/>
            <w:hideMark/>
          </w:tcPr>
          <w:p w14:paraId="0A60E838"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-2517</w:t>
            </w:r>
            <w:r w:rsidR="002A5599" w:rsidRPr="00986F85">
              <w:rPr>
                <w:rFonts w:eastAsia="Times New Roman"/>
                <w:color w:val="000000"/>
                <w:lang w:eastAsia="hu-HU"/>
              </w:rPr>
              <w:t>,</w:t>
            </w:r>
            <w:r w:rsidRPr="00986F85">
              <w:rPr>
                <w:rFonts w:eastAsia="Times New Roman"/>
                <w:color w:val="000000"/>
                <w:lang w:eastAsia="hu-HU"/>
              </w:rPr>
              <w:t>0</w:t>
            </w:r>
          </w:p>
        </w:tc>
        <w:tc>
          <w:tcPr>
            <w:tcW w:w="1456" w:type="dxa"/>
            <w:tcBorders>
              <w:top w:val="nil"/>
              <w:left w:val="nil"/>
              <w:bottom w:val="nil"/>
              <w:right w:val="nil"/>
            </w:tcBorders>
            <w:shd w:val="clear" w:color="auto" w:fill="auto"/>
            <w:noWrap/>
            <w:vAlign w:val="bottom"/>
            <w:hideMark/>
          </w:tcPr>
          <w:p w14:paraId="42B96331"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1908</w:t>
            </w:r>
            <w:r w:rsidR="002A5599" w:rsidRPr="00986F85">
              <w:rPr>
                <w:rFonts w:eastAsia="Times New Roman"/>
                <w:color w:val="000000"/>
                <w:lang w:eastAsia="hu-HU"/>
              </w:rPr>
              <w:t>,</w:t>
            </w:r>
            <w:r w:rsidRPr="00986F85">
              <w:rPr>
                <w:rFonts w:eastAsia="Times New Roman"/>
                <w:color w:val="000000"/>
                <w:lang w:eastAsia="hu-HU"/>
              </w:rPr>
              <w:t>0</w:t>
            </w:r>
          </w:p>
        </w:tc>
      </w:tr>
      <w:tr w:rsidR="007D55C0" w:rsidRPr="00986F85" w14:paraId="4218E629" w14:textId="77777777" w:rsidTr="008C45B4">
        <w:trPr>
          <w:trHeight w:val="285"/>
        </w:trPr>
        <w:tc>
          <w:tcPr>
            <w:tcW w:w="3138" w:type="dxa"/>
            <w:tcBorders>
              <w:top w:val="nil"/>
              <w:left w:val="nil"/>
              <w:bottom w:val="nil"/>
              <w:right w:val="nil"/>
            </w:tcBorders>
            <w:shd w:val="clear" w:color="auto" w:fill="auto"/>
            <w:noWrap/>
            <w:vAlign w:val="bottom"/>
            <w:hideMark/>
          </w:tcPr>
          <w:p w14:paraId="0F2D6FD7" w14:textId="77777777" w:rsidR="007D55C0" w:rsidRPr="00986F85" w:rsidRDefault="007D55C0" w:rsidP="008C45B4">
            <w:pPr>
              <w:spacing w:after="0" w:line="240" w:lineRule="auto"/>
              <w:rPr>
                <w:rFonts w:eastAsia="Times New Roman"/>
                <w:color w:val="000000"/>
                <w:lang w:eastAsia="hu-HU"/>
              </w:rPr>
            </w:pPr>
            <w:r w:rsidRPr="00986F85">
              <w:rPr>
                <w:rFonts w:eastAsia="Times New Roman"/>
                <w:color w:val="000000"/>
                <w:lang w:eastAsia="hu-HU"/>
              </w:rPr>
              <w:t>Egy foglalkoztatottra eső hozzáadott érték</w:t>
            </w:r>
            <w:r w:rsidR="004B585C" w:rsidRPr="00986F85">
              <w:rPr>
                <w:rFonts w:eastAsia="Times New Roman"/>
                <w:color w:val="000000"/>
                <w:lang w:eastAsia="hu-HU"/>
              </w:rPr>
              <w:t xml:space="preserve"> </w:t>
            </w:r>
            <w:r w:rsidR="004B585C" w:rsidRPr="00986F85">
              <w:rPr>
                <w:rFonts w:eastAsia="Times New Roman"/>
                <w:color w:val="000000"/>
                <w:sz w:val="22"/>
                <w:lang w:eastAsia="hu-HU"/>
              </w:rPr>
              <w:t>(e FT)</w:t>
            </w:r>
          </w:p>
        </w:tc>
        <w:tc>
          <w:tcPr>
            <w:tcW w:w="1039" w:type="dxa"/>
            <w:tcBorders>
              <w:top w:val="nil"/>
              <w:left w:val="nil"/>
              <w:bottom w:val="nil"/>
              <w:right w:val="nil"/>
            </w:tcBorders>
            <w:shd w:val="clear" w:color="auto" w:fill="auto"/>
            <w:noWrap/>
            <w:vAlign w:val="bottom"/>
            <w:hideMark/>
          </w:tcPr>
          <w:p w14:paraId="5D2843D3"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-5909</w:t>
            </w:r>
            <w:r w:rsidR="002A5599" w:rsidRPr="00986F85">
              <w:rPr>
                <w:rFonts w:eastAsia="Times New Roman"/>
                <w:color w:val="000000"/>
                <w:lang w:eastAsia="hu-HU"/>
              </w:rPr>
              <w:t>,</w:t>
            </w:r>
            <w:r w:rsidRPr="00986F85">
              <w:rPr>
                <w:rFonts w:eastAsia="Times New Roman"/>
                <w:color w:val="000000"/>
                <w:lang w:eastAsia="hu-HU"/>
              </w:rPr>
              <w:t>5</w:t>
            </w:r>
          </w:p>
        </w:tc>
        <w:tc>
          <w:tcPr>
            <w:tcW w:w="1175" w:type="dxa"/>
            <w:tcBorders>
              <w:top w:val="nil"/>
              <w:left w:val="nil"/>
              <w:bottom w:val="nil"/>
              <w:right w:val="nil"/>
            </w:tcBorders>
            <w:shd w:val="clear" w:color="auto" w:fill="auto"/>
            <w:noWrap/>
            <w:vAlign w:val="bottom"/>
            <w:hideMark/>
          </w:tcPr>
          <w:p w14:paraId="6CBEE2BF"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780610</w:t>
            </w:r>
            <w:r w:rsidR="002A5599" w:rsidRPr="00986F85">
              <w:rPr>
                <w:rFonts w:eastAsia="Times New Roman"/>
                <w:color w:val="000000"/>
                <w:lang w:eastAsia="hu-HU"/>
              </w:rPr>
              <w:t>,</w:t>
            </w:r>
            <w:r w:rsidRPr="00986F85">
              <w:rPr>
                <w:rFonts w:eastAsia="Times New Roman"/>
                <w:color w:val="000000"/>
                <w:lang w:eastAsia="hu-HU"/>
              </w:rPr>
              <w:t>3</w:t>
            </w:r>
          </w:p>
        </w:tc>
        <w:tc>
          <w:tcPr>
            <w:tcW w:w="1385" w:type="dxa"/>
            <w:tcBorders>
              <w:top w:val="nil"/>
              <w:left w:val="nil"/>
              <w:bottom w:val="nil"/>
              <w:right w:val="nil"/>
            </w:tcBorders>
            <w:shd w:val="clear" w:color="auto" w:fill="auto"/>
            <w:noWrap/>
            <w:vAlign w:val="bottom"/>
            <w:hideMark/>
          </w:tcPr>
          <w:p w14:paraId="720DA535"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-878</w:t>
            </w:r>
            <w:r w:rsidR="002A5599" w:rsidRPr="00986F85">
              <w:rPr>
                <w:rFonts w:eastAsia="Times New Roman"/>
                <w:color w:val="000000"/>
                <w:lang w:eastAsia="hu-HU"/>
              </w:rPr>
              <w:t>,</w:t>
            </w:r>
            <w:r w:rsidRPr="00986F85">
              <w:rPr>
                <w:rFonts w:eastAsia="Times New Roman"/>
                <w:color w:val="000000"/>
                <w:lang w:eastAsia="hu-HU"/>
              </w:rPr>
              <w:t>3</w:t>
            </w:r>
          </w:p>
        </w:tc>
        <w:tc>
          <w:tcPr>
            <w:tcW w:w="946" w:type="dxa"/>
            <w:tcBorders>
              <w:top w:val="nil"/>
              <w:left w:val="nil"/>
              <w:bottom w:val="nil"/>
              <w:right w:val="nil"/>
            </w:tcBorders>
            <w:shd w:val="clear" w:color="auto" w:fill="auto"/>
            <w:noWrap/>
            <w:vAlign w:val="bottom"/>
            <w:hideMark/>
          </w:tcPr>
          <w:p w14:paraId="1087CAC8"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-144</w:t>
            </w:r>
            <w:r w:rsidR="002A5599" w:rsidRPr="00986F85">
              <w:rPr>
                <w:rFonts w:eastAsia="Times New Roman"/>
                <w:color w:val="000000"/>
                <w:lang w:eastAsia="hu-HU"/>
              </w:rPr>
              <w:t>,</w:t>
            </w:r>
            <w:r w:rsidRPr="00986F85">
              <w:rPr>
                <w:rFonts w:eastAsia="Times New Roman"/>
                <w:color w:val="000000"/>
                <w:lang w:eastAsia="hu-HU"/>
              </w:rPr>
              <w:t>6</w:t>
            </w:r>
          </w:p>
        </w:tc>
        <w:tc>
          <w:tcPr>
            <w:tcW w:w="1456" w:type="dxa"/>
            <w:tcBorders>
              <w:top w:val="nil"/>
              <w:left w:val="nil"/>
              <w:bottom w:val="nil"/>
              <w:right w:val="nil"/>
            </w:tcBorders>
            <w:shd w:val="clear" w:color="auto" w:fill="auto"/>
            <w:noWrap/>
            <w:vAlign w:val="bottom"/>
            <w:hideMark/>
          </w:tcPr>
          <w:p w14:paraId="447B1D1E"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378</w:t>
            </w:r>
            <w:r w:rsidR="002A5599" w:rsidRPr="00986F85">
              <w:rPr>
                <w:rFonts w:eastAsia="Times New Roman"/>
                <w:color w:val="000000"/>
                <w:lang w:eastAsia="hu-HU"/>
              </w:rPr>
              <w:t>,</w:t>
            </w:r>
            <w:r w:rsidRPr="00986F85">
              <w:rPr>
                <w:rFonts w:eastAsia="Times New Roman"/>
                <w:color w:val="000000"/>
                <w:lang w:eastAsia="hu-HU"/>
              </w:rPr>
              <w:t>6</w:t>
            </w:r>
          </w:p>
        </w:tc>
      </w:tr>
      <w:tr w:rsidR="007D55C0" w:rsidRPr="00986F85" w14:paraId="63C3BF51" w14:textId="77777777" w:rsidTr="008C45B4">
        <w:trPr>
          <w:trHeight w:val="285"/>
        </w:trPr>
        <w:tc>
          <w:tcPr>
            <w:tcW w:w="3138" w:type="dxa"/>
            <w:tcBorders>
              <w:top w:val="nil"/>
              <w:left w:val="nil"/>
              <w:bottom w:val="nil"/>
              <w:right w:val="nil"/>
            </w:tcBorders>
            <w:shd w:val="clear" w:color="auto" w:fill="auto"/>
            <w:noWrap/>
            <w:vAlign w:val="bottom"/>
            <w:hideMark/>
          </w:tcPr>
          <w:p w14:paraId="504279B3" w14:textId="77777777" w:rsidR="007D55C0" w:rsidRPr="00986F85" w:rsidRDefault="007D55C0" w:rsidP="008C45B4">
            <w:pPr>
              <w:spacing w:after="0" w:line="240" w:lineRule="auto"/>
              <w:rPr>
                <w:rFonts w:eastAsia="Times New Roman" w:cs="Times New Roman"/>
                <w:color w:val="000000"/>
                <w:lang w:eastAsia="hu-HU"/>
              </w:rPr>
            </w:pPr>
            <w:r w:rsidRPr="00986F85">
              <w:rPr>
                <w:rFonts w:eastAsia="Times New Roman"/>
                <w:color w:val="000000"/>
                <w:lang w:eastAsia="hu-HU"/>
              </w:rPr>
              <w:t>ROA</w:t>
            </w:r>
          </w:p>
        </w:tc>
        <w:tc>
          <w:tcPr>
            <w:tcW w:w="1039" w:type="dxa"/>
            <w:tcBorders>
              <w:top w:val="nil"/>
              <w:left w:val="nil"/>
              <w:bottom w:val="nil"/>
              <w:right w:val="nil"/>
            </w:tcBorders>
            <w:shd w:val="clear" w:color="auto" w:fill="auto"/>
            <w:noWrap/>
            <w:vAlign w:val="bottom"/>
            <w:hideMark/>
          </w:tcPr>
          <w:p w14:paraId="2143BAD2"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6.398</w:t>
            </w:r>
          </w:p>
        </w:tc>
        <w:tc>
          <w:tcPr>
            <w:tcW w:w="1175" w:type="dxa"/>
            <w:tcBorders>
              <w:top w:val="nil"/>
              <w:left w:val="nil"/>
              <w:bottom w:val="nil"/>
              <w:right w:val="nil"/>
            </w:tcBorders>
            <w:shd w:val="clear" w:color="auto" w:fill="auto"/>
            <w:noWrap/>
            <w:vAlign w:val="bottom"/>
            <w:hideMark/>
          </w:tcPr>
          <w:p w14:paraId="3E62C841"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840</w:t>
            </w:r>
            <w:r w:rsidR="002A5599" w:rsidRPr="00986F85">
              <w:rPr>
                <w:rFonts w:eastAsia="Times New Roman"/>
                <w:color w:val="000000"/>
                <w:lang w:eastAsia="hu-HU"/>
              </w:rPr>
              <w:t>,</w:t>
            </w:r>
            <w:r w:rsidRPr="00986F85">
              <w:rPr>
                <w:rFonts w:eastAsia="Times New Roman"/>
                <w:color w:val="000000"/>
                <w:lang w:eastAsia="hu-HU"/>
              </w:rPr>
              <w:t>789</w:t>
            </w:r>
          </w:p>
        </w:tc>
        <w:tc>
          <w:tcPr>
            <w:tcW w:w="1385" w:type="dxa"/>
            <w:tcBorders>
              <w:top w:val="nil"/>
              <w:left w:val="nil"/>
              <w:bottom w:val="nil"/>
              <w:right w:val="nil"/>
            </w:tcBorders>
            <w:shd w:val="clear" w:color="auto" w:fill="auto"/>
            <w:noWrap/>
            <w:vAlign w:val="bottom"/>
            <w:hideMark/>
          </w:tcPr>
          <w:p w14:paraId="6EA947C4"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-0</w:t>
            </w:r>
            <w:r w:rsidR="002A5599" w:rsidRPr="00986F85">
              <w:rPr>
                <w:rFonts w:eastAsia="Times New Roman"/>
                <w:color w:val="000000"/>
                <w:lang w:eastAsia="hu-HU"/>
              </w:rPr>
              <w:t>,</w:t>
            </w:r>
            <w:r w:rsidRPr="00986F85">
              <w:rPr>
                <w:rFonts w:eastAsia="Times New Roman"/>
                <w:color w:val="000000"/>
                <w:lang w:eastAsia="hu-HU"/>
              </w:rPr>
              <w:t>107</w:t>
            </w:r>
          </w:p>
        </w:tc>
        <w:tc>
          <w:tcPr>
            <w:tcW w:w="946" w:type="dxa"/>
            <w:tcBorders>
              <w:top w:val="nil"/>
              <w:left w:val="nil"/>
              <w:bottom w:val="nil"/>
              <w:right w:val="nil"/>
            </w:tcBorders>
            <w:shd w:val="clear" w:color="auto" w:fill="auto"/>
            <w:noWrap/>
            <w:vAlign w:val="bottom"/>
            <w:hideMark/>
          </w:tcPr>
          <w:p w14:paraId="6F332874"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-0</w:t>
            </w:r>
            <w:r w:rsidR="002A5599" w:rsidRPr="00986F85">
              <w:rPr>
                <w:rFonts w:eastAsia="Times New Roman"/>
                <w:color w:val="000000"/>
                <w:lang w:eastAsia="hu-HU"/>
              </w:rPr>
              <w:t>,</w:t>
            </w:r>
            <w:r w:rsidRPr="00986F85">
              <w:rPr>
                <w:rFonts w:eastAsia="Times New Roman"/>
                <w:color w:val="000000"/>
                <w:lang w:eastAsia="hu-HU"/>
              </w:rPr>
              <w:t>017</w:t>
            </w:r>
          </w:p>
        </w:tc>
        <w:tc>
          <w:tcPr>
            <w:tcW w:w="1456" w:type="dxa"/>
            <w:tcBorders>
              <w:top w:val="nil"/>
              <w:left w:val="nil"/>
              <w:bottom w:val="nil"/>
              <w:right w:val="nil"/>
            </w:tcBorders>
            <w:shd w:val="clear" w:color="auto" w:fill="auto"/>
            <w:noWrap/>
            <w:vAlign w:val="bottom"/>
            <w:hideMark/>
          </w:tcPr>
          <w:p w14:paraId="18A3ECE5" w14:textId="77777777" w:rsidR="007D55C0" w:rsidRPr="00986F85" w:rsidRDefault="007D55C0" w:rsidP="008C45B4">
            <w:pPr>
              <w:spacing w:after="0" w:line="240" w:lineRule="auto"/>
              <w:jc w:val="center"/>
              <w:rPr>
                <w:rFonts w:eastAsia="Times New Roman"/>
                <w:color w:val="000000"/>
                <w:lang w:eastAsia="hu-HU"/>
              </w:rPr>
            </w:pPr>
            <w:r w:rsidRPr="00986F85">
              <w:rPr>
                <w:rFonts w:eastAsia="Times New Roman"/>
                <w:color w:val="000000"/>
                <w:lang w:eastAsia="hu-HU"/>
              </w:rPr>
              <w:t>0</w:t>
            </w:r>
            <w:r w:rsidR="002A5599" w:rsidRPr="00986F85">
              <w:rPr>
                <w:rFonts w:eastAsia="Times New Roman"/>
                <w:color w:val="000000"/>
                <w:lang w:eastAsia="hu-HU"/>
              </w:rPr>
              <w:t>,</w:t>
            </w:r>
            <w:r w:rsidRPr="00986F85">
              <w:rPr>
                <w:rFonts w:eastAsia="Times New Roman"/>
                <w:color w:val="000000"/>
                <w:lang w:eastAsia="hu-HU"/>
              </w:rPr>
              <w:t>034</w:t>
            </w:r>
          </w:p>
        </w:tc>
      </w:tr>
    </w:tbl>
    <w:p w14:paraId="678F741E" w14:textId="77777777" w:rsidR="00712890" w:rsidRPr="00986F85" w:rsidRDefault="00712890" w:rsidP="00244BA6">
      <w:pPr>
        <w:spacing w:after="0" w:line="360" w:lineRule="auto"/>
        <w:jc w:val="center"/>
        <w:rPr>
          <w:rFonts w:cs="Times New Roman"/>
          <w:i/>
          <w:szCs w:val="24"/>
        </w:rPr>
      </w:pPr>
    </w:p>
    <w:p w14:paraId="0566A01C" w14:textId="77777777" w:rsidR="00FD3946" w:rsidRPr="00986F85" w:rsidRDefault="00244BA6" w:rsidP="00244BA6">
      <w:pPr>
        <w:spacing w:after="0" w:line="360" w:lineRule="auto"/>
        <w:jc w:val="center"/>
        <w:rPr>
          <w:rFonts w:cs="Times New Roman"/>
          <w:i/>
          <w:szCs w:val="24"/>
        </w:rPr>
      </w:pPr>
      <w:r w:rsidRPr="00986F85">
        <w:rPr>
          <w:rFonts w:cs="Times New Roman"/>
          <w:i/>
          <w:szCs w:val="24"/>
        </w:rPr>
        <w:t>Forrás: NAV adatbázis</w:t>
      </w:r>
    </w:p>
    <w:p w14:paraId="4D18F34A" w14:textId="77777777" w:rsidR="00AC772E" w:rsidRPr="00986F85" w:rsidRDefault="00AC772E" w:rsidP="00AC772E">
      <w:pPr>
        <w:spacing w:after="0" w:line="360" w:lineRule="auto"/>
        <w:jc w:val="both"/>
        <w:rPr>
          <w:rFonts w:cs="Times New Roman"/>
          <w:i/>
          <w:szCs w:val="24"/>
        </w:rPr>
      </w:pPr>
      <w:r w:rsidRPr="00986F85">
        <w:rPr>
          <w:rFonts w:cs="Times New Roman"/>
          <w:i/>
          <w:szCs w:val="24"/>
        </w:rPr>
        <w:lastRenderedPageBreak/>
        <w:t xml:space="preserve">Megjegyzés: Fenti mutatókat nominális értéken számoltuk. Fontos megjegyezni, hogy 2006-2011 közötti kumulált inflációs ráta (CPI) 35.2 százalék volt. A reálértéken számolva a változások ettől függően ksiebbek.. </w:t>
      </w:r>
    </w:p>
    <w:p w14:paraId="513A42A9" w14:textId="77777777" w:rsidR="00A358CF" w:rsidRPr="00986F85" w:rsidRDefault="00A358CF" w:rsidP="00B04415">
      <w:pPr>
        <w:pStyle w:val="Szvegtrzs"/>
        <w:spacing w:after="0" w:line="360" w:lineRule="auto"/>
        <w:jc w:val="both"/>
        <w:rPr>
          <w:rFonts w:cs="Times New Roman"/>
          <w:szCs w:val="24"/>
        </w:rPr>
      </w:pPr>
    </w:p>
    <w:p w14:paraId="431C32FF" w14:textId="77777777" w:rsidR="000A1611" w:rsidRPr="00986F85" w:rsidRDefault="00E31EFA" w:rsidP="00B04415">
      <w:pPr>
        <w:pStyle w:val="Szvegtrzs"/>
        <w:spacing w:after="0" w:line="360" w:lineRule="auto"/>
        <w:jc w:val="both"/>
        <w:rPr>
          <w:rFonts w:cs="Times New Roman"/>
          <w:szCs w:val="24"/>
        </w:rPr>
      </w:pPr>
      <w:r w:rsidRPr="00986F85">
        <w:rPr>
          <w:rFonts w:cs="Times New Roman"/>
          <w:szCs w:val="24"/>
        </w:rPr>
        <w:t>Ugyanakkor, a</w:t>
      </w:r>
      <w:r w:rsidR="000C7B53" w:rsidRPr="00986F85">
        <w:rPr>
          <w:rFonts w:cs="Times New Roman"/>
          <w:szCs w:val="24"/>
        </w:rPr>
        <w:t xml:space="preserve"> </w:t>
      </w:r>
      <w:r w:rsidR="003C153B" w:rsidRPr="00986F85">
        <w:rPr>
          <w:rFonts w:cs="Times New Roman"/>
          <w:szCs w:val="24"/>
        </w:rPr>
        <w:t>„</w:t>
      </w:r>
      <w:r w:rsidRPr="00986F85">
        <w:rPr>
          <w:rFonts w:cs="Times New Roman"/>
          <w:szCs w:val="24"/>
        </w:rPr>
        <w:t>fiatalabb</w:t>
      </w:r>
      <w:r w:rsidR="003C153B" w:rsidRPr="00986F85">
        <w:rPr>
          <w:rFonts w:cs="Times New Roman"/>
          <w:szCs w:val="24"/>
        </w:rPr>
        <w:t xml:space="preserve">” vállalatok </w:t>
      </w:r>
      <w:r w:rsidR="007516F0" w:rsidRPr="00986F85">
        <w:rPr>
          <w:rFonts w:cs="Times New Roman"/>
          <w:szCs w:val="24"/>
        </w:rPr>
        <w:t xml:space="preserve">relatíve </w:t>
      </w:r>
      <w:r w:rsidR="003C153B" w:rsidRPr="00986F85">
        <w:rPr>
          <w:rFonts w:cs="Times New Roman"/>
          <w:szCs w:val="24"/>
        </w:rPr>
        <w:t>stabilabban vészelték-e át a válságot</w:t>
      </w:r>
      <w:r w:rsidR="000C7B53" w:rsidRPr="00986F85">
        <w:rPr>
          <w:rFonts w:cs="Times New Roman"/>
          <w:szCs w:val="24"/>
        </w:rPr>
        <w:t xml:space="preserve"> – </w:t>
      </w:r>
      <w:r w:rsidR="00A23111" w:rsidRPr="00986F85">
        <w:rPr>
          <w:rFonts w:cs="Times New Roman"/>
          <w:szCs w:val="24"/>
        </w:rPr>
        <w:t>lásd alábbi táblázat 0-4 korcsoportja szemben az országos átlaggal</w:t>
      </w:r>
      <w:r w:rsidR="00DC57C5" w:rsidRPr="00986F85">
        <w:rPr>
          <w:rFonts w:cs="Times New Roman"/>
          <w:szCs w:val="24"/>
        </w:rPr>
        <w:t>.</w:t>
      </w:r>
    </w:p>
    <w:p w14:paraId="2BDD462B" w14:textId="77777777" w:rsidR="00F24643" w:rsidRPr="00986F85" w:rsidRDefault="005657E8" w:rsidP="006043F1">
      <w:pPr>
        <w:pStyle w:val="Kpalrs"/>
        <w:keepNext/>
        <w:jc w:val="center"/>
      </w:pPr>
      <w:fldSimple w:instr=" SEQ táblázat \* ARABIC ">
        <w:bookmarkStart w:id="31" w:name="_Toc230854352"/>
        <w:r w:rsidR="00255252" w:rsidRPr="00986F85">
          <w:rPr>
            <w:noProof/>
          </w:rPr>
          <w:t>7</w:t>
        </w:r>
      </w:fldSimple>
      <w:r w:rsidR="00F24643" w:rsidRPr="00986F85">
        <w:t xml:space="preserve">. táblázat: </w:t>
      </w:r>
      <w:r w:rsidR="00F24643" w:rsidRPr="00986F85">
        <w:rPr>
          <w:rFonts w:cs="Times New Roman"/>
        </w:rPr>
        <w:t xml:space="preserve">Főbb vállalati teljesítménymutatók </w:t>
      </w:r>
      <w:r w:rsidR="0024166E" w:rsidRPr="00986F85">
        <w:rPr>
          <w:rFonts w:cs="Times New Roman"/>
        </w:rPr>
        <w:t xml:space="preserve">változásának </w:t>
      </w:r>
      <w:r w:rsidR="00F24643" w:rsidRPr="00986F85">
        <w:rPr>
          <w:rFonts w:cs="Times New Roman"/>
        </w:rPr>
        <w:t>mediánja korcsoportok szerinti bontásban, 2009/2008</w:t>
      </w:r>
      <w:bookmarkEnd w:id="31"/>
    </w:p>
    <w:tbl>
      <w:tblPr>
        <w:tblW w:w="9072" w:type="dxa"/>
        <w:tblInd w:w="70" w:type="dxa"/>
        <w:tblLayout w:type="fixed"/>
        <w:tblCellMar>
          <w:left w:w="70" w:type="dxa"/>
          <w:right w:w="70" w:type="dxa"/>
        </w:tblCellMar>
        <w:tblLook w:val="04A0" w:firstRow="1" w:lastRow="0" w:firstColumn="1" w:lastColumn="0" w:noHBand="0" w:noVBand="1"/>
      </w:tblPr>
      <w:tblGrid>
        <w:gridCol w:w="2977"/>
        <w:gridCol w:w="1276"/>
        <w:gridCol w:w="850"/>
        <w:gridCol w:w="1134"/>
        <w:gridCol w:w="1134"/>
        <w:gridCol w:w="1701"/>
      </w:tblGrid>
      <w:tr w:rsidR="00E040A8" w:rsidRPr="00986F85" w14:paraId="743D8F9D" w14:textId="77777777" w:rsidTr="00E040A8">
        <w:trPr>
          <w:trHeight w:val="526"/>
        </w:trPr>
        <w:tc>
          <w:tcPr>
            <w:tcW w:w="2977" w:type="dxa"/>
            <w:tcBorders>
              <w:top w:val="nil"/>
              <w:left w:val="nil"/>
              <w:bottom w:val="nil"/>
              <w:right w:val="nil"/>
            </w:tcBorders>
            <w:shd w:val="clear" w:color="auto" w:fill="B10000"/>
          </w:tcPr>
          <w:p w14:paraId="62D997D1" w14:textId="77777777" w:rsidR="00E040A8" w:rsidRPr="00986F85" w:rsidRDefault="00E040A8" w:rsidP="00893AFC">
            <w:pPr>
              <w:spacing w:after="0" w:line="240" w:lineRule="auto"/>
              <w:rPr>
                <w:rFonts w:eastAsia="Times New Roman" w:cs="Times New Roman"/>
                <w:b/>
                <w:color w:val="FFFFFF"/>
                <w:lang w:eastAsia="hu-HU"/>
              </w:rPr>
            </w:pPr>
          </w:p>
        </w:tc>
        <w:tc>
          <w:tcPr>
            <w:tcW w:w="6095" w:type="dxa"/>
            <w:gridSpan w:val="5"/>
            <w:tcBorders>
              <w:top w:val="nil"/>
              <w:left w:val="nil"/>
              <w:bottom w:val="nil"/>
              <w:right w:val="nil"/>
            </w:tcBorders>
            <w:shd w:val="clear" w:color="auto" w:fill="B10000"/>
          </w:tcPr>
          <w:p w14:paraId="50A20F9B" w14:textId="77777777" w:rsidR="00E040A8" w:rsidRPr="00986F85" w:rsidRDefault="00E040A8" w:rsidP="00292834">
            <w:pPr>
              <w:spacing w:after="0" w:line="240" w:lineRule="auto"/>
              <w:jc w:val="center"/>
              <w:rPr>
                <w:rFonts w:eastAsia="Times New Roman"/>
                <w:b/>
                <w:color w:val="FFFFFF"/>
                <w:lang w:eastAsia="hu-HU"/>
              </w:rPr>
            </w:pPr>
            <w:r w:rsidRPr="00986F85">
              <w:rPr>
                <w:rFonts w:eastAsia="Times New Roman" w:cs="Times New Roman"/>
                <w:b/>
                <w:color w:val="FFFFFF"/>
                <w:lang w:eastAsia="hu-HU"/>
              </w:rPr>
              <w:t>Életkor csoportok (év)</w:t>
            </w:r>
          </w:p>
        </w:tc>
      </w:tr>
      <w:tr w:rsidR="00E040A8" w:rsidRPr="00986F85" w14:paraId="0D77458B" w14:textId="77777777" w:rsidTr="00E040A8">
        <w:trPr>
          <w:trHeight w:val="526"/>
        </w:trPr>
        <w:tc>
          <w:tcPr>
            <w:tcW w:w="2977" w:type="dxa"/>
            <w:tcBorders>
              <w:top w:val="nil"/>
              <w:left w:val="nil"/>
              <w:bottom w:val="nil"/>
              <w:right w:val="nil"/>
            </w:tcBorders>
            <w:shd w:val="clear" w:color="auto" w:fill="B10000"/>
            <w:hideMark/>
          </w:tcPr>
          <w:p w14:paraId="78BB5FDC" w14:textId="77777777" w:rsidR="00E040A8" w:rsidRPr="00986F85" w:rsidRDefault="00E040A8" w:rsidP="00893AFC">
            <w:pPr>
              <w:spacing w:after="0" w:line="240" w:lineRule="auto"/>
              <w:rPr>
                <w:rFonts w:eastAsia="Times New Roman" w:cs="Times New Roman"/>
                <w:b/>
                <w:color w:val="FFFFFF"/>
                <w:lang w:eastAsia="hu-HU"/>
              </w:rPr>
            </w:pPr>
            <w:r w:rsidRPr="00986F85">
              <w:rPr>
                <w:rFonts w:eastAsia="Times New Roman" w:cs="Times New Roman"/>
                <w:b/>
                <w:color w:val="FFFFFF"/>
                <w:lang w:eastAsia="hu-HU"/>
              </w:rPr>
              <w:t>Vállalati teljesítménymutatók</w:t>
            </w:r>
          </w:p>
        </w:tc>
        <w:tc>
          <w:tcPr>
            <w:tcW w:w="1276" w:type="dxa"/>
            <w:tcBorders>
              <w:top w:val="nil"/>
              <w:left w:val="nil"/>
              <w:bottom w:val="nil"/>
              <w:right w:val="nil"/>
            </w:tcBorders>
            <w:shd w:val="clear" w:color="auto" w:fill="B10000"/>
            <w:hideMark/>
          </w:tcPr>
          <w:p w14:paraId="4759756E" w14:textId="77777777" w:rsidR="00E040A8" w:rsidRPr="00986F85" w:rsidRDefault="00E040A8" w:rsidP="00292834">
            <w:pPr>
              <w:spacing w:after="0" w:line="240" w:lineRule="auto"/>
              <w:jc w:val="center"/>
              <w:rPr>
                <w:rFonts w:eastAsia="Times New Roman"/>
                <w:b/>
                <w:color w:val="FFFFFF"/>
                <w:lang w:eastAsia="hu-HU"/>
              </w:rPr>
            </w:pPr>
            <w:r w:rsidRPr="00986F85">
              <w:rPr>
                <w:rFonts w:eastAsia="Times New Roman"/>
                <w:b/>
                <w:color w:val="FFFFFF"/>
                <w:lang w:eastAsia="hu-HU"/>
              </w:rPr>
              <w:t>0-4</w:t>
            </w:r>
          </w:p>
        </w:tc>
        <w:tc>
          <w:tcPr>
            <w:tcW w:w="850" w:type="dxa"/>
            <w:tcBorders>
              <w:top w:val="nil"/>
              <w:left w:val="nil"/>
              <w:bottom w:val="nil"/>
              <w:right w:val="nil"/>
            </w:tcBorders>
            <w:shd w:val="clear" w:color="auto" w:fill="B10000"/>
            <w:hideMark/>
          </w:tcPr>
          <w:p w14:paraId="4DFAD633" w14:textId="77777777" w:rsidR="00E040A8" w:rsidRPr="00986F85" w:rsidRDefault="00E040A8" w:rsidP="00292834">
            <w:pPr>
              <w:spacing w:after="0" w:line="240" w:lineRule="auto"/>
              <w:jc w:val="center"/>
              <w:rPr>
                <w:rFonts w:eastAsia="Times New Roman"/>
                <w:b/>
                <w:color w:val="FFFFFF"/>
                <w:lang w:eastAsia="hu-HU"/>
              </w:rPr>
            </w:pPr>
            <w:r w:rsidRPr="00986F85">
              <w:rPr>
                <w:rFonts w:eastAsia="Times New Roman"/>
                <w:b/>
                <w:color w:val="FFFFFF"/>
                <w:lang w:eastAsia="hu-HU"/>
              </w:rPr>
              <w:t>5-9</w:t>
            </w:r>
          </w:p>
        </w:tc>
        <w:tc>
          <w:tcPr>
            <w:tcW w:w="1134" w:type="dxa"/>
            <w:tcBorders>
              <w:top w:val="nil"/>
              <w:left w:val="nil"/>
              <w:bottom w:val="nil"/>
              <w:right w:val="nil"/>
            </w:tcBorders>
            <w:shd w:val="clear" w:color="auto" w:fill="B10000"/>
            <w:hideMark/>
          </w:tcPr>
          <w:p w14:paraId="2AF8492E" w14:textId="77777777" w:rsidR="00E040A8" w:rsidRPr="00986F85" w:rsidRDefault="00E040A8" w:rsidP="00292834">
            <w:pPr>
              <w:spacing w:after="0" w:line="240" w:lineRule="auto"/>
              <w:jc w:val="center"/>
              <w:rPr>
                <w:rFonts w:eastAsia="Times New Roman"/>
                <w:b/>
                <w:color w:val="FFFFFF"/>
                <w:lang w:eastAsia="hu-HU"/>
              </w:rPr>
            </w:pPr>
            <w:r w:rsidRPr="00986F85">
              <w:rPr>
                <w:rFonts w:eastAsia="Times New Roman"/>
                <w:b/>
                <w:color w:val="FFFFFF"/>
                <w:lang w:eastAsia="hu-HU"/>
              </w:rPr>
              <w:t>10-14</w:t>
            </w:r>
          </w:p>
        </w:tc>
        <w:tc>
          <w:tcPr>
            <w:tcW w:w="1134" w:type="dxa"/>
            <w:tcBorders>
              <w:top w:val="nil"/>
              <w:left w:val="nil"/>
              <w:bottom w:val="nil"/>
              <w:right w:val="nil"/>
            </w:tcBorders>
            <w:shd w:val="clear" w:color="auto" w:fill="B10000"/>
            <w:hideMark/>
          </w:tcPr>
          <w:p w14:paraId="121C3DB5" w14:textId="77777777" w:rsidR="00E040A8" w:rsidRPr="00986F85" w:rsidRDefault="00E040A8" w:rsidP="00292834">
            <w:pPr>
              <w:spacing w:after="0" w:line="240" w:lineRule="auto"/>
              <w:jc w:val="center"/>
              <w:rPr>
                <w:rFonts w:eastAsia="Times New Roman"/>
                <w:b/>
                <w:color w:val="FFFFFF"/>
                <w:lang w:eastAsia="hu-HU"/>
              </w:rPr>
            </w:pPr>
            <w:r w:rsidRPr="00986F85">
              <w:rPr>
                <w:rFonts w:eastAsia="Times New Roman"/>
                <w:b/>
                <w:color w:val="FFFFFF"/>
                <w:lang w:eastAsia="hu-HU"/>
              </w:rPr>
              <w:t>15+</w:t>
            </w:r>
          </w:p>
        </w:tc>
        <w:tc>
          <w:tcPr>
            <w:tcW w:w="1701" w:type="dxa"/>
            <w:tcBorders>
              <w:top w:val="nil"/>
              <w:left w:val="nil"/>
              <w:bottom w:val="nil"/>
              <w:right w:val="nil"/>
            </w:tcBorders>
            <w:shd w:val="clear" w:color="auto" w:fill="B10000"/>
            <w:hideMark/>
          </w:tcPr>
          <w:p w14:paraId="607813FB" w14:textId="77777777" w:rsidR="00E040A8" w:rsidRPr="00986F85" w:rsidRDefault="00E040A8" w:rsidP="00292834">
            <w:pPr>
              <w:spacing w:after="0" w:line="240" w:lineRule="auto"/>
              <w:jc w:val="center"/>
              <w:rPr>
                <w:rFonts w:eastAsia="Times New Roman" w:cs="Times New Roman"/>
                <w:b/>
                <w:color w:val="FFFFFF"/>
                <w:lang w:eastAsia="hu-HU"/>
              </w:rPr>
            </w:pPr>
            <w:r w:rsidRPr="00986F85">
              <w:rPr>
                <w:rFonts w:eastAsia="Times New Roman"/>
                <w:b/>
                <w:color w:val="FFFFFF"/>
                <w:lang w:eastAsia="hu-HU"/>
              </w:rPr>
              <w:t xml:space="preserve">Országos </w:t>
            </w:r>
          </w:p>
          <w:p w14:paraId="79A36C1B" w14:textId="77777777" w:rsidR="00E040A8" w:rsidRPr="00986F85" w:rsidRDefault="00E040A8" w:rsidP="00292834">
            <w:pPr>
              <w:spacing w:after="0" w:line="240" w:lineRule="auto"/>
              <w:jc w:val="center"/>
              <w:rPr>
                <w:rFonts w:eastAsia="Times New Roman"/>
                <w:b/>
                <w:color w:val="FFFFFF"/>
                <w:lang w:eastAsia="hu-HU"/>
              </w:rPr>
            </w:pPr>
            <w:r w:rsidRPr="00986F85">
              <w:rPr>
                <w:rFonts w:eastAsia="Times New Roman"/>
                <w:b/>
                <w:color w:val="FFFFFF"/>
                <w:lang w:eastAsia="hu-HU"/>
              </w:rPr>
              <w:t>átlag</w:t>
            </w:r>
          </w:p>
        </w:tc>
      </w:tr>
      <w:tr w:rsidR="00E040A8" w:rsidRPr="00986F85" w14:paraId="09963881" w14:textId="77777777" w:rsidTr="00E040A8">
        <w:trPr>
          <w:trHeight w:val="285"/>
        </w:trPr>
        <w:tc>
          <w:tcPr>
            <w:tcW w:w="2977" w:type="dxa"/>
            <w:tcBorders>
              <w:top w:val="nil"/>
              <w:left w:val="nil"/>
              <w:bottom w:val="nil"/>
              <w:right w:val="nil"/>
            </w:tcBorders>
            <w:shd w:val="clear" w:color="auto" w:fill="auto"/>
            <w:noWrap/>
            <w:vAlign w:val="bottom"/>
            <w:hideMark/>
          </w:tcPr>
          <w:p w14:paraId="33B3912E" w14:textId="77777777" w:rsidR="00E040A8" w:rsidRPr="00986F85" w:rsidRDefault="00E040A8" w:rsidP="002C31CA">
            <w:pPr>
              <w:spacing w:after="0" w:line="240" w:lineRule="auto"/>
              <w:rPr>
                <w:rFonts w:eastAsia="Times New Roman"/>
                <w:color w:val="000000"/>
                <w:lang w:eastAsia="hu-HU"/>
              </w:rPr>
            </w:pPr>
            <w:r w:rsidRPr="00986F85">
              <w:rPr>
                <w:rFonts w:eastAsia="Times New Roman"/>
                <w:color w:val="000000"/>
                <w:lang w:eastAsia="hu-HU"/>
              </w:rPr>
              <w:t>Foglalkoztatottak száma (%)</w:t>
            </w:r>
          </w:p>
        </w:tc>
        <w:tc>
          <w:tcPr>
            <w:tcW w:w="1276" w:type="dxa"/>
            <w:tcBorders>
              <w:top w:val="nil"/>
              <w:left w:val="nil"/>
              <w:bottom w:val="nil"/>
              <w:right w:val="nil"/>
            </w:tcBorders>
            <w:shd w:val="clear" w:color="auto" w:fill="auto"/>
            <w:noWrap/>
            <w:vAlign w:val="bottom"/>
            <w:hideMark/>
          </w:tcPr>
          <w:p w14:paraId="0AD56795"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0</w:t>
            </w:r>
          </w:p>
        </w:tc>
        <w:tc>
          <w:tcPr>
            <w:tcW w:w="850" w:type="dxa"/>
            <w:tcBorders>
              <w:top w:val="nil"/>
              <w:left w:val="nil"/>
              <w:bottom w:val="nil"/>
              <w:right w:val="nil"/>
            </w:tcBorders>
            <w:shd w:val="clear" w:color="auto" w:fill="auto"/>
            <w:noWrap/>
            <w:vAlign w:val="bottom"/>
            <w:hideMark/>
          </w:tcPr>
          <w:p w14:paraId="37F378C0"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0</w:t>
            </w:r>
          </w:p>
        </w:tc>
        <w:tc>
          <w:tcPr>
            <w:tcW w:w="1134" w:type="dxa"/>
            <w:tcBorders>
              <w:top w:val="nil"/>
              <w:left w:val="nil"/>
              <w:bottom w:val="nil"/>
              <w:right w:val="nil"/>
            </w:tcBorders>
            <w:shd w:val="clear" w:color="auto" w:fill="auto"/>
            <w:noWrap/>
            <w:vAlign w:val="bottom"/>
            <w:hideMark/>
          </w:tcPr>
          <w:p w14:paraId="126C2B61"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0</w:t>
            </w:r>
          </w:p>
        </w:tc>
        <w:tc>
          <w:tcPr>
            <w:tcW w:w="1134" w:type="dxa"/>
            <w:tcBorders>
              <w:top w:val="nil"/>
              <w:left w:val="nil"/>
              <w:bottom w:val="nil"/>
              <w:right w:val="nil"/>
            </w:tcBorders>
            <w:shd w:val="clear" w:color="auto" w:fill="auto"/>
            <w:noWrap/>
            <w:vAlign w:val="bottom"/>
            <w:hideMark/>
          </w:tcPr>
          <w:p w14:paraId="5AC8E29B"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-2</w:t>
            </w:r>
            <w:r w:rsidR="002A5599" w:rsidRPr="00986F85">
              <w:rPr>
                <w:rFonts w:eastAsia="Times New Roman"/>
                <w:color w:val="000000"/>
                <w:lang w:eastAsia="hu-HU"/>
              </w:rPr>
              <w:t>,</w:t>
            </w:r>
            <w:r w:rsidRPr="00986F85">
              <w:rPr>
                <w:rFonts w:eastAsia="Times New Roman"/>
                <w:color w:val="000000"/>
                <w:lang w:eastAsia="hu-HU"/>
              </w:rPr>
              <w:t>3</w:t>
            </w:r>
          </w:p>
        </w:tc>
        <w:tc>
          <w:tcPr>
            <w:tcW w:w="1701" w:type="dxa"/>
            <w:tcBorders>
              <w:top w:val="nil"/>
              <w:left w:val="nil"/>
              <w:bottom w:val="nil"/>
              <w:right w:val="nil"/>
            </w:tcBorders>
            <w:shd w:val="clear" w:color="auto" w:fill="auto"/>
            <w:noWrap/>
            <w:vAlign w:val="bottom"/>
            <w:hideMark/>
          </w:tcPr>
          <w:p w14:paraId="67AA4141"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0</w:t>
            </w:r>
          </w:p>
        </w:tc>
      </w:tr>
      <w:tr w:rsidR="00E040A8" w:rsidRPr="00986F85" w14:paraId="275F20FE" w14:textId="77777777" w:rsidTr="00E040A8">
        <w:trPr>
          <w:trHeight w:val="285"/>
        </w:trPr>
        <w:tc>
          <w:tcPr>
            <w:tcW w:w="2977" w:type="dxa"/>
            <w:tcBorders>
              <w:top w:val="nil"/>
              <w:left w:val="nil"/>
              <w:bottom w:val="nil"/>
              <w:right w:val="nil"/>
            </w:tcBorders>
            <w:shd w:val="clear" w:color="auto" w:fill="auto"/>
            <w:noWrap/>
            <w:vAlign w:val="bottom"/>
            <w:hideMark/>
          </w:tcPr>
          <w:p w14:paraId="630250D4" w14:textId="77777777" w:rsidR="00E040A8" w:rsidRPr="00986F85" w:rsidRDefault="00E040A8" w:rsidP="002C31CA">
            <w:pPr>
              <w:spacing w:after="0" w:line="240" w:lineRule="auto"/>
              <w:rPr>
                <w:rFonts w:eastAsia="Times New Roman"/>
                <w:color w:val="000000"/>
                <w:lang w:eastAsia="hu-HU"/>
              </w:rPr>
            </w:pPr>
            <w:r w:rsidRPr="00986F85">
              <w:rPr>
                <w:rFonts w:eastAsia="Times New Roman"/>
                <w:color w:val="000000"/>
                <w:lang w:eastAsia="hu-HU"/>
              </w:rPr>
              <w:t>Nettó árbevétel (%)</w:t>
            </w:r>
          </w:p>
        </w:tc>
        <w:tc>
          <w:tcPr>
            <w:tcW w:w="1276" w:type="dxa"/>
            <w:tcBorders>
              <w:top w:val="nil"/>
              <w:left w:val="nil"/>
              <w:bottom w:val="nil"/>
              <w:right w:val="nil"/>
            </w:tcBorders>
            <w:shd w:val="clear" w:color="auto" w:fill="auto"/>
            <w:noWrap/>
            <w:vAlign w:val="bottom"/>
            <w:hideMark/>
          </w:tcPr>
          <w:p w14:paraId="6AE3B60C"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-9</w:t>
            </w:r>
            <w:r w:rsidR="002A5599" w:rsidRPr="00986F85">
              <w:rPr>
                <w:rFonts w:eastAsia="Times New Roman"/>
                <w:color w:val="000000"/>
                <w:lang w:eastAsia="hu-HU"/>
              </w:rPr>
              <w:t>,</w:t>
            </w:r>
            <w:r w:rsidRPr="00986F85">
              <w:rPr>
                <w:rFonts w:eastAsia="Times New Roman"/>
                <w:color w:val="000000"/>
                <w:lang w:eastAsia="hu-HU"/>
              </w:rPr>
              <w:t>2</w:t>
            </w:r>
          </w:p>
        </w:tc>
        <w:tc>
          <w:tcPr>
            <w:tcW w:w="850" w:type="dxa"/>
            <w:tcBorders>
              <w:top w:val="nil"/>
              <w:left w:val="nil"/>
              <w:bottom w:val="nil"/>
              <w:right w:val="nil"/>
            </w:tcBorders>
            <w:shd w:val="clear" w:color="auto" w:fill="auto"/>
            <w:noWrap/>
            <w:vAlign w:val="bottom"/>
            <w:hideMark/>
          </w:tcPr>
          <w:p w14:paraId="3CCBCCD1"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-10</w:t>
            </w:r>
            <w:r w:rsidR="002A5599" w:rsidRPr="00986F85">
              <w:rPr>
                <w:rFonts w:eastAsia="Times New Roman"/>
                <w:color w:val="000000"/>
                <w:lang w:eastAsia="hu-HU"/>
              </w:rPr>
              <w:t>,</w:t>
            </w:r>
            <w:r w:rsidRPr="00986F85">
              <w:rPr>
                <w:rFonts w:eastAsia="Times New Roman"/>
                <w:color w:val="000000"/>
                <w:lang w:eastAsia="hu-HU"/>
              </w:rPr>
              <w:t>7</w:t>
            </w:r>
          </w:p>
        </w:tc>
        <w:tc>
          <w:tcPr>
            <w:tcW w:w="1134" w:type="dxa"/>
            <w:tcBorders>
              <w:top w:val="nil"/>
              <w:left w:val="nil"/>
              <w:bottom w:val="nil"/>
              <w:right w:val="nil"/>
            </w:tcBorders>
            <w:shd w:val="clear" w:color="auto" w:fill="auto"/>
            <w:noWrap/>
            <w:vAlign w:val="bottom"/>
            <w:hideMark/>
          </w:tcPr>
          <w:p w14:paraId="717D3B79"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-10</w:t>
            </w:r>
            <w:r w:rsidR="002A5599" w:rsidRPr="00986F85">
              <w:rPr>
                <w:rFonts w:eastAsia="Times New Roman"/>
                <w:color w:val="000000"/>
                <w:lang w:eastAsia="hu-HU"/>
              </w:rPr>
              <w:t>,</w:t>
            </w:r>
            <w:r w:rsidRPr="00986F85">
              <w:rPr>
                <w:rFonts w:eastAsia="Times New Roman"/>
                <w:color w:val="000000"/>
                <w:lang w:eastAsia="hu-HU"/>
              </w:rPr>
              <w:t>9</w:t>
            </w:r>
          </w:p>
        </w:tc>
        <w:tc>
          <w:tcPr>
            <w:tcW w:w="1134" w:type="dxa"/>
            <w:tcBorders>
              <w:top w:val="nil"/>
              <w:left w:val="nil"/>
              <w:bottom w:val="nil"/>
              <w:right w:val="nil"/>
            </w:tcBorders>
            <w:shd w:val="clear" w:color="auto" w:fill="auto"/>
            <w:noWrap/>
            <w:vAlign w:val="bottom"/>
            <w:hideMark/>
          </w:tcPr>
          <w:p w14:paraId="6C5F9115"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-13</w:t>
            </w:r>
          </w:p>
        </w:tc>
        <w:tc>
          <w:tcPr>
            <w:tcW w:w="1701" w:type="dxa"/>
            <w:tcBorders>
              <w:top w:val="nil"/>
              <w:left w:val="nil"/>
              <w:bottom w:val="nil"/>
              <w:right w:val="nil"/>
            </w:tcBorders>
            <w:shd w:val="clear" w:color="auto" w:fill="auto"/>
            <w:noWrap/>
            <w:vAlign w:val="bottom"/>
            <w:hideMark/>
          </w:tcPr>
          <w:p w14:paraId="294DC3D9"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-10</w:t>
            </w:r>
            <w:r w:rsidR="002A5599" w:rsidRPr="00986F85">
              <w:rPr>
                <w:rFonts w:eastAsia="Times New Roman"/>
                <w:color w:val="000000"/>
                <w:lang w:eastAsia="hu-HU"/>
              </w:rPr>
              <w:t>,</w:t>
            </w:r>
            <w:r w:rsidRPr="00986F85">
              <w:rPr>
                <w:rFonts w:eastAsia="Times New Roman"/>
                <w:color w:val="000000"/>
                <w:lang w:eastAsia="hu-HU"/>
              </w:rPr>
              <w:t>9</w:t>
            </w:r>
          </w:p>
        </w:tc>
      </w:tr>
      <w:tr w:rsidR="00E040A8" w:rsidRPr="00986F85" w14:paraId="6B6939BD" w14:textId="77777777" w:rsidTr="00E040A8">
        <w:trPr>
          <w:trHeight w:val="285"/>
        </w:trPr>
        <w:tc>
          <w:tcPr>
            <w:tcW w:w="2977" w:type="dxa"/>
            <w:tcBorders>
              <w:top w:val="nil"/>
              <w:left w:val="nil"/>
              <w:bottom w:val="nil"/>
              <w:right w:val="nil"/>
            </w:tcBorders>
            <w:shd w:val="clear" w:color="auto" w:fill="auto"/>
            <w:noWrap/>
            <w:vAlign w:val="bottom"/>
            <w:hideMark/>
          </w:tcPr>
          <w:p w14:paraId="07817CDB" w14:textId="77777777" w:rsidR="00E040A8" w:rsidRPr="00986F85" w:rsidRDefault="00E040A8" w:rsidP="002C31CA">
            <w:pPr>
              <w:spacing w:after="0" w:line="240" w:lineRule="auto"/>
              <w:rPr>
                <w:rFonts w:eastAsia="Times New Roman"/>
                <w:color w:val="000000"/>
                <w:lang w:eastAsia="hu-HU"/>
              </w:rPr>
            </w:pPr>
            <w:r w:rsidRPr="00986F85">
              <w:rPr>
                <w:rFonts w:eastAsia="Times New Roman"/>
                <w:color w:val="000000"/>
                <w:lang w:eastAsia="hu-HU"/>
              </w:rPr>
              <w:t>Egy foglalkoztatottra eső árbevétel (%)</w:t>
            </w:r>
          </w:p>
        </w:tc>
        <w:tc>
          <w:tcPr>
            <w:tcW w:w="1276" w:type="dxa"/>
            <w:tcBorders>
              <w:top w:val="nil"/>
              <w:left w:val="nil"/>
              <w:bottom w:val="nil"/>
              <w:right w:val="nil"/>
            </w:tcBorders>
            <w:shd w:val="clear" w:color="auto" w:fill="auto"/>
            <w:noWrap/>
            <w:vAlign w:val="bottom"/>
            <w:hideMark/>
          </w:tcPr>
          <w:p w14:paraId="0D9F831A"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-3</w:t>
            </w:r>
            <w:r w:rsidR="002A5599" w:rsidRPr="00986F85">
              <w:rPr>
                <w:rFonts w:eastAsia="Times New Roman"/>
                <w:color w:val="000000"/>
                <w:lang w:eastAsia="hu-HU"/>
              </w:rPr>
              <w:t>,</w:t>
            </w:r>
            <w:r w:rsidRPr="00986F85">
              <w:rPr>
                <w:rFonts w:eastAsia="Times New Roman"/>
                <w:color w:val="000000"/>
                <w:lang w:eastAsia="hu-HU"/>
              </w:rPr>
              <w:t>3</w:t>
            </w:r>
          </w:p>
        </w:tc>
        <w:tc>
          <w:tcPr>
            <w:tcW w:w="850" w:type="dxa"/>
            <w:tcBorders>
              <w:top w:val="nil"/>
              <w:left w:val="nil"/>
              <w:bottom w:val="nil"/>
              <w:right w:val="nil"/>
            </w:tcBorders>
            <w:shd w:val="clear" w:color="auto" w:fill="auto"/>
            <w:noWrap/>
            <w:vAlign w:val="bottom"/>
            <w:hideMark/>
          </w:tcPr>
          <w:p w14:paraId="3B752FFF"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-5</w:t>
            </w:r>
            <w:r w:rsidR="002A5599" w:rsidRPr="00986F85">
              <w:rPr>
                <w:rFonts w:eastAsia="Times New Roman"/>
                <w:color w:val="000000"/>
                <w:lang w:eastAsia="hu-HU"/>
              </w:rPr>
              <w:t>,</w:t>
            </w:r>
            <w:r w:rsidRPr="00986F85">
              <w:rPr>
                <w:rFonts w:eastAsia="Times New Roman"/>
                <w:color w:val="000000"/>
                <w:lang w:eastAsia="hu-HU"/>
              </w:rPr>
              <w:t>5</w:t>
            </w:r>
          </w:p>
        </w:tc>
        <w:tc>
          <w:tcPr>
            <w:tcW w:w="1134" w:type="dxa"/>
            <w:tcBorders>
              <w:top w:val="nil"/>
              <w:left w:val="nil"/>
              <w:bottom w:val="nil"/>
              <w:right w:val="nil"/>
            </w:tcBorders>
            <w:shd w:val="clear" w:color="auto" w:fill="auto"/>
            <w:noWrap/>
            <w:vAlign w:val="bottom"/>
            <w:hideMark/>
          </w:tcPr>
          <w:p w14:paraId="19BF2248"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-5</w:t>
            </w:r>
            <w:r w:rsidR="002A5599" w:rsidRPr="00986F85">
              <w:rPr>
                <w:rFonts w:eastAsia="Times New Roman"/>
                <w:color w:val="000000"/>
                <w:lang w:eastAsia="hu-HU"/>
              </w:rPr>
              <w:t>,</w:t>
            </w:r>
            <w:r w:rsidRPr="00986F85">
              <w:rPr>
                <w:rFonts w:eastAsia="Times New Roman"/>
                <w:color w:val="000000"/>
                <w:lang w:eastAsia="hu-HU"/>
              </w:rPr>
              <w:t>5</w:t>
            </w:r>
          </w:p>
        </w:tc>
        <w:tc>
          <w:tcPr>
            <w:tcW w:w="1134" w:type="dxa"/>
            <w:tcBorders>
              <w:top w:val="nil"/>
              <w:left w:val="nil"/>
              <w:bottom w:val="nil"/>
              <w:right w:val="nil"/>
            </w:tcBorders>
            <w:shd w:val="clear" w:color="auto" w:fill="auto"/>
            <w:noWrap/>
            <w:vAlign w:val="bottom"/>
            <w:hideMark/>
          </w:tcPr>
          <w:p w14:paraId="5492D30F"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-6</w:t>
            </w:r>
            <w:r w:rsidR="002A5599" w:rsidRPr="00986F85">
              <w:rPr>
                <w:rFonts w:eastAsia="Times New Roman"/>
                <w:color w:val="000000"/>
                <w:lang w:eastAsia="hu-HU"/>
              </w:rPr>
              <w:t>,</w:t>
            </w:r>
            <w:r w:rsidRPr="00986F85">
              <w:rPr>
                <w:rFonts w:eastAsia="Times New Roman"/>
                <w:color w:val="000000"/>
                <w:lang w:eastAsia="hu-HU"/>
              </w:rPr>
              <w:t>3</w:t>
            </w:r>
          </w:p>
        </w:tc>
        <w:tc>
          <w:tcPr>
            <w:tcW w:w="1701" w:type="dxa"/>
            <w:tcBorders>
              <w:top w:val="nil"/>
              <w:left w:val="nil"/>
              <w:bottom w:val="nil"/>
              <w:right w:val="nil"/>
            </w:tcBorders>
            <w:shd w:val="clear" w:color="auto" w:fill="auto"/>
            <w:noWrap/>
            <w:vAlign w:val="bottom"/>
            <w:hideMark/>
          </w:tcPr>
          <w:p w14:paraId="1FB7DB6A"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-5</w:t>
            </w:r>
            <w:r w:rsidR="002A5599" w:rsidRPr="00986F85">
              <w:rPr>
                <w:rFonts w:eastAsia="Times New Roman"/>
                <w:color w:val="000000"/>
                <w:lang w:eastAsia="hu-HU"/>
              </w:rPr>
              <w:t>,</w:t>
            </w:r>
            <w:r w:rsidRPr="00986F85">
              <w:rPr>
                <w:rFonts w:eastAsia="Times New Roman"/>
                <w:color w:val="000000"/>
                <w:lang w:eastAsia="hu-HU"/>
              </w:rPr>
              <w:t>2</w:t>
            </w:r>
          </w:p>
        </w:tc>
      </w:tr>
      <w:tr w:rsidR="00E040A8" w:rsidRPr="00986F85" w14:paraId="649FA285" w14:textId="77777777" w:rsidTr="00E040A8">
        <w:trPr>
          <w:trHeight w:val="285"/>
        </w:trPr>
        <w:tc>
          <w:tcPr>
            <w:tcW w:w="2977" w:type="dxa"/>
            <w:tcBorders>
              <w:top w:val="nil"/>
              <w:left w:val="nil"/>
              <w:bottom w:val="nil"/>
              <w:right w:val="nil"/>
            </w:tcBorders>
            <w:shd w:val="clear" w:color="auto" w:fill="auto"/>
            <w:noWrap/>
            <w:vAlign w:val="bottom"/>
            <w:hideMark/>
          </w:tcPr>
          <w:p w14:paraId="3ED8E565" w14:textId="77777777" w:rsidR="00E040A8" w:rsidRPr="00986F85" w:rsidRDefault="00E040A8" w:rsidP="002C31CA">
            <w:pPr>
              <w:spacing w:after="0" w:line="240" w:lineRule="auto"/>
              <w:rPr>
                <w:rFonts w:eastAsia="Times New Roman"/>
                <w:color w:val="000000"/>
                <w:lang w:eastAsia="hu-HU"/>
              </w:rPr>
            </w:pPr>
            <w:r w:rsidRPr="00986F85">
              <w:rPr>
                <w:rFonts w:eastAsia="Times New Roman"/>
                <w:color w:val="000000"/>
                <w:lang w:eastAsia="hu-HU"/>
              </w:rPr>
              <w:t>Tárgyi eszköz (%)</w:t>
            </w:r>
          </w:p>
        </w:tc>
        <w:tc>
          <w:tcPr>
            <w:tcW w:w="1276" w:type="dxa"/>
            <w:tcBorders>
              <w:top w:val="nil"/>
              <w:left w:val="nil"/>
              <w:bottom w:val="nil"/>
              <w:right w:val="nil"/>
            </w:tcBorders>
            <w:shd w:val="clear" w:color="auto" w:fill="auto"/>
            <w:noWrap/>
            <w:vAlign w:val="bottom"/>
            <w:hideMark/>
          </w:tcPr>
          <w:p w14:paraId="21E53686"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-10</w:t>
            </w:r>
            <w:r w:rsidR="002A5599" w:rsidRPr="00986F85">
              <w:rPr>
                <w:rFonts w:eastAsia="Times New Roman"/>
                <w:color w:val="000000"/>
                <w:lang w:eastAsia="hu-HU"/>
              </w:rPr>
              <w:t>,</w:t>
            </w:r>
            <w:r w:rsidRPr="00986F85">
              <w:rPr>
                <w:rFonts w:eastAsia="Times New Roman"/>
                <w:color w:val="000000"/>
                <w:lang w:eastAsia="hu-HU"/>
              </w:rPr>
              <w:t>8</w:t>
            </w:r>
          </w:p>
        </w:tc>
        <w:tc>
          <w:tcPr>
            <w:tcW w:w="850" w:type="dxa"/>
            <w:tcBorders>
              <w:top w:val="nil"/>
              <w:left w:val="nil"/>
              <w:bottom w:val="nil"/>
              <w:right w:val="nil"/>
            </w:tcBorders>
            <w:shd w:val="clear" w:color="auto" w:fill="auto"/>
            <w:noWrap/>
            <w:vAlign w:val="bottom"/>
            <w:hideMark/>
          </w:tcPr>
          <w:p w14:paraId="71697C8E"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-7</w:t>
            </w:r>
            <w:r w:rsidR="002A5599" w:rsidRPr="00986F85">
              <w:rPr>
                <w:rFonts w:eastAsia="Times New Roman"/>
                <w:color w:val="000000"/>
                <w:lang w:eastAsia="hu-HU"/>
              </w:rPr>
              <w:t>,</w:t>
            </w:r>
            <w:r w:rsidRPr="00986F85">
              <w:rPr>
                <w:rFonts w:eastAsia="Times New Roman"/>
                <w:color w:val="000000"/>
                <w:lang w:eastAsia="hu-HU"/>
              </w:rPr>
              <w:t>5</w:t>
            </w:r>
          </w:p>
        </w:tc>
        <w:tc>
          <w:tcPr>
            <w:tcW w:w="1134" w:type="dxa"/>
            <w:tcBorders>
              <w:top w:val="nil"/>
              <w:left w:val="nil"/>
              <w:bottom w:val="nil"/>
              <w:right w:val="nil"/>
            </w:tcBorders>
            <w:shd w:val="clear" w:color="auto" w:fill="auto"/>
            <w:noWrap/>
            <w:vAlign w:val="bottom"/>
            <w:hideMark/>
          </w:tcPr>
          <w:p w14:paraId="76DC5788"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-6</w:t>
            </w:r>
          </w:p>
        </w:tc>
        <w:tc>
          <w:tcPr>
            <w:tcW w:w="1134" w:type="dxa"/>
            <w:tcBorders>
              <w:top w:val="nil"/>
              <w:left w:val="nil"/>
              <w:bottom w:val="nil"/>
              <w:right w:val="nil"/>
            </w:tcBorders>
            <w:shd w:val="clear" w:color="auto" w:fill="auto"/>
            <w:noWrap/>
            <w:vAlign w:val="bottom"/>
            <w:hideMark/>
          </w:tcPr>
          <w:p w14:paraId="7E16F7A9"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-5</w:t>
            </w:r>
            <w:r w:rsidR="002A5599" w:rsidRPr="00986F85">
              <w:rPr>
                <w:rFonts w:eastAsia="Times New Roman"/>
                <w:color w:val="000000"/>
                <w:lang w:eastAsia="hu-HU"/>
              </w:rPr>
              <w:t>,</w:t>
            </w:r>
            <w:r w:rsidRPr="00986F85">
              <w:rPr>
                <w:rFonts w:eastAsia="Times New Roman"/>
                <w:color w:val="000000"/>
                <w:lang w:eastAsia="hu-HU"/>
              </w:rPr>
              <w:t>7</w:t>
            </w:r>
          </w:p>
        </w:tc>
        <w:tc>
          <w:tcPr>
            <w:tcW w:w="1701" w:type="dxa"/>
            <w:tcBorders>
              <w:top w:val="nil"/>
              <w:left w:val="nil"/>
              <w:bottom w:val="nil"/>
              <w:right w:val="nil"/>
            </w:tcBorders>
            <w:shd w:val="clear" w:color="auto" w:fill="auto"/>
            <w:noWrap/>
            <w:vAlign w:val="bottom"/>
            <w:hideMark/>
          </w:tcPr>
          <w:p w14:paraId="522806F4"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-7</w:t>
            </w:r>
            <w:r w:rsidR="002A5599" w:rsidRPr="00986F85">
              <w:rPr>
                <w:rFonts w:eastAsia="Times New Roman"/>
                <w:color w:val="000000"/>
                <w:lang w:eastAsia="hu-HU"/>
              </w:rPr>
              <w:t>,</w:t>
            </w:r>
            <w:r w:rsidRPr="00986F85">
              <w:rPr>
                <w:rFonts w:eastAsia="Times New Roman"/>
                <w:color w:val="000000"/>
                <w:lang w:eastAsia="hu-HU"/>
              </w:rPr>
              <w:t>2</w:t>
            </w:r>
          </w:p>
        </w:tc>
      </w:tr>
      <w:tr w:rsidR="00E040A8" w:rsidRPr="00986F85" w14:paraId="15CA2845" w14:textId="77777777" w:rsidTr="00E040A8">
        <w:trPr>
          <w:trHeight w:val="285"/>
        </w:trPr>
        <w:tc>
          <w:tcPr>
            <w:tcW w:w="2977" w:type="dxa"/>
            <w:tcBorders>
              <w:top w:val="nil"/>
              <w:left w:val="nil"/>
              <w:bottom w:val="nil"/>
              <w:right w:val="nil"/>
            </w:tcBorders>
            <w:shd w:val="clear" w:color="auto" w:fill="auto"/>
            <w:noWrap/>
            <w:vAlign w:val="bottom"/>
            <w:hideMark/>
          </w:tcPr>
          <w:p w14:paraId="5B2AA706" w14:textId="77777777" w:rsidR="00E040A8" w:rsidRPr="00986F85" w:rsidRDefault="00E040A8" w:rsidP="002C31CA">
            <w:pPr>
              <w:spacing w:after="0" w:line="240" w:lineRule="auto"/>
              <w:rPr>
                <w:rFonts w:eastAsia="Times New Roman"/>
                <w:color w:val="000000"/>
                <w:lang w:eastAsia="hu-HU"/>
              </w:rPr>
            </w:pPr>
            <w:r w:rsidRPr="00986F85">
              <w:rPr>
                <w:rFonts w:eastAsia="Times New Roman"/>
                <w:color w:val="000000"/>
                <w:lang w:eastAsia="hu-HU"/>
              </w:rPr>
              <w:t>Tőkeintenzitás (%)</w:t>
            </w:r>
          </w:p>
        </w:tc>
        <w:tc>
          <w:tcPr>
            <w:tcW w:w="1276" w:type="dxa"/>
            <w:tcBorders>
              <w:top w:val="nil"/>
              <w:left w:val="nil"/>
              <w:bottom w:val="nil"/>
              <w:right w:val="nil"/>
            </w:tcBorders>
            <w:shd w:val="clear" w:color="auto" w:fill="auto"/>
            <w:noWrap/>
            <w:vAlign w:val="bottom"/>
            <w:hideMark/>
          </w:tcPr>
          <w:p w14:paraId="0E5681CD"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-4</w:t>
            </w:r>
            <w:r w:rsidR="002A5599" w:rsidRPr="00986F85">
              <w:rPr>
                <w:rFonts w:eastAsia="Times New Roman"/>
                <w:color w:val="000000"/>
                <w:lang w:eastAsia="hu-HU"/>
              </w:rPr>
              <w:t>,</w:t>
            </w:r>
            <w:r w:rsidRPr="00986F85">
              <w:rPr>
                <w:rFonts w:eastAsia="Times New Roman"/>
                <w:color w:val="000000"/>
                <w:lang w:eastAsia="hu-HU"/>
              </w:rPr>
              <w:t>3</w:t>
            </w:r>
          </w:p>
        </w:tc>
        <w:tc>
          <w:tcPr>
            <w:tcW w:w="850" w:type="dxa"/>
            <w:tcBorders>
              <w:top w:val="nil"/>
              <w:left w:val="nil"/>
              <w:bottom w:val="nil"/>
              <w:right w:val="nil"/>
            </w:tcBorders>
            <w:shd w:val="clear" w:color="auto" w:fill="auto"/>
            <w:noWrap/>
            <w:vAlign w:val="bottom"/>
            <w:hideMark/>
          </w:tcPr>
          <w:p w14:paraId="27BE492D"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-2</w:t>
            </w:r>
            <w:r w:rsidR="002A5599" w:rsidRPr="00986F85">
              <w:rPr>
                <w:rFonts w:eastAsia="Times New Roman"/>
                <w:color w:val="000000"/>
                <w:lang w:eastAsia="hu-HU"/>
              </w:rPr>
              <w:t>,</w:t>
            </w:r>
            <w:r w:rsidRPr="00986F85">
              <w:rPr>
                <w:rFonts w:eastAsia="Times New Roman"/>
                <w:color w:val="000000"/>
                <w:lang w:eastAsia="hu-HU"/>
              </w:rPr>
              <w:t>5</w:t>
            </w:r>
          </w:p>
        </w:tc>
        <w:tc>
          <w:tcPr>
            <w:tcW w:w="1134" w:type="dxa"/>
            <w:tcBorders>
              <w:top w:val="nil"/>
              <w:left w:val="nil"/>
              <w:bottom w:val="nil"/>
              <w:right w:val="nil"/>
            </w:tcBorders>
            <w:shd w:val="clear" w:color="auto" w:fill="auto"/>
            <w:noWrap/>
            <w:vAlign w:val="bottom"/>
            <w:hideMark/>
          </w:tcPr>
          <w:p w14:paraId="4A0A0390"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-1</w:t>
            </w:r>
            <w:r w:rsidR="002A5599" w:rsidRPr="00986F85">
              <w:rPr>
                <w:rFonts w:eastAsia="Times New Roman"/>
                <w:color w:val="000000"/>
                <w:lang w:eastAsia="hu-HU"/>
              </w:rPr>
              <w:t>,</w:t>
            </w:r>
            <w:r w:rsidRPr="00986F85">
              <w:rPr>
                <w:rFonts w:eastAsia="Times New Roman"/>
                <w:color w:val="000000"/>
                <w:lang w:eastAsia="hu-HU"/>
              </w:rPr>
              <w:t>5</w:t>
            </w:r>
          </w:p>
        </w:tc>
        <w:tc>
          <w:tcPr>
            <w:tcW w:w="1134" w:type="dxa"/>
            <w:tcBorders>
              <w:top w:val="nil"/>
              <w:left w:val="nil"/>
              <w:bottom w:val="nil"/>
              <w:right w:val="nil"/>
            </w:tcBorders>
            <w:shd w:val="clear" w:color="auto" w:fill="auto"/>
            <w:noWrap/>
            <w:vAlign w:val="bottom"/>
            <w:hideMark/>
          </w:tcPr>
          <w:p w14:paraId="7D377856"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-0</w:t>
            </w:r>
            <w:r w:rsidR="002A5599" w:rsidRPr="00986F85">
              <w:rPr>
                <w:rFonts w:eastAsia="Times New Roman"/>
                <w:color w:val="000000"/>
                <w:lang w:eastAsia="hu-HU"/>
              </w:rPr>
              <w:t>,</w:t>
            </w:r>
            <w:r w:rsidRPr="00986F85">
              <w:rPr>
                <w:rFonts w:eastAsia="Times New Roman"/>
                <w:color w:val="000000"/>
                <w:lang w:eastAsia="hu-HU"/>
              </w:rPr>
              <w:t>5</w:t>
            </w:r>
          </w:p>
        </w:tc>
        <w:tc>
          <w:tcPr>
            <w:tcW w:w="1701" w:type="dxa"/>
            <w:tcBorders>
              <w:top w:val="nil"/>
              <w:left w:val="nil"/>
              <w:bottom w:val="nil"/>
              <w:right w:val="nil"/>
            </w:tcBorders>
            <w:shd w:val="clear" w:color="auto" w:fill="auto"/>
            <w:noWrap/>
            <w:vAlign w:val="bottom"/>
            <w:hideMark/>
          </w:tcPr>
          <w:p w14:paraId="541070F4"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-2</w:t>
            </w:r>
            <w:r w:rsidR="002A5599" w:rsidRPr="00986F85">
              <w:rPr>
                <w:rFonts w:eastAsia="Times New Roman"/>
                <w:color w:val="000000"/>
                <w:lang w:eastAsia="hu-HU"/>
              </w:rPr>
              <w:t>,</w:t>
            </w:r>
            <w:r w:rsidRPr="00986F85">
              <w:rPr>
                <w:rFonts w:eastAsia="Times New Roman"/>
                <w:color w:val="000000"/>
                <w:lang w:eastAsia="hu-HU"/>
              </w:rPr>
              <w:t>2</w:t>
            </w:r>
          </w:p>
        </w:tc>
      </w:tr>
      <w:tr w:rsidR="00E040A8" w:rsidRPr="00986F85" w14:paraId="65749858" w14:textId="77777777" w:rsidTr="00E040A8">
        <w:trPr>
          <w:trHeight w:val="285"/>
        </w:trPr>
        <w:tc>
          <w:tcPr>
            <w:tcW w:w="2977" w:type="dxa"/>
            <w:tcBorders>
              <w:top w:val="nil"/>
              <w:left w:val="nil"/>
              <w:bottom w:val="nil"/>
              <w:right w:val="nil"/>
            </w:tcBorders>
            <w:shd w:val="clear" w:color="auto" w:fill="auto"/>
            <w:noWrap/>
            <w:vAlign w:val="bottom"/>
            <w:hideMark/>
          </w:tcPr>
          <w:p w14:paraId="07779A90" w14:textId="77777777" w:rsidR="00E040A8" w:rsidRPr="00986F85" w:rsidRDefault="00E040A8" w:rsidP="002C31CA">
            <w:pPr>
              <w:spacing w:after="0" w:line="240" w:lineRule="auto"/>
              <w:rPr>
                <w:rFonts w:eastAsia="Times New Roman"/>
                <w:color w:val="000000"/>
                <w:lang w:eastAsia="hu-HU"/>
              </w:rPr>
            </w:pPr>
            <w:r w:rsidRPr="00986F85">
              <w:rPr>
                <w:rFonts w:eastAsia="Times New Roman"/>
                <w:color w:val="000000"/>
                <w:lang w:eastAsia="hu-HU"/>
              </w:rPr>
              <w:t>Jegyzett tőke</w:t>
            </w:r>
            <w:r w:rsidR="004B585C" w:rsidRPr="00986F85">
              <w:rPr>
                <w:rFonts w:eastAsia="Times New Roman"/>
                <w:color w:val="000000"/>
                <w:lang w:eastAsia="hu-HU"/>
              </w:rPr>
              <w:t xml:space="preserve"> (%)</w:t>
            </w:r>
          </w:p>
        </w:tc>
        <w:tc>
          <w:tcPr>
            <w:tcW w:w="1276" w:type="dxa"/>
            <w:tcBorders>
              <w:top w:val="nil"/>
              <w:left w:val="nil"/>
              <w:bottom w:val="nil"/>
              <w:right w:val="nil"/>
            </w:tcBorders>
            <w:shd w:val="clear" w:color="auto" w:fill="auto"/>
            <w:noWrap/>
            <w:vAlign w:val="bottom"/>
            <w:hideMark/>
          </w:tcPr>
          <w:p w14:paraId="12714255"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0</w:t>
            </w:r>
          </w:p>
        </w:tc>
        <w:tc>
          <w:tcPr>
            <w:tcW w:w="850" w:type="dxa"/>
            <w:tcBorders>
              <w:top w:val="nil"/>
              <w:left w:val="nil"/>
              <w:bottom w:val="nil"/>
              <w:right w:val="nil"/>
            </w:tcBorders>
            <w:shd w:val="clear" w:color="auto" w:fill="auto"/>
            <w:noWrap/>
            <w:vAlign w:val="bottom"/>
            <w:hideMark/>
          </w:tcPr>
          <w:p w14:paraId="1E0A7D50"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0</w:t>
            </w:r>
          </w:p>
        </w:tc>
        <w:tc>
          <w:tcPr>
            <w:tcW w:w="1134" w:type="dxa"/>
            <w:tcBorders>
              <w:top w:val="nil"/>
              <w:left w:val="nil"/>
              <w:bottom w:val="nil"/>
              <w:right w:val="nil"/>
            </w:tcBorders>
            <w:shd w:val="clear" w:color="auto" w:fill="auto"/>
            <w:noWrap/>
            <w:vAlign w:val="bottom"/>
            <w:hideMark/>
          </w:tcPr>
          <w:p w14:paraId="13763604"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0</w:t>
            </w:r>
          </w:p>
        </w:tc>
        <w:tc>
          <w:tcPr>
            <w:tcW w:w="1134" w:type="dxa"/>
            <w:tcBorders>
              <w:top w:val="nil"/>
              <w:left w:val="nil"/>
              <w:bottom w:val="nil"/>
              <w:right w:val="nil"/>
            </w:tcBorders>
            <w:shd w:val="clear" w:color="auto" w:fill="auto"/>
            <w:noWrap/>
            <w:vAlign w:val="bottom"/>
            <w:hideMark/>
          </w:tcPr>
          <w:p w14:paraId="3902E3A9"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0</w:t>
            </w:r>
          </w:p>
        </w:tc>
        <w:tc>
          <w:tcPr>
            <w:tcW w:w="1701" w:type="dxa"/>
            <w:tcBorders>
              <w:top w:val="nil"/>
              <w:left w:val="nil"/>
              <w:bottom w:val="nil"/>
              <w:right w:val="nil"/>
            </w:tcBorders>
            <w:shd w:val="clear" w:color="auto" w:fill="auto"/>
            <w:noWrap/>
            <w:vAlign w:val="bottom"/>
            <w:hideMark/>
          </w:tcPr>
          <w:p w14:paraId="3EE4AAAE"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0</w:t>
            </w:r>
          </w:p>
        </w:tc>
      </w:tr>
      <w:tr w:rsidR="00E040A8" w:rsidRPr="00986F85" w14:paraId="640C9ADD" w14:textId="77777777" w:rsidTr="00E040A8">
        <w:trPr>
          <w:trHeight w:val="285"/>
        </w:trPr>
        <w:tc>
          <w:tcPr>
            <w:tcW w:w="2977" w:type="dxa"/>
            <w:tcBorders>
              <w:top w:val="nil"/>
              <w:left w:val="nil"/>
              <w:bottom w:val="nil"/>
              <w:right w:val="nil"/>
            </w:tcBorders>
            <w:shd w:val="clear" w:color="auto" w:fill="auto"/>
            <w:noWrap/>
            <w:vAlign w:val="bottom"/>
            <w:hideMark/>
          </w:tcPr>
          <w:p w14:paraId="45055E95" w14:textId="77777777" w:rsidR="00E040A8" w:rsidRPr="00986F85" w:rsidRDefault="00E040A8" w:rsidP="002C31CA">
            <w:pPr>
              <w:spacing w:after="0" w:line="240" w:lineRule="auto"/>
              <w:rPr>
                <w:rFonts w:eastAsia="Times New Roman"/>
                <w:color w:val="000000"/>
                <w:lang w:eastAsia="hu-HU"/>
              </w:rPr>
            </w:pPr>
            <w:r w:rsidRPr="00986F85">
              <w:rPr>
                <w:rFonts w:eastAsia="Times New Roman"/>
                <w:color w:val="000000"/>
                <w:lang w:eastAsia="hu-HU"/>
              </w:rPr>
              <w:t>Egy foglalkoztatottra eső jegyzett tőke (%)</w:t>
            </w:r>
          </w:p>
        </w:tc>
        <w:tc>
          <w:tcPr>
            <w:tcW w:w="1276" w:type="dxa"/>
            <w:tcBorders>
              <w:top w:val="nil"/>
              <w:left w:val="nil"/>
              <w:bottom w:val="nil"/>
              <w:right w:val="nil"/>
            </w:tcBorders>
            <w:shd w:val="clear" w:color="auto" w:fill="auto"/>
            <w:noWrap/>
            <w:vAlign w:val="bottom"/>
            <w:hideMark/>
          </w:tcPr>
          <w:p w14:paraId="7A0A4235"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0</w:t>
            </w:r>
          </w:p>
        </w:tc>
        <w:tc>
          <w:tcPr>
            <w:tcW w:w="850" w:type="dxa"/>
            <w:tcBorders>
              <w:top w:val="nil"/>
              <w:left w:val="nil"/>
              <w:bottom w:val="nil"/>
              <w:right w:val="nil"/>
            </w:tcBorders>
            <w:shd w:val="clear" w:color="auto" w:fill="auto"/>
            <w:noWrap/>
            <w:vAlign w:val="bottom"/>
            <w:hideMark/>
          </w:tcPr>
          <w:p w14:paraId="769AE16A"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0</w:t>
            </w:r>
          </w:p>
        </w:tc>
        <w:tc>
          <w:tcPr>
            <w:tcW w:w="1134" w:type="dxa"/>
            <w:tcBorders>
              <w:top w:val="nil"/>
              <w:left w:val="nil"/>
              <w:bottom w:val="nil"/>
              <w:right w:val="nil"/>
            </w:tcBorders>
            <w:shd w:val="clear" w:color="auto" w:fill="auto"/>
            <w:noWrap/>
            <w:vAlign w:val="bottom"/>
            <w:hideMark/>
          </w:tcPr>
          <w:p w14:paraId="2EC68A95"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0</w:t>
            </w:r>
          </w:p>
        </w:tc>
        <w:tc>
          <w:tcPr>
            <w:tcW w:w="1134" w:type="dxa"/>
            <w:tcBorders>
              <w:top w:val="nil"/>
              <w:left w:val="nil"/>
              <w:bottom w:val="nil"/>
              <w:right w:val="nil"/>
            </w:tcBorders>
            <w:shd w:val="clear" w:color="auto" w:fill="auto"/>
            <w:noWrap/>
            <w:vAlign w:val="bottom"/>
            <w:hideMark/>
          </w:tcPr>
          <w:p w14:paraId="11BF3F56"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1</w:t>
            </w:r>
            <w:r w:rsidR="002A5599" w:rsidRPr="00986F85">
              <w:rPr>
                <w:rFonts w:eastAsia="Times New Roman"/>
                <w:color w:val="000000"/>
                <w:lang w:eastAsia="hu-HU"/>
              </w:rPr>
              <w:t>,</w:t>
            </w:r>
            <w:r w:rsidRPr="00986F85">
              <w:rPr>
                <w:rFonts w:eastAsia="Times New Roman"/>
                <w:color w:val="000000"/>
                <w:lang w:eastAsia="hu-HU"/>
              </w:rPr>
              <w:t>5</w:t>
            </w:r>
          </w:p>
        </w:tc>
        <w:tc>
          <w:tcPr>
            <w:tcW w:w="1701" w:type="dxa"/>
            <w:tcBorders>
              <w:top w:val="nil"/>
              <w:left w:val="nil"/>
              <w:bottom w:val="nil"/>
              <w:right w:val="nil"/>
            </w:tcBorders>
            <w:shd w:val="clear" w:color="auto" w:fill="auto"/>
            <w:noWrap/>
            <w:vAlign w:val="bottom"/>
            <w:hideMark/>
          </w:tcPr>
          <w:p w14:paraId="70ED8B79"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0</w:t>
            </w:r>
          </w:p>
        </w:tc>
      </w:tr>
      <w:tr w:rsidR="00E040A8" w:rsidRPr="00986F85" w14:paraId="74250F88" w14:textId="77777777" w:rsidTr="00E040A8">
        <w:trPr>
          <w:trHeight w:val="285"/>
        </w:trPr>
        <w:tc>
          <w:tcPr>
            <w:tcW w:w="2977" w:type="dxa"/>
            <w:tcBorders>
              <w:top w:val="nil"/>
              <w:left w:val="nil"/>
              <w:bottom w:val="nil"/>
              <w:right w:val="nil"/>
            </w:tcBorders>
            <w:shd w:val="clear" w:color="auto" w:fill="auto"/>
            <w:noWrap/>
            <w:vAlign w:val="bottom"/>
            <w:hideMark/>
          </w:tcPr>
          <w:p w14:paraId="529DFE81" w14:textId="77777777" w:rsidR="00E040A8" w:rsidRPr="00986F85" w:rsidRDefault="00E040A8" w:rsidP="002C31CA">
            <w:pPr>
              <w:spacing w:after="0" w:line="240" w:lineRule="auto"/>
              <w:rPr>
                <w:rFonts w:eastAsia="Times New Roman" w:cs="Times New Roman"/>
                <w:color w:val="000000"/>
                <w:lang w:eastAsia="hu-HU"/>
              </w:rPr>
            </w:pPr>
            <w:r w:rsidRPr="00986F85">
              <w:rPr>
                <w:rFonts w:eastAsia="Times New Roman"/>
                <w:color w:val="000000"/>
                <w:lang w:eastAsia="hu-HU"/>
              </w:rPr>
              <w:t>Likviditás</w:t>
            </w:r>
            <w:r w:rsidR="004B585C" w:rsidRPr="00986F85">
              <w:rPr>
                <w:rFonts w:eastAsia="Times New Roman"/>
                <w:color w:val="000000"/>
                <w:lang w:eastAsia="hu-HU"/>
              </w:rPr>
              <w:t xml:space="preserve"> </w:t>
            </w:r>
          </w:p>
        </w:tc>
        <w:tc>
          <w:tcPr>
            <w:tcW w:w="1276" w:type="dxa"/>
            <w:tcBorders>
              <w:top w:val="nil"/>
              <w:left w:val="nil"/>
              <w:bottom w:val="nil"/>
              <w:right w:val="nil"/>
            </w:tcBorders>
            <w:shd w:val="clear" w:color="auto" w:fill="auto"/>
            <w:noWrap/>
            <w:vAlign w:val="bottom"/>
            <w:hideMark/>
          </w:tcPr>
          <w:p w14:paraId="12397C20"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2</w:t>
            </w:r>
            <w:r w:rsidR="002A5599" w:rsidRPr="00986F85">
              <w:rPr>
                <w:rFonts w:eastAsia="Times New Roman"/>
                <w:color w:val="000000"/>
                <w:lang w:eastAsia="hu-HU"/>
              </w:rPr>
              <w:t>,</w:t>
            </w:r>
            <w:r w:rsidRPr="00986F85">
              <w:rPr>
                <w:rFonts w:eastAsia="Times New Roman"/>
                <w:color w:val="000000"/>
                <w:lang w:eastAsia="hu-HU"/>
              </w:rPr>
              <w:t>5</w:t>
            </w:r>
          </w:p>
        </w:tc>
        <w:tc>
          <w:tcPr>
            <w:tcW w:w="850" w:type="dxa"/>
            <w:tcBorders>
              <w:top w:val="nil"/>
              <w:left w:val="nil"/>
              <w:bottom w:val="nil"/>
              <w:right w:val="nil"/>
            </w:tcBorders>
            <w:shd w:val="clear" w:color="auto" w:fill="auto"/>
            <w:noWrap/>
            <w:vAlign w:val="bottom"/>
            <w:hideMark/>
          </w:tcPr>
          <w:p w14:paraId="425B8242"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2</w:t>
            </w:r>
            <w:r w:rsidR="002A5599" w:rsidRPr="00986F85">
              <w:rPr>
                <w:rFonts w:eastAsia="Times New Roman"/>
                <w:color w:val="000000"/>
                <w:lang w:eastAsia="hu-HU"/>
              </w:rPr>
              <w:t>,</w:t>
            </w:r>
            <w:r w:rsidRPr="00986F85">
              <w:rPr>
                <w:rFonts w:eastAsia="Times New Roman"/>
                <w:color w:val="000000"/>
                <w:lang w:eastAsia="hu-HU"/>
              </w:rPr>
              <w:t>4</w:t>
            </w:r>
          </w:p>
        </w:tc>
        <w:tc>
          <w:tcPr>
            <w:tcW w:w="1134" w:type="dxa"/>
            <w:tcBorders>
              <w:top w:val="nil"/>
              <w:left w:val="nil"/>
              <w:bottom w:val="nil"/>
              <w:right w:val="nil"/>
            </w:tcBorders>
            <w:shd w:val="clear" w:color="auto" w:fill="auto"/>
            <w:noWrap/>
            <w:vAlign w:val="bottom"/>
            <w:hideMark/>
          </w:tcPr>
          <w:p w14:paraId="4BA10561"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2</w:t>
            </w:r>
            <w:r w:rsidR="002A5599" w:rsidRPr="00986F85">
              <w:rPr>
                <w:rFonts w:eastAsia="Times New Roman"/>
                <w:color w:val="000000"/>
                <w:lang w:eastAsia="hu-HU"/>
              </w:rPr>
              <w:t>,</w:t>
            </w:r>
            <w:r w:rsidRPr="00986F85">
              <w:rPr>
                <w:rFonts w:eastAsia="Times New Roman"/>
                <w:color w:val="000000"/>
                <w:lang w:eastAsia="hu-HU"/>
              </w:rPr>
              <w:t>8</w:t>
            </w:r>
          </w:p>
        </w:tc>
        <w:tc>
          <w:tcPr>
            <w:tcW w:w="1134" w:type="dxa"/>
            <w:tcBorders>
              <w:top w:val="nil"/>
              <w:left w:val="nil"/>
              <w:bottom w:val="nil"/>
              <w:right w:val="nil"/>
            </w:tcBorders>
            <w:shd w:val="clear" w:color="auto" w:fill="auto"/>
            <w:noWrap/>
            <w:vAlign w:val="bottom"/>
            <w:hideMark/>
          </w:tcPr>
          <w:p w14:paraId="7B582730"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3</w:t>
            </w:r>
            <w:r w:rsidR="002A5599" w:rsidRPr="00986F85">
              <w:rPr>
                <w:rFonts w:eastAsia="Times New Roman"/>
                <w:color w:val="000000"/>
                <w:lang w:eastAsia="hu-HU"/>
              </w:rPr>
              <w:t>,</w:t>
            </w:r>
            <w:r w:rsidRPr="00986F85">
              <w:rPr>
                <w:rFonts w:eastAsia="Times New Roman"/>
                <w:color w:val="000000"/>
                <w:lang w:eastAsia="hu-HU"/>
              </w:rPr>
              <w:t>1</w:t>
            </w:r>
          </w:p>
        </w:tc>
        <w:tc>
          <w:tcPr>
            <w:tcW w:w="1701" w:type="dxa"/>
            <w:tcBorders>
              <w:top w:val="nil"/>
              <w:left w:val="nil"/>
              <w:bottom w:val="nil"/>
              <w:right w:val="nil"/>
            </w:tcBorders>
            <w:shd w:val="clear" w:color="auto" w:fill="auto"/>
            <w:noWrap/>
            <w:vAlign w:val="bottom"/>
            <w:hideMark/>
          </w:tcPr>
          <w:p w14:paraId="7FE44B2E"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2</w:t>
            </w:r>
            <w:r w:rsidR="002A5599" w:rsidRPr="00986F85">
              <w:rPr>
                <w:rFonts w:eastAsia="Times New Roman"/>
                <w:color w:val="000000"/>
                <w:lang w:eastAsia="hu-HU"/>
              </w:rPr>
              <w:t>,</w:t>
            </w:r>
            <w:r w:rsidRPr="00986F85">
              <w:rPr>
                <w:rFonts w:eastAsia="Times New Roman"/>
                <w:color w:val="000000"/>
                <w:lang w:eastAsia="hu-HU"/>
              </w:rPr>
              <w:t>7</w:t>
            </w:r>
          </w:p>
        </w:tc>
      </w:tr>
      <w:tr w:rsidR="00E040A8" w:rsidRPr="00986F85" w14:paraId="48E49D94" w14:textId="77777777" w:rsidTr="00E040A8">
        <w:trPr>
          <w:trHeight w:val="285"/>
        </w:trPr>
        <w:tc>
          <w:tcPr>
            <w:tcW w:w="2977" w:type="dxa"/>
            <w:tcBorders>
              <w:top w:val="nil"/>
              <w:left w:val="nil"/>
              <w:bottom w:val="nil"/>
              <w:right w:val="nil"/>
            </w:tcBorders>
            <w:shd w:val="clear" w:color="auto" w:fill="auto"/>
            <w:noWrap/>
            <w:vAlign w:val="bottom"/>
            <w:hideMark/>
          </w:tcPr>
          <w:p w14:paraId="4CD1BCEE" w14:textId="77777777" w:rsidR="00E040A8" w:rsidRPr="00986F85" w:rsidRDefault="00E040A8" w:rsidP="002C31CA">
            <w:pPr>
              <w:spacing w:after="0" w:line="240" w:lineRule="auto"/>
              <w:rPr>
                <w:rFonts w:eastAsia="Times New Roman"/>
                <w:color w:val="000000"/>
                <w:lang w:eastAsia="hu-HU"/>
              </w:rPr>
            </w:pPr>
            <w:r w:rsidRPr="00986F85">
              <w:rPr>
                <w:rFonts w:eastAsia="Times New Roman"/>
                <w:color w:val="000000"/>
                <w:lang w:eastAsia="hu-HU"/>
              </w:rPr>
              <w:t>Üzemi eredmény</w:t>
            </w:r>
            <w:r w:rsidR="004B585C" w:rsidRPr="00986F85">
              <w:rPr>
                <w:rFonts w:eastAsia="Times New Roman"/>
                <w:color w:val="000000"/>
                <w:lang w:eastAsia="hu-HU"/>
              </w:rPr>
              <w:t xml:space="preserve"> </w:t>
            </w:r>
            <w:r w:rsidR="004B585C" w:rsidRPr="00986F85">
              <w:rPr>
                <w:rFonts w:eastAsia="Times New Roman"/>
                <w:color w:val="000000"/>
                <w:sz w:val="22"/>
                <w:lang w:eastAsia="hu-HU"/>
              </w:rPr>
              <w:t>(e FT)</w:t>
            </w:r>
          </w:p>
        </w:tc>
        <w:tc>
          <w:tcPr>
            <w:tcW w:w="1276" w:type="dxa"/>
            <w:tcBorders>
              <w:top w:val="nil"/>
              <w:left w:val="nil"/>
              <w:bottom w:val="nil"/>
              <w:right w:val="nil"/>
            </w:tcBorders>
            <w:shd w:val="clear" w:color="auto" w:fill="auto"/>
            <w:noWrap/>
            <w:vAlign w:val="bottom"/>
            <w:hideMark/>
          </w:tcPr>
          <w:p w14:paraId="2549DF4A"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-427</w:t>
            </w:r>
          </w:p>
        </w:tc>
        <w:tc>
          <w:tcPr>
            <w:tcW w:w="850" w:type="dxa"/>
            <w:tcBorders>
              <w:top w:val="nil"/>
              <w:left w:val="nil"/>
              <w:bottom w:val="nil"/>
              <w:right w:val="nil"/>
            </w:tcBorders>
            <w:shd w:val="clear" w:color="auto" w:fill="auto"/>
            <w:noWrap/>
            <w:vAlign w:val="bottom"/>
            <w:hideMark/>
          </w:tcPr>
          <w:p w14:paraId="1E07D1C8"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-708</w:t>
            </w:r>
          </w:p>
        </w:tc>
        <w:tc>
          <w:tcPr>
            <w:tcW w:w="1134" w:type="dxa"/>
            <w:tcBorders>
              <w:top w:val="nil"/>
              <w:left w:val="nil"/>
              <w:bottom w:val="nil"/>
              <w:right w:val="nil"/>
            </w:tcBorders>
            <w:shd w:val="clear" w:color="auto" w:fill="auto"/>
            <w:noWrap/>
            <w:vAlign w:val="bottom"/>
            <w:hideMark/>
          </w:tcPr>
          <w:p w14:paraId="2D07AC77"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-764</w:t>
            </w:r>
          </w:p>
        </w:tc>
        <w:tc>
          <w:tcPr>
            <w:tcW w:w="1134" w:type="dxa"/>
            <w:tcBorders>
              <w:top w:val="nil"/>
              <w:left w:val="nil"/>
              <w:bottom w:val="nil"/>
              <w:right w:val="nil"/>
            </w:tcBorders>
            <w:shd w:val="clear" w:color="auto" w:fill="auto"/>
            <w:noWrap/>
            <w:vAlign w:val="bottom"/>
            <w:hideMark/>
          </w:tcPr>
          <w:p w14:paraId="1A701DA9"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-900</w:t>
            </w:r>
          </w:p>
        </w:tc>
        <w:tc>
          <w:tcPr>
            <w:tcW w:w="1701" w:type="dxa"/>
            <w:tcBorders>
              <w:top w:val="nil"/>
              <w:left w:val="nil"/>
              <w:bottom w:val="nil"/>
              <w:right w:val="nil"/>
            </w:tcBorders>
            <w:shd w:val="clear" w:color="auto" w:fill="auto"/>
            <w:noWrap/>
            <w:vAlign w:val="bottom"/>
            <w:hideMark/>
          </w:tcPr>
          <w:p w14:paraId="5A2E9A5C"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-678</w:t>
            </w:r>
          </w:p>
        </w:tc>
      </w:tr>
      <w:tr w:rsidR="00E040A8" w:rsidRPr="00986F85" w14:paraId="2398E726" w14:textId="77777777" w:rsidTr="00E040A8">
        <w:trPr>
          <w:trHeight w:val="285"/>
        </w:trPr>
        <w:tc>
          <w:tcPr>
            <w:tcW w:w="2977" w:type="dxa"/>
            <w:tcBorders>
              <w:top w:val="nil"/>
              <w:left w:val="nil"/>
              <w:bottom w:val="nil"/>
              <w:right w:val="nil"/>
            </w:tcBorders>
            <w:shd w:val="clear" w:color="auto" w:fill="auto"/>
            <w:noWrap/>
            <w:vAlign w:val="bottom"/>
            <w:hideMark/>
          </w:tcPr>
          <w:p w14:paraId="057E0EA9" w14:textId="77777777" w:rsidR="00E040A8" w:rsidRPr="00986F85" w:rsidRDefault="00E040A8" w:rsidP="002C31CA">
            <w:pPr>
              <w:spacing w:after="0" w:line="240" w:lineRule="auto"/>
              <w:rPr>
                <w:rFonts w:eastAsia="Times New Roman"/>
                <w:color w:val="000000"/>
                <w:lang w:eastAsia="hu-HU"/>
              </w:rPr>
            </w:pPr>
            <w:r w:rsidRPr="00986F85">
              <w:rPr>
                <w:rFonts w:eastAsia="Times New Roman"/>
                <w:color w:val="000000"/>
                <w:lang w:eastAsia="hu-HU"/>
              </w:rPr>
              <w:t>Egy foglalkoztatottra eső üzemi eredmény</w:t>
            </w:r>
            <w:r w:rsidR="004B585C" w:rsidRPr="00986F85">
              <w:rPr>
                <w:rFonts w:eastAsia="Times New Roman"/>
                <w:color w:val="000000"/>
                <w:lang w:eastAsia="hu-HU"/>
              </w:rPr>
              <w:t xml:space="preserve"> </w:t>
            </w:r>
            <w:r w:rsidR="004B585C" w:rsidRPr="00986F85">
              <w:rPr>
                <w:rFonts w:eastAsia="Times New Roman"/>
                <w:color w:val="000000"/>
                <w:sz w:val="22"/>
                <w:lang w:eastAsia="hu-HU"/>
              </w:rPr>
              <w:t>(e FT)</w:t>
            </w:r>
          </w:p>
        </w:tc>
        <w:tc>
          <w:tcPr>
            <w:tcW w:w="1276" w:type="dxa"/>
            <w:tcBorders>
              <w:top w:val="nil"/>
              <w:left w:val="nil"/>
              <w:bottom w:val="nil"/>
              <w:right w:val="nil"/>
            </w:tcBorders>
            <w:shd w:val="clear" w:color="auto" w:fill="auto"/>
            <w:noWrap/>
            <w:vAlign w:val="bottom"/>
            <w:hideMark/>
          </w:tcPr>
          <w:p w14:paraId="50051F58"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-49</w:t>
            </w:r>
            <w:r w:rsidR="002A5599" w:rsidRPr="00986F85">
              <w:rPr>
                <w:rFonts w:eastAsia="Times New Roman"/>
                <w:color w:val="000000"/>
                <w:lang w:eastAsia="hu-HU"/>
              </w:rPr>
              <w:t>,</w:t>
            </w:r>
            <w:r w:rsidRPr="00986F85">
              <w:rPr>
                <w:rFonts w:eastAsia="Times New Roman"/>
                <w:color w:val="000000"/>
                <w:lang w:eastAsia="hu-HU"/>
              </w:rPr>
              <w:t>1</w:t>
            </w:r>
          </w:p>
        </w:tc>
        <w:tc>
          <w:tcPr>
            <w:tcW w:w="850" w:type="dxa"/>
            <w:tcBorders>
              <w:top w:val="nil"/>
              <w:left w:val="nil"/>
              <w:bottom w:val="nil"/>
              <w:right w:val="nil"/>
            </w:tcBorders>
            <w:shd w:val="clear" w:color="auto" w:fill="auto"/>
            <w:noWrap/>
            <w:vAlign w:val="bottom"/>
            <w:hideMark/>
          </w:tcPr>
          <w:p w14:paraId="6F90446A"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-81</w:t>
            </w:r>
            <w:r w:rsidR="002A5599" w:rsidRPr="00986F85">
              <w:rPr>
                <w:rFonts w:eastAsia="Times New Roman"/>
                <w:color w:val="000000"/>
                <w:lang w:eastAsia="hu-HU"/>
              </w:rPr>
              <w:t>,</w:t>
            </w:r>
            <w:r w:rsidRPr="00986F85">
              <w:rPr>
                <w:rFonts w:eastAsia="Times New Roman"/>
                <w:color w:val="000000"/>
                <w:lang w:eastAsia="hu-HU"/>
              </w:rPr>
              <w:t>2</w:t>
            </w:r>
          </w:p>
        </w:tc>
        <w:tc>
          <w:tcPr>
            <w:tcW w:w="1134" w:type="dxa"/>
            <w:tcBorders>
              <w:top w:val="nil"/>
              <w:left w:val="nil"/>
              <w:bottom w:val="nil"/>
              <w:right w:val="nil"/>
            </w:tcBorders>
            <w:shd w:val="clear" w:color="auto" w:fill="auto"/>
            <w:noWrap/>
            <w:vAlign w:val="bottom"/>
            <w:hideMark/>
          </w:tcPr>
          <w:p w14:paraId="0C9D815C"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-82</w:t>
            </w:r>
            <w:r w:rsidR="002A5599" w:rsidRPr="00986F85">
              <w:rPr>
                <w:rFonts w:eastAsia="Times New Roman"/>
                <w:color w:val="000000"/>
                <w:lang w:eastAsia="hu-HU"/>
              </w:rPr>
              <w:t>,</w:t>
            </w:r>
            <w:r w:rsidRPr="00986F85">
              <w:rPr>
                <w:rFonts w:eastAsia="Times New Roman"/>
                <w:color w:val="000000"/>
                <w:lang w:eastAsia="hu-HU"/>
              </w:rPr>
              <w:t>1</w:t>
            </w:r>
          </w:p>
        </w:tc>
        <w:tc>
          <w:tcPr>
            <w:tcW w:w="1134" w:type="dxa"/>
            <w:tcBorders>
              <w:top w:val="nil"/>
              <w:left w:val="nil"/>
              <w:bottom w:val="nil"/>
              <w:right w:val="nil"/>
            </w:tcBorders>
            <w:shd w:val="clear" w:color="auto" w:fill="auto"/>
            <w:noWrap/>
            <w:vAlign w:val="bottom"/>
            <w:hideMark/>
          </w:tcPr>
          <w:p w14:paraId="11785ACD"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-92</w:t>
            </w:r>
            <w:r w:rsidR="002A5599" w:rsidRPr="00986F85">
              <w:rPr>
                <w:rFonts w:eastAsia="Times New Roman"/>
                <w:color w:val="000000"/>
                <w:lang w:eastAsia="hu-HU"/>
              </w:rPr>
              <w:t>,</w:t>
            </w:r>
            <w:r w:rsidRPr="00986F85">
              <w:rPr>
                <w:rFonts w:eastAsia="Times New Roman"/>
                <w:color w:val="000000"/>
                <w:lang w:eastAsia="hu-HU"/>
              </w:rPr>
              <w:t>1</w:t>
            </w:r>
          </w:p>
        </w:tc>
        <w:tc>
          <w:tcPr>
            <w:tcW w:w="1701" w:type="dxa"/>
            <w:tcBorders>
              <w:top w:val="nil"/>
              <w:left w:val="nil"/>
              <w:bottom w:val="nil"/>
              <w:right w:val="nil"/>
            </w:tcBorders>
            <w:shd w:val="clear" w:color="auto" w:fill="auto"/>
            <w:noWrap/>
            <w:vAlign w:val="bottom"/>
            <w:hideMark/>
          </w:tcPr>
          <w:p w14:paraId="51401CAD"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-75</w:t>
            </w:r>
            <w:r w:rsidR="002A5599" w:rsidRPr="00986F85">
              <w:rPr>
                <w:rFonts w:eastAsia="Times New Roman"/>
                <w:color w:val="000000"/>
                <w:lang w:eastAsia="hu-HU"/>
              </w:rPr>
              <w:t>,</w:t>
            </w:r>
            <w:r w:rsidRPr="00986F85">
              <w:rPr>
                <w:rFonts w:eastAsia="Times New Roman"/>
                <w:color w:val="000000"/>
                <w:lang w:eastAsia="hu-HU"/>
              </w:rPr>
              <w:t>6</w:t>
            </w:r>
          </w:p>
        </w:tc>
      </w:tr>
      <w:tr w:rsidR="00E040A8" w:rsidRPr="00986F85" w14:paraId="58F25FAF" w14:textId="77777777" w:rsidTr="00E040A8">
        <w:trPr>
          <w:trHeight w:val="285"/>
        </w:trPr>
        <w:tc>
          <w:tcPr>
            <w:tcW w:w="2977" w:type="dxa"/>
            <w:tcBorders>
              <w:top w:val="nil"/>
              <w:left w:val="nil"/>
              <w:bottom w:val="nil"/>
              <w:right w:val="nil"/>
            </w:tcBorders>
            <w:shd w:val="clear" w:color="auto" w:fill="auto"/>
            <w:noWrap/>
            <w:vAlign w:val="bottom"/>
            <w:hideMark/>
          </w:tcPr>
          <w:p w14:paraId="3BE86F87" w14:textId="77777777" w:rsidR="00E040A8" w:rsidRPr="00986F85" w:rsidRDefault="00E040A8" w:rsidP="002C31CA">
            <w:pPr>
              <w:spacing w:after="0" w:line="240" w:lineRule="auto"/>
              <w:rPr>
                <w:rFonts w:eastAsia="Times New Roman"/>
                <w:color w:val="000000"/>
                <w:lang w:eastAsia="hu-HU"/>
              </w:rPr>
            </w:pPr>
            <w:r w:rsidRPr="00986F85">
              <w:rPr>
                <w:rFonts w:eastAsia="Times New Roman"/>
                <w:color w:val="000000"/>
                <w:lang w:eastAsia="hu-HU"/>
              </w:rPr>
              <w:t>Hozzáadott érték</w:t>
            </w:r>
            <w:r w:rsidR="004B585C" w:rsidRPr="00986F85">
              <w:rPr>
                <w:rFonts w:eastAsia="Times New Roman"/>
                <w:color w:val="000000"/>
                <w:lang w:eastAsia="hu-HU"/>
              </w:rPr>
              <w:t xml:space="preserve"> </w:t>
            </w:r>
            <w:r w:rsidR="004B585C" w:rsidRPr="00986F85">
              <w:rPr>
                <w:rFonts w:eastAsia="Times New Roman"/>
                <w:color w:val="000000"/>
                <w:sz w:val="22"/>
                <w:lang w:eastAsia="hu-HU"/>
              </w:rPr>
              <w:t>(e FT)</w:t>
            </w:r>
          </w:p>
        </w:tc>
        <w:tc>
          <w:tcPr>
            <w:tcW w:w="1276" w:type="dxa"/>
            <w:tcBorders>
              <w:top w:val="nil"/>
              <w:left w:val="nil"/>
              <w:bottom w:val="nil"/>
              <w:right w:val="nil"/>
            </w:tcBorders>
            <w:shd w:val="clear" w:color="auto" w:fill="auto"/>
            <w:noWrap/>
            <w:vAlign w:val="bottom"/>
            <w:hideMark/>
          </w:tcPr>
          <w:p w14:paraId="5F0B55E6"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-1763</w:t>
            </w:r>
          </w:p>
        </w:tc>
        <w:tc>
          <w:tcPr>
            <w:tcW w:w="850" w:type="dxa"/>
            <w:tcBorders>
              <w:top w:val="nil"/>
              <w:left w:val="nil"/>
              <w:bottom w:val="nil"/>
              <w:right w:val="nil"/>
            </w:tcBorders>
            <w:shd w:val="clear" w:color="auto" w:fill="auto"/>
            <w:noWrap/>
            <w:vAlign w:val="bottom"/>
            <w:hideMark/>
          </w:tcPr>
          <w:p w14:paraId="50EB39D0"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-2509</w:t>
            </w:r>
          </w:p>
        </w:tc>
        <w:tc>
          <w:tcPr>
            <w:tcW w:w="1134" w:type="dxa"/>
            <w:tcBorders>
              <w:top w:val="nil"/>
              <w:left w:val="nil"/>
              <w:bottom w:val="nil"/>
              <w:right w:val="nil"/>
            </w:tcBorders>
            <w:shd w:val="clear" w:color="auto" w:fill="auto"/>
            <w:noWrap/>
            <w:vAlign w:val="bottom"/>
            <w:hideMark/>
          </w:tcPr>
          <w:p w14:paraId="6B15B18F"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-2631</w:t>
            </w:r>
            <w:r w:rsidR="002A5599" w:rsidRPr="00986F85">
              <w:rPr>
                <w:rFonts w:eastAsia="Times New Roman"/>
                <w:color w:val="000000"/>
                <w:lang w:eastAsia="hu-HU"/>
              </w:rPr>
              <w:t>,</w:t>
            </w:r>
            <w:r w:rsidRPr="00986F85">
              <w:rPr>
                <w:rFonts w:eastAsia="Times New Roman"/>
                <w:color w:val="000000"/>
                <w:lang w:eastAsia="hu-HU"/>
              </w:rPr>
              <w:t>5</w:t>
            </w:r>
          </w:p>
        </w:tc>
        <w:tc>
          <w:tcPr>
            <w:tcW w:w="1134" w:type="dxa"/>
            <w:tcBorders>
              <w:top w:val="nil"/>
              <w:left w:val="nil"/>
              <w:bottom w:val="nil"/>
              <w:right w:val="nil"/>
            </w:tcBorders>
            <w:shd w:val="clear" w:color="auto" w:fill="auto"/>
            <w:noWrap/>
            <w:vAlign w:val="bottom"/>
            <w:hideMark/>
          </w:tcPr>
          <w:p w14:paraId="3A49A25A"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-3367</w:t>
            </w:r>
            <w:r w:rsidR="002A5599" w:rsidRPr="00986F85">
              <w:rPr>
                <w:rFonts w:eastAsia="Times New Roman"/>
                <w:color w:val="000000"/>
                <w:lang w:eastAsia="hu-HU"/>
              </w:rPr>
              <w:t>,</w:t>
            </w:r>
            <w:r w:rsidRPr="00986F85">
              <w:rPr>
                <w:rFonts w:eastAsia="Times New Roman"/>
                <w:color w:val="000000"/>
                <w:lang w:eastAsia="hu-HU"/>
              </w:rPr>
              <w:t>5</w:t>
            </w:r>
          </w:p>
        </w:tc>
        <w:tc>
          <w:tcPr>
            <w:tcW w:w="1701" w:type="dxa"/>
            <w:tcBorders>
              <w:top w:val="nil"/>
              <w:left w:val="nil"/>
              <w:bottom w:val="nil"/>
              <w:right w:val="nil"/>
            </w:tcBorders>
            <w:shd w:val="clear" w:color="auto" w:fill="auto"/>
            <w:noWrap/>
            <w:vAlign w:val="bottom"/>
            <w:hideMark/>
          </w:tcPr>
          <w:p w14:paraId="35E623A6"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-2517</w:t>
            </w:r>
          </w:p>
        </w:tc>
      </w:tr>
      <w:tr w:rsidR="00E040A8" w:rsidRPr="00986F85" w14:paraId="168F1753" w14:textId="77777777" w:rsidTr="00E040A8">
        <w:trPr>
          <w:trHeight w:val="285"/>
        </w:trPr>
        <w:tc>
          <w:tcPr>
            <w:tcW w:w="2977" w:type="dxa"/>
            <w:tcBorders>
              <w:top w:val="nil"/>
              <w:left w:val="nil"/>
              <w:bottom w:val="nil"/>
              <w:right w:val="nil"/>
            </w:tcBorders>
            <w:shd w:val="clear" w:color="auto" w:fill="auto"/>
            <w:noWrap/>
            <w:vAlign w:val="bottom"/>
            <w:hideMark/>
          </w:tcPr>
          <w:p w14:paraId="654DA83F" w14:textId="77777777" w:rsidR="00E040A8" w:rsidRPr="00986F85" w:rsidRDefault="00E040A8" w:rsidP="002C31CA">
            <w:pPr>
              <w:spacing w:after="0" w:line="240" w:lineRule="auto"/>
              <w:rPr>
                <w:rFonts w:eastAsia="Times New Roman"/>
                <w:color w:val="000000"/>
                <w:lang w:eastAsia="hu-HU"/>
              </w:rPr>
            </w:pPr>
            <w:r w:rsidRPr="00986F85">
              <w:rPr>
                <w:rFonts w:eastAsia="Times New Roman"/>
                <w:color w:val="000000"/>
                <w:lang w:eastAsia="hu-HU"/>
              </w:rPr>
              <w:t>Egy foglalkoztatottra eső hozzáadott érték</w:t>
            </w:r>
            <w:r w:rsidR="004B585C" w:rsidRPr="00986F85">
              <w:rPr>
                <w:rFonts w:eastAsia="Times New Roman"/>
                <w:color w:val="000000"/>
                <w:lang w:eastAsia="hu-HU"/>
              </w:rPr>
              <w:t xml:space="preserve"> </w:t>
            </w:r>
            <w:r w:rsidR="004B585C" w:rsidRPr="00986F85">
              <w:rPr>
                <w:rFonts w:eastAsia="Times New Roman"/>
                <w:color w:val="000000"/>
                <w:sz w:val="22"/>
                <w:lang w:eastAsia="hu-HU"/>
              </w:rPr>
              <w:t>(e FT)</w:t>
            </w:r>
          </w:p>
        </w:tc>
        <w:tc>
          <w:tcPr>
            <w:tcW w:w="1276" w:type="dxa"/>
            <w:tcBorders>
              <w:top w:val="nil"/>
              <w:left w:val="nil"/>
              <w:bottom w:val="nil"/>
              <w:right w:val="nil"/>
            </w:tcBorders>
            <w:shd w:val="clear" w:color="auto" w:fill="auto"/>
            <w:noWrap/>
            <w:vAlign w:val="bottom"/>
            <w:hideMark/>
          </w:tcPr>
          <w:p w14:paraId="6F3C5366"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-94</w:t>
            </w:r>
            <w:r w:rsidR="002A5599" w:rsidRPr="00986F85">
              <w:rPr>
                <w:rFonts w:eastAsia="Times New Roman"/>
                <w:color w:val="000000"/>
                <w:lang w:eastAsia="hu-HU"/>
              </w:rPr>
              <w:t>,</w:t>
            </w:r>
            <w:r w:rsidRPr="00986F85">
              <w:rPr>
                <w:rFonts w:eastAsia="Times New Roman"/>
                <w:color w:val="000000"/>
                <w:lang w:eastAsia="hu-HU"/>
              </w:rPr>
              <w:t>4</w:t>
            </w:r>
          </w:p>
        </w:tc>
        <w:tc>
          <w:tcPr>
            <w:tcW w:w="850" w:type="dxa"/>
            <w:tcBorders>
              <w:top w:val="nil"/>
              <w:left w:val="nil"/>
              <w:bottom w:val="nil"/>
              <w:right w:val="nil"/>
            </w:tcBorders>
            <w:shd w:val="clear" w:color="auto" w:fill="auto"/>
            <w:noWrap/>
            <w:vAlign w:val="bottom"/>
            <w:hideMark/>
          </w:tcPr>
          <w:p w14:paraId="78585A13"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-154</w:t>
            </w:r>
            <w:r w:rsidR="002A5599" w:rsidRPr="00986F85">
              <w:rPr>
                <w:rFonts w:eastAsia="Times New Roman"/>
                <w:color w:val="000000"/>
                <w:lang w:eastAsia="hu-HU"/>
              </w:rPr>
              <w:t>,</w:t>
            </w:r>
            <w:r w:rsidRPr="00986F85">
              <w:rPr>
                <w:rFonts w:eastAsia="Times New Roman"/>
                <w:color w:val="000000"/>
                <w:lang w:eastAsia="hu-HU"/>
              </w:rPr>
              <w:t>5</w:t>
            </w:r>
          </w:p>
        </w:tc>
        <w:tc>
          <w:tcPr>
            <w:tcW w:w="1134" w:type="dxa"/>
            <w:tcBorders>
              <w:top w:val="nil"/>
              <w:left w:val="nil"/>
              <w:bottom w:val="nil"/>
              <w:right w:val="nil"/>
            </w:tcBorders>
            <w:shd w:val="clear" w:color="auto" w:fill="auto"/>
            <w:noWrap/>
            <w:vAlign w:val="bottom"/>
            <w:hideMark/>
          </w:tcPr>
          <w:p w14:paraId="70848C00"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-160</w:t>
            </w:r>
          </w:p>
        </w:tc>
        <w:tc>
          <w:tcPr>
            <w:tcW w:w="1134" w:type="dxa"/>
            <w:tcBorders>
              <w:top w:val="nil"/>
              <w:left w:val="nil"/>
              <w:bottom w:val="nil"/>
              <w:right w:val="nil"/>
            </w:tcBorders>
            <w:shd w:val="clear" w:color="auto" w:fill="auto"/>
            <w:noWrap/>
            <w:vAlign w:val="bottom"/>
            <w:hideMark/>
          </w:tcPr>
          <w:p w14:paraId="27FBDB01"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-175</w:t>
            </w:r>
            <w:r w:rsidR="002A5599" w:rsidRPr="00986F85">
              <w:rPr>
                <w:rFonts w:eastAsia="Times New Roman"/>
                <w:color w:val="000000"/>
                <w:lang w:eastAsia="hu-HU"/>
              </w:rPr>
              <w:t>,</w:t>
            </w:r>
            <w:r w:rsidRPr="00986F85">
              <w:rPr>
                <w:rFonts w:eastAsia="Times New Roman"/>
                <w:color w:val="000000"/>
                <w:lang w:eastAsia="hu-HU"/>
              </w:rPr>
              <w:t>2</w:t>
            </w:r>
          </w:p>
        </w:tc>
        <w:tc>
          <w:tcPr>
            <w:tcW w:w="1701" w:type="dxa"/>
            <w:tcBorders>
              <w:top w:val="nil"/>
              <w:left w:val="nil"/>
              <w:bottom w:val="nil"/>
              <w:right w:val="nil"/>
            </w:tcBorders>
            <w:shd w:val="clear" w:color="auto" w:fill="auto"/>
            <w:noWrap/>
            <w:vAlign w:val="bottom"/>
            <w:hideMark/>
          </w:tcPr>
          <w:p w14:paraId="040D8AB6"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-144</w:t>
            </w:r>
            <w:r w:rsidR="002A5599" w:rsidRPr="00986F85">
              <w:rPr>
                <w:rFonts w:eastAsia="Times New Roman"/>
                <w:color w:val="000000"/>
                <w:lang w:eastAsia="hu-HU"/>
              </w:rPr>
              <w:t>,</w:t>
            </w:r>
            <w:r w:rsidRPr="00986F85">
              <w:rPr>
                <w:rFonts w:eastAsia="Times New Roman"/>
                <w:color w:val="000000"/>
                <w:lang w:eastAsia="hu-HU"/>
              </w:rPr>
              <w:t>6</w:t>
            </w:r>
          </w:p>
        </w:tc>
      </w:tr>
      <w:tr w:rsidR="00E040A8" w:rsidRPr="00986F85" w14:paraId="4AB3D842" w14:textId="77777777" w:rsidTr="00E040A8">
        <w:trPr>
          <w:trHeight w:val="285"/>
        </w:trPr>
        <w:tc>
          <w:tcPr>
            <w:tcW w:w="2977" w:type="dxa"/>
            <w:tcBorders>
              <w:top w:val="nil"/>
              <w:left w:val="nil"/>
              <w:bottom w:val="nil"/>
              <w:right w:val="nil"/>
            </w:tcBorders>
            <w:shd w:val="clear" w:color="auto" w:fill="auto"/>
            <w:noWrap/>
            <w:vAlign w:val="bottom"/>
            <w:hideMark/>
          </w:tcPr>
          <w:p w14:paraId="0A7E8F44" w14:textId="77777777" w:rsidR="00E040A8" w:rsidRPr="00986F85" w:rsidRDefault="00E040A8" w:rsidP="002C31CA">
            <w:pPr>
              <w:spacing w:after="0" w:line="240" w:lineRule="auto"/>
              <w:rPr>
                <w:rFonts w:eastAsia="Times New Roman" w:cs="Times New Roman"/>
                <w:color w:val="000000"/>
                <w:lang w:eastAsia="hu-HU"/>
              </w:rPr>
            </w:pPr>
            <w:r w:rsidRPr="00986F85">
              <w:rPr>
                <w:rFonts w:eastAsia="Times New Roman"/>
                <w:color w:val="000000"/>
                <w:lang w:eastAsia="hu-HU"/>
              </w:rPr>
              <w:t>ROA</w:t>
            </w:r>
            <w:r w:rsidR="004B585C" w:rsidRPr="00986F85">
              <w:rPr>
                <w:rFonts w:eastAsia="Times New Roman"/>
                <w:color w:val="000000"/>
                <w:lang w:eastAsia="hu-HU"/>
              </w:rPr>
              <w:t xml:space="preserve"> </w:t>
            </w:r>
          </w:p>
        </w:tc>
        <w:tc>
          <w:tcPr>
            <w:tcW w:w="1276" w:type="dxa"/>
            <w:tcBorders>
              <w:top w:val="nil"/>
              <w:left w:val="nil"/>
              <w:bottom w:val="nil"/>
              <w:right w:val="nil"/>
            </w:tcBorders>
            <w:shd w:val="clear" w:color="auto" w:fill="auto"/>
            <w:noWrap/>
            <w:vAlign w:val="bottom"/>
            <w:hideMark/>
          </w:tcPr>
          <w:p w14:paraId="344ADB73"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-0</w:t>
            </w:r>
            <w:r w:rsidR="002A5599" w:rsidRPr="00986F85">
              <w:rPr>
                <w:rFonts w:eastAsia="Times New Roman"/>
                <w:color w:val="000000"/>
                <w:lang w:eastAsia="hu-HU"/>
              </w:rPr>
              <w:t>,</w:t>
            </w:r>
            <w:r w:rsidRPr="00986F85">
              <w:rPr>
                <w:rFonts w:eastAsia="Times New Roman"/>
                <w:color w:val="000000"/>
                <w:lang w:eastAsia="hu-HU"/>
              </w:rPr>
              <w:t>017</w:t>
            </w:r>
          </w:p>
        </w:tc>
        <w:tc>
          <w:tcPr>
            <w:tcW w:w="850" w:type="dxa"/>
            <w:tcBorders>
              <w:top w:val="nil"/>
              <w:left w:val="nil"/>
              <w:bottom w:val="nil"/>
              <w:right w:val="nil"/>
            </w:tcBorders>
            <w:shd w:val="clear" w:color="auto" w:fill="auto"/>
            <w:noWrap/>
            <w:vAlign w:val="bottom"/>
            <w:hideMark/>
          </w:tcPr>
          <w:p w14:paraId="36D1AA03"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-0</w:t>
            </w:r>
            <w:r w:rsidR="002A5599" w:rsidRPr="00986F85">
              <w:rPr>
                <w:rFonts w:eastAsia="Times New Roman"/>
                <w:color w:val="000000"/>
                <w:lang w:eastAsia="hu-HU"/>
              </w:rPr>
              <w:t>,</w:t>
            </w:r>
            <w:r w:rsidRPr="00986F85">
              <w:rPr>
                <w:rFonts w:eastAsia="Times New Roman"/>
                <w:color w:val="000000"/>
                <w:lang w:eastAsia="hu-HU"/>
              </w:rPr>
              <w:t>018</w:t>
            </w:r>
          </w:p>
        </w:tc>
        <w:tc>
          <w:tcPr>
            <w:tcW w:w="1134" w:type="dxa"/>
            <w:tcBorders>
              <w:top w:val="nil"/>
              <w:left w:val="nil"/>
              <w:bottom w:val="nil"/>
              <w:right w:val="nil"/>
            </w:tcBorders>
            <w:shd w:val="clear" w:color="auto" w:fill="auto"/>
            <w:noWrap/>
            <w:vAlign w:val="bottom"/>
            <w:hideMark/>
          </w:tcPr>
          <w:p w14:paraId="247409C3"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-0</w:t>
            </w:r>
            <w:r w:rsidR="002A5599" w:rsidRPr="00986F85">
              <w:rPr>
                <w:rFonts w:eastAsia="Times New Roman"/>
                <w:color w:val="000000"/>
                <w:lang w:eastAsia="hu-HU"/>
              </w:rPr>
              <w:t>,</w:t>
            </w:r>
            <w:r w:rsidRPr="00986F85">
              <w:rPr>
                <w:rFonts w:eastAsia="Times New Roman"/>
                <w:color w:val="000000"/>
                <w:lang w:eastAsia="hu-HU"/>
              </w:rPr>
              <w:t>016</w:t>
            </w:r>
          </w:p>
        </w:tc>
        <w:tc>
          <w:tcPr>
            <w:tcW w:w="1134" w:type="dxa"/>
            <w:tcBorders>
              <w:top w:val="nil"/>
              <w:left w:val="nil"/>
              <w:bottom w:val="nil"/>
              <w:right w:val="nil"/>
            </w:tcBorders>
            <w:shd w:val="clear" w:color="auto" w:fill="auto"/>
            <w:noWrap/>
            <w:vAlign w:val="bottom"/>
            <w:hideMark/>
          </w:tcPr>
          <w:p w14:paraId="12A73B0F"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-0</w:t>
            </w:r>
            <w:r w:rsidR="002A5599" w:rsidRPr="00986F85">
              <w:rPr>
                <w:rFonts w:eastAsia="Times New Roman"/>
                <w:color w:val="000000"/>
                <w:lang w:eastAsia="hu-HU"/>
              </w:rPr>
              <w:t>,</w:t>
            </w:r>
            <w:r w:rsidRPr="00986F85">
              <w:rPr>
                <w:rFonts w:eastAsia="Times New Roman"/>
                <w:color w:val="000000"/>
                <w:lang w:eastAsia="hu-HU"/>
              </w:rPr>
              <w:t>014</w:t>
            </w:r>
          </w:p>
        </w:tc>
        <w:tc>
          <w:tcPr>
            <w:tcW w:w="1701" w:type="dxa"/>
            <w:tcBorders>
              <w:top w:val="nil"/>
              <w:left w:val="nil"/>
              <w:bottom w:val="nil"/>
              <w:right w:val="nil"/>
            </w:tcBorders>
            <w:shd w:val="clear" w:color="auto" w:fill="auto"/>
            <w:noWrap/>
            <w:vAlign w:val="bottom"/>
            <w:hideMark/>
          </w:tcPr>
          <w:p w14:paraId="34917149" w14:textId="77777777" w:rsidR="00E040A8" w:rsidRPr="00986F85" w:rsidRDefault="00E040A8" w:rsidP="002C31CA">
            <w:pPr>
              <w:spacing w:after="0" w:line="240" w:lineRule="auto"/>
              <w:jc w:val="center"/>
              <w:rPr>
                <w:rFonts w:eastAsia="Times New Roman"/>
                <w:color w:val="000000"/>
                <w:lang w:eastAsia="hu-HU"/>
              </w:rPr>
            </w:pPr>
            <w:r w:rsidRPr="00986F85">
              <w:rPr>
                <w:rFonts w:eastAsia="Times New Roman"/>
                <w:color w:val="000000"/>
                <w:lang w:eastAsia="hu-HU"/>
              </w:rPr>
              <w:t>-0</w:t>
            </w:r>
            <w:r w:rsidR="002A5599" w:rsidRPr="00986F85">
              <w:rPr>
                <w:rFonts w:eastAsia="Times New Roman"/>
                <w:color w:val="000000"/>
                <w:lang w:eastAsia="hu-HU"/>
              </w:rPr>
              <w:t>,</w:t>
            </w:r>
            <w:r w:rsidRPr="00986F85">
              <w:rPr>
                <w:rFonts w:eastAsia="Times New Roman"/>
                <w:color w:val="000000"/>
                <w:lang w:eastAsia="hu-HU"/>
              </w:rPr>
              <w:t>017</w:t>
            </w:r>
          </w:p>
        </w:tc>
      </w:tr>
    </w:tbl>
    <w:p w14:paraId="707C348A" w14:textId="77777777" w:rsidR="00483FDC" w:rsidRPr="00986F85" w:rsidRDefault="00483FDC" w:rsidP="00244BA6">
      <w:pPr>
        <w:spacing w:after="0" w:line="360" w:lineRule="auto"/>
        <w:jc w:val="center"/>
        <w:rPr>
          <w:rFonts w:cs="Times New Roman"/>
          <w:szCs w:val="24"/>
        </w:rPr>
      </w:pPr>
    </w:p>
    <w:p w14:paraId="67F886CB" w14:textId="77777777" w:rsidR="00AF58D1" w:rsidRPr="00986F85" w:rsidRDefault="00244BA6" w:rsidP="00244BA6">
      <w:pPr>
        <w:spacing w:after="0" w:line="360" w:lineRule="auto"/>
        <w:jc w:val="center"/>
        <w:rPr>
          <w:rFonts w:cs="Times New Roman"/>
          <w:i/>
          <w:szCs w:val="24"/>
        </w:rPr>
      </w:pPr>
      <w:r w:rsidRPr="00986F85">
        <w:rPr>
          <w:rFonts w:cs="Times New Roman"/>
          <w:i/>
          <w:szCs w:val="24"/>
        </w:rPr>
        <w:t>Forrás: NAV adatbázis</w:t>
      </w:r>
    </w:p>
    <w:p w14:paraId="445812E8" w14:textId="77777777" w:rsidR="00705AA1" w:rsidRPr="00986F85" w:rsidRDefault="00091401" w:rsidP="00705AA1">
      <w:pPr>
        <w:spacing w:after="0" w:line="360" w:lineRule="auto"/>
        <w:jc w:val="both"/>
        <w:rPr>
          <w:rFonts w:cs="Times New Roman"/>
          <w:i/>
          <w:szCs w:val="24"/>
        </w:rPr>
      </w:pPr>
      <w:r w:rsidRPr="00986F85">
        <w:rPr>
          <w:rFonts w:cs="Times New Roman"/>
          <w:i/>
          <w:szCs w:val="24"/>
        </w:rPr>
        <w:t>Megjegyzés: Adott vállalat életkorát az alapítási évtől eltelt idő alapján számol</w:t>
      </w:r>
      <w:r w:rsidR="00AC772E" w:rsidRPr="00986F85">
        <w:rPr>
          <w:rFonts w:cs="Times New Roman"/>
          <w:i/>
          <w:szCs w:val="24"/>
        </w:rPr>
        <w:t>tuk, illetve a fenti mutatókat nominális értéken értendők. Fontos megjegyezni, hogy 2006-2011 közötti kumulált inflációs ráta (CPI) 35.2 százalék volt. A reálértéken számolva a változások ettől függően ksiebbek..</w:t>
      </w:r>
      <w:r w:rsidR="003624F8" w:rsidRPr="00986F85">
        <w:rPr>
          <w:rFonts w:cs="Times New Roman"/>
          <w:i/>
          <w:szCs w:val="24"/>
        </w:rPr>
        <w:t xml:space="preserve"> </w:t>
      </w:r>
    </w:p>
    <w:p w14:paraId="01DA1D1C" w14:textId="77777777" w:rsidR="00076E08" w:rsidRPr="00986F85" w:rsidRDefault="00076E08" w:rsidP="00B04415">
      <w:pPr>
        <w:pStyle w:val="Szvegtrzs"/>
        <w:spacing w:after="0" w:line="360" w:lineRule="auto"/>
        <w:jc w:val="both"/>
        <w:rPr>
          <w:rFonts w:cs="Times New Roman"/>
          <w:szCs w:val="24"/>
        </w:rPr>
      </w:pPr>
    </w:p>
    <w:p w14:paraId="279B71F2" w14:textId="77777777" w:rsidR="00DC57C5" w:rsidRPr="00986F85" w:rsidRDefault="00DC57C5" w:rsidP="00B04415">
      <w:pPr>
        <w:pStyle w:val="Szvegtrzs"/>
        <w:spacing w:after="0" w:line="360" w:lineRule="auto"/>
        <w:jc w:val="both"/>
        <w:rPr>
          <w:rFonts w:cs="Times New Roman"/>
          <w:szCs w:val="24"/>
        </w:rPr>
      </w:pPr>
      <w:r w:rsidRPr="00986F85">
        <w:rPr>
          <w:rFonts w:cs="Times New Roman"/>
          <w:szCs w:val="24"/>
        </w:rPr>
        <w:lastRenderedPageBreak/>
        <w:t xml:space="preserve">Sorba rendeztük a kistérségeket a szerint, hogy hány olyan cég található a területükön, melyek esetében a fő vállalati indikátorok csökkentek a válságos években (2008-2009), illetve a teljes időszakra vetítve (2006-2011). Az így képzett rangsorban legrosszabbul teljesítő kistérségeket ábrázolják az alábbi térképek. </w:t>
      </w:r>
    </w:p>
    <w:p w14:paraId="116F224B" w14:textId="77777777" w:rsidR="00A01915" w:rsidRPr="00986F85" w:rsidRDefault="00A01915" w:rsidP="00B04415">
      <w:pPr>
        <w:pStyle w:val="Szvegtrzs"/>
        <w:spacing w:after="0" w:line="360" w:lineRule="auto"/>
        <w:jc w:val="both"/>
        <w:rPr>
          <w:rFonts w:cs="Times New Roman"/>
          <w:szCs w:val="24"/>
        </w:rPr>
      </w:pPr>
    </w:p>
    <w:p w14:paraId="6F834566" w14:textId="77777777" w:rsidR="00220DD8" w:rsidRPr="00986F85" w:rsidRDefault="00DC57C5" w:rsidP="00B04415">
      <w:pPr>
        <w:pStyle w:val="Szvegtrzs"/>
        <w:spacing w:after="0" w:line="360" w:lineRule="auto"/>
        <w:jc w:val="both"/>
        <w:rPr>
          <w:rFonts w:cs="Times New Roman"/>
          <w:color w:val="000000"/>
        </w:rPr>
      </w:pPr>
      <w:r w:rsidRPr="00986F85">
        <w:rPr>
          <w:rFonts w:cs="Times New Roman"/>
          <w:szCs w:val="24"/>
        </w:rPr>
        <w:t>Főképp az ország dél- és észak-nyugati határpontjain, Somogyban, illetve Észak-Magyarországon található kistérségekben romlott</w:t>
      </w:r>
      <w:r w:rsidR="00B76895" w:rsidRPr="00986F85">
        <w:rPr>
          <w:rFonts w:cs="Times New Roman"/>
          <w:szCs w:val="24"/>
        </w:rPr>
        <w:t>ak</w:t>
      </w:r>
      <w:r w:rsidRPr="00986F85">
        <w:rPr>
          <w:rFonts w:cs="Times New Roman"/>
          <w:szCs w:val="24"/>
        </w:rPr>
        <w:t xml:space="preserve"> legtöbb vállalkozás </w:t>
      </w:r>
      <w:r w:rsidR="00B76895" w:rsidRPr="00986F85">
        <w:rPr>
          <w:rFonts w:cs="Times New Roman"/>
          <w:szCs w:val="24"/>
        </w:rPr>
        <w:t>fő mutatói (</w:t>
      </w:r>
      <w:r w:rsidRPr="00986F85">
        <w:rPr>
          <w:rFonts w:cs="Lucida Grande"/>
          <w:color w:val="000000"/>
        </w:rPr>
        <w:t>egy főre eső nettó árbevétel</w:t>
      </w:r>
      <w:r w:rsidRPr="00986F85">
        <w:rPr>
          <w:rFonts w:cs="Times New Roman"/>
          <w:color w:val="000000"/>
        </w:rPr>
        <w:t>, egy főre eső adózás előtti eredmény, foglalkoztatottak száma, tőkeintenzitás).</w:t>
      </w:r>
      <w:r w:rsidR="00B76895" w:rsidRPr="00986F85">
        <w:rPr>
          <w:rFonts w:cs="Times New Roman"/>
          <w:color w:val="000000"/>
        </w:rPr>
        <w:t xml:space="preserve"> </w:t>
      </w:r>
      <w:r w:rsidR="00057C73" w:rsidRPr="00986F85">
        <w:rPr>
          <w:rFonts w:cs="Times New Roman"/>
          <w:color w:val="000000"/>
        </w:rPr>
        <w:t xml:space="preserve">Ez a mintázat nem figyelhető </w:t>
      </w:r>
      <w:r w:rsidR="00B4692C" w:rsidRPr="00986F85">
        <w:rPr>
          <w:rFonts w:cs="Times New Roman"/>
          <w:color w:val="000000"/>
        </w:rPr>
        <w:t>meg a teljes időszakot átfogóan, és a válság területi vonatkozású hatásait további regressziós vizsgálatok támasztanak alá.</w:t>
      </w:r>
    </w:p>
    <w:p w14:paraId="1A0A5610" w14:textId="77777777" w:rsidR="00474873" w:rsidRPr="00986F85" w:rsidRDefault="00474873" w:rsidP="00B04415">
      <w:pPr>
        <w:pStyle w:val="Szvegtrzs"/>
        <w:spacing w:after="0" w:line="360" w:lineRule="auto"/>
        <w:jc w:val="both"/>
        <w:rPr>
          <w:rFonts w:cs="Times New Roman"/>
          <w:b/>
          <w:color w:val="000000"/>
        </w:rPr>
      </w:pPr>
    </w:p>
    <w:p w14:paraId="19946EF8" w14:textId="77777777" w:rsidR="00F24643" w:rsidRPr="00986F85" w:rsidRDefault="005657E8" w:rsidP="00F24643">
      <w:pPr>
        <w:pStyle w:val="Kpalrs"/>
        <w:keepNext/>
        <w:jc w:val="both"/>
      </w:pPr>
      <w:fldSimple w:instr=" SEQ ábra \* ARABIC ">
        <w:bookmarkStart w:id="32" w:name="_Toc230854339"/>
        <w:r w:rsidR="00CF3CEC" w:rsidRPr="00986F85">
          <w:rPr>
            <w:noProof/>
          </w:rPr>
          <w:t>7</w:t>
        </w:r>
      </w:fldSimple>
      <w:r w:rsidR="00F24643" w:rsidRPr="00986F85">
        <w:t xml:space="preserve">. ábra: </w:t>
      </w:r>
      <w:r w:rsidR="00F24643" w:rsidRPr="00986F85">
        <w:rPr>
          <w:rFonts w:cs="Times New Roman"/>
          <w:color w:val="000000"/>
        </w:rPr>
        <w:t xml:space="preserve">2008-at követően </w:t>
      </w:r>
      <w:r w:rsidR="00F24643" w:rsidRPr="00986F85">
        <w:rPr>
          <w:rFonts w:cs="Lucida Grande"/>
          <w:color w:val="000000"/>
        </w:rPr>
        <w:t>gyengébben teljesítő vállalatok kistérségi megoszlása</w:t>
      </w:r>
      <w:r w:rsidR="00F24643" w:rsidRPr="00986F85">
        <w:rPr>
          <w:rFonts w:cs="Times New Roman"/>
          <w:color w:val="000000"/>
        </w:rPr>
        <w:t>, 2009</w:t>
      </w:r>
      <w:bookmarkEnd w:id="32"/>
    </w:p>
    <w:p w14:paraId="6E71DAAF" w14:textId="77777777" w:rsidR="00461CF5" w:rsidRPr="00986F85" w:rsidRDefault="00822809" w:rsidP="00B04415">
      <w:pPr>
        <w:pStyle w:val="Szvegtrzs"/>
        <w:spacing w:after="0" w:line="360" w:lineRule="auto"/>
        <w:jc w:val="both"/>
        <w:rPr>
          <w:rFonts w:cs="Times New Roman"/>
          <w:szCs w:val="24"/>
          <w:highlight w:val="yellow"/>
        </w:rPr>
      </w:pPr>
      <w:r w:rsidRPr="00986F85">
        <w:rPr>
          <w:noProof/>
          <w:lang w:eastAsia="hu-HU"/>
        </w:rPr>
        <w:drawing>
          <wp:inline distT="0" distB="0" distL="0" distR="0" wp14:anchorId="29B71766" wp14:editId="700977BF">
            <wp:extent cx="5267325" cy="3152775"/>
            <wp:effectExtent l="19050" t="0" r="9525" b="0"/>
            <wp:docPr id="8" name="Picture 1" descr="Description: Mac HD:Users:petraedinareszketo:Downloads:2009.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 HD:Users:petraedinareszketo:Downloads:2009.emf"/>
                    <pic:cNvPicPr>
                      <a:picLocks noChangeAspect="1" noChangeArrowheads="1"/>
                    </pic:cNvPicPr>
                  </pic:nvPicPr>
                  <pic:blipFill>
                    <a:blip r:embed="rId19"/>
                    <a:srcRect/>
                    <a:stretch>
                      <a:fillRect/>
                    </a:stretch>
                  </pic:blipFill>
                  <pic:spPr bwMode="auto">
                    <a:xfrm>
                      <a:off x="0" y="0"/>
                      <a:ext cx="5267325" cy="3152775"/>
                    </a:xfrm>
                    <a:prstGeom prst="rect">
                      <a:avLst/>
                    </a:prstGeom>
                    <a:solidFill>
                      <a:srgbClr val="FFFFFF"/>
                    </a:solidFill>
                    <a:ln w="9525">
                      <a:noFill/>
                      <a:miter lim="800000"/>
                      <a:headEnd/>
                      <a:tailEnd/>
                    </a:ln>
                  </pic:spPr>
                </pic:pic>
              </a:graphicData>
            </a:graphic>
          </wp:inline>
        </w:drawing>
      </w:r>
    </w:p>
    <w:p w14:paraId="20DF6D6D" w14:textId="77777777" w:rsidR="00966D6E" w:rsidRPr="00986F85" w:rsidRDefault="00966D6E" w:rsidP="00B04415">
      <w:pPr>
        <w:pStyle w:val="Szvegtrzs"/>
        <w:spacing w:after="0" w:line="360" w:lineRule="auto"/>
        <w:jc w:val="both"/>
        <w:rPr>
          <w:rFonts w:cs="Times New Roman"/>
          <w:szCs w:val="24"/>
          <w:highlight w:val="yellow"/>
        </w:rPr>
      </w:pPr>
    </w:p>
    <w:p w14:paraId="3675C032" w14:textId="77777777" w:rsidR="00914A84" w:rsidRPr="00986F85" w:rsidRDefault="002A5599" w:rsidP="004A1D51">
      <w:pPr>
        <w:pStyle w:val="Szvegtrzs"/>
        <w:spacing w:after="0" w:line="360" w:lineRule="auto"/>
        <w:jc w:val="center"/>
        <w:rPr>
          <w:rFonts w:cs="Times New Roman"/>
          <w:i/>
          <w:color w:val="000000"/>
        </w:rPr>
      </w:pPr>
      <w:r w:rsidRPr="00986F85">
        <w:rPr>
          <w:rFonts w:cs="Times New Roman"/>
          <w:i/>
          <w:color w:val="000000"/>
        </w:rPr>
        <w:t>Forrás: NAV adabázis,  saját számítás</w:t>
      </w:r>
    </w:p>
    <w:p w14:paraId="5E5B1095" w14:textId="77777777" w:rsidR="00F24643" w:rsidRPr="00986F85" w:rsidRDefault="005657E8" w:rsidP="00F24643">
      <w:pPr>
        <w:pStyle w:val="Kpalrs"/>
        <w:keepNext/>
        <w:jc w:val="both"/>
      </w:pPr>
      <w:fldSimple w:instr=" SEQ ábra \* ARABIC ">
        <w:bookmarkStart w:id="33" w:name="_Toc230854340"/>
        <w:r w:rsidR="00CF3CEC" w:rsidRPr="00986F85">
          <w:rPr>
            <w:noProof/>
          </w:rPr>
          <w:t>8</w:t>
        </w:r>
      </w:fldSimple>
      <w:r w:rsidR="00F24643" w:rsidRPr="00986F85">
        <w:t xml:space="preserve">. ábra: </w:t>
      </w:r>
      <w:r w:rsidR="00F24643" w:rsidRPr="00986F85">
        <w:rPr>
          <w:rFonts w:cs="Times New Roman"/>
          <w:color w:val="000000"/>
        </w:rPr>
        <w:t xml:space="preserve">Kiinduló évet követően </w:t>
      </w:r>
      <w:r w:rsidR="00F24643" w:rsidRPr="00986F85">
        <w:rPr>
          <w:rFonts w:cs="Lucida Grande"/>
          <w:color w:val="000000"/>
        </w:rPr>
        <w:t>gyengébben teljesítő vállalatok kistérségi megoszlása</w:t>
      </w:r>
      <w:r w:rsidR="00F24643" w:rsidRPr="00986F85">
        <w:rPr>
          <w:rFonts w:cs="Times New Roman"/>
          <w:color w:val="000000"/>
        </w:rPr>
        <w:t>, 2011</w:t>
      </w:r>
      <w:bookmarkEnd w:id="33"/>
    </w:p>
    <w:p w14:paraId="66981CD6" w14:textId="77777777" w:rsidR="00914A84" w:rsidRPr="00986F85" w:rsidRDefault="00822809" w:rsidP="00B04415">
      <w:pPr>
        <w:pStyle w:val="Szvegtrzs"/>
        <w:spacing w:after="0" w:line="360" w:lineRule="auto"/>
        <w:jc w:val="both"/>
        <w:rPr>
          <w:rFonts w:cs="Times New Roman"/>
          <w:b/>
          <w:color w:val="000000"/>
        </w:rPr>
      </w:pPr>
      <w:r w:rsidRPr="00986F85">
        <w:rPr>
          <w:noProof/>
          <w:lang w:eastAsia="hu-HU"/>
        </w:rPr>
        <w:drawing>
          <wp:inline distT="0" distB="0" distL="0" distR="0" wp14:anchorId="3643D678" wp14:editId="63878BA3">
            <wp:extent cx="5267325" cy="3162300"/>
            <wp:effectExtent l="0" t="0" r="9525" b="0"/>
            <wp:docPr id="9" name="Picture 2" descr="Description: Mac HD:Users:petraedinareszketo:Downloads:201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ac HD:Users:petraedinareszketo:Downloads:2011.emf"/>
                    <pic:cNvPicPr>
                      <a:picLocks noChangeAspect="1" noChangeArrowheads="1"/>
                    </pic:cNvPicPr>
                  </pic:nvPicPr>
                  <pic:blipFill>
                    <a:blip r:embed="rId20"/>
                    <a:srcRect/>
                    <a:stretch>
                      <a:fillRect/>
                    </a:stretch>
                  </pic:blipFill>
                  <pic:spPr bwMode="auto">
                    <a:xfrm>
                      <a:off x="0" y="0"/>
                      <a:ext cx="5267325" cy="3162300"/>
                    </a:xfrm>
                    <a:prstGeom prst="rect">
                      <a:avLst/>
                    </a:prstGeom>
                    <a:noFill/>
                    <a:ln w="9525">
                      <a:noFill/>
                      <a:miter lim="800000"/>
                      <a:headEnd/>
                      <a:tailEnd/>
                    </a:ln>
                  </pic:spPr>
                </pic:pic>
              </a:graphicData>
            </a:graphic>
          </wp:inline>
        </w:drawing>
      </w:r>
    </w:p>
    <w:p w14:paraId="74972F7B" w14:textId="77777777" w:rsidR="002A5599" w:rsidRPr="00986F85" w:rsidRDefault="002A5599" w:rsidP="002A5599">
      <w:pPr>
        <w:pStyle w:val="Szvegtrzs"/>
        <w:spacing w:after="0" w:line="360" w:lineRule="auto"/>
        <w:jc w:val="center"/>
        <w:rPr>
          <w:rFonts w:cs="Times New Roman"/>
          <w:i/>
          <w:color w:val="000000"/>
        </w:rPr>
      </w:pPr>
      <w:r w:rsidRPr="00986F85">
        <w:rPr>
          <w:rFonts w:cs="Times New Roman"/>
          <w:i/>
          <w:color w:val="000000"/>
        </w:rPr>
        <w:t>Forrás: NAV adabázis,  saját számítás</w:t>
      </w:r>
    </w:p>
    <w:p w14:paraId="6705778B" w14:textId="77777777" w:rsidR="002A5599" w:rsidRPr="00986F85" w:rsidRDefault="002A5599" w:rsidP="00B04415">
      <w:pPr>
        <w:pStyle w:val="Szvegtrzs"/>
        <w:spacing w:after="0" w:line="360" w:lineRule="auto"/>
        <w:jc w:val="both"/>
        <w:rPr>
          <w:rFonts w:cs="Times New Roman"/>
          <w:b/>
          <w:color w:val="000000"/>
        </w:rPr>
      </w:pPr>
    </w:p>
    <w:p w14:paraId="57C8050F" w14:textId="77777777" w:rsidR="00147B53" w:rsidRPr="00986F85" w:rsidRDefault="00147B53" w:rsidP="00AF58D1"/>
    <w:p w14:paraId="2F76EA11" w14:textId="77777777" w:rsidR="003A00A8" w:rsidRPr="00986F85" w:rsidRDefault="003A00A8" w:rsidP="00250F38">
      <w:pPr>
        <w:pStyle w:val="Cmsor1"/>
        <w:spacing w:before="0" w:after="0" w:line="360" w:lineRule="auto"/>
        <w:jc w:val="both"/>
        <w:rPr>
          <w:szCs w:val="24"/>
        </w:rPr>
        <w:sectPr w:rsidR="003A00A8" w:rsidRPr="00986F85" w:rsidSect="0015414F">
          <w:pgSz w:w="11906" w:h="16838" w:code="9"/>
          <w:pgMar w:top="1418" w:right="1418" w:bottom="1418" w:left="1418" w:header="720" w:footer="720" w:gutter="0"/>
          <w:cols w:space="720"/>
          <w:docGrid w:linePitch="360"/>
        </w:sectPr>
      </w:pPr>
    </w:p>
    <w:p w14:paraId="7FFE4AF0" w14:textId="77777777" w:rsidR="001155BA" w:rsidRPr="00986F85" w:rsidRDefault="00382690" w:rsidP="00250F38">
      <w:pPr>
        <w:pStyle w:val="Cmsor1"/>
        <w:spacing w:before="0" w:after="0" w:line="360" w:lineRule="auto"/>
        <w:jc w:val="both"/>
        <w:rPr>
          <w:szCs w:val="24"/>
        </w:rPr>
      </w:pPr>
      <w:bookmarkStart w:id="34" w:name="_Toc230854318"/>
      <w:r w:rsidRPr="00986F85">
        <w:rPr>
          <w:szCs w:val="24"/>
        </w:rPr>
        <w:lastRenderedPageBreak/>
        <w:t xml:space="preserve">IV. </w:t>
      </w:r>
      <w:r w:rsidR="0076036B" w:rsidRPr="00986F85">
        <w:rPr>
          <w:szCs w:val="24"/>
        </w:rPr>
        <w:t>HATÁSVIZSGÁLAT</w:t>
      </w:r>
      <w:bookmarkEnd w:id="34"/>
    </w:p>
    <w:p w14:paraId="598DE54D" w14:textId="77777777" w:rsidR="00250F38" w:rsidRPr="00986F85" w:rsidRDefault="00250F38" w:rsidP="00250F38"/>
    <w:p w14:paraId="33A2AE97" w14:textId="77777777" w:rsidR="0076036B" w:rsidRPr="00986F85" w:rsidRDefault="005317BA" w:rsidP="00B04415">
      <w:pPr>
        <w:pStyle w:val="Cmsor2"/>
        <w:spacing w:before="0" w:after="0" w:line="360" w:lineRule="auto"/>
        <w:jc w:val="both"/>
        <w:rPr>
          <w:rFonts w:ascii="Myriad Pro" w:hAnsi="Myriad Pro"/>
          <w:szCs w:val="24"/>
        </w:rPr>
      </w:pPr>
      <w:bookmarkStart w:id="35" w:name="_Toc230854319"/>
      <w:r w:rsidRPr="00986F85">
        <w:rPr>
          <w:rFonts w:ascii="Myriad Pro" w:hAnsi="Myriad Pro"/>
          <w:szCs w:val="24"/>
        </w:rPr>
        <w:t>ALKALMAZOTT</w:t>
      </w:r>
      <w:r w:rsidR="0076036B" w:rsidRPr="00986F85">
        <w:rPr>
          <w:rFonts w:ascii="Myriad Pro" w:hAnsi="Myriad Pro"/>
          <w:szCs w:val="24"/>
        </w:rPr>
        <w:t xml:space="preserve"> MODEL</w:t>
      </w:r>
      <w:r w:rsidR="000E31EB" w:rsidRPr="00986F85">
        <w:rPr>
          <w:rFonts w:ascii="Myriad Pro" w:hAnsi="Myriad Pro"/>
          <w:szCs w:val="24"/>
        </w:rPr>
        <w:t>LEK</w:t>
      </w:r>
      <w:bookmarkEnd w:id="35"/>
    </w:p>
    <w:p w14:paraId="031094C0" w14:textId="77777777" w:rsidR="005127CF" w:rsidRPr="00986F85" w:rsidRDefault="005127CF" w:rsidP="005127CF">
      <w:pPr>
        <w:pStyle w:val="Szvegtrzs"/>
        <w:spacing w:after="0" w:line="360" w:lineRule="auto"/>
        <w:jc w:val="both"/>
        <w:rPr>
          <w:rFonts w:cs="Times New Roman"/>
          <w:b/>
          <w:szCs w:val="24"/>
        </w:rPr>
      </w:pPr>
      <w:r w:rsidRPr="00986F85">
        <w:rPr>
          <w:rFonts w:cs="Times New Roman"/>
          <w:b/>
          <w:szCs w:val="24"/>
        </w:rPr>
        <w:t>Szelekciós modell</w:t>
      </w:r>
    </w:p>
    <w:p w14:paraId="2E273E93" w14:textId="77777777" w:rsidR="005127CF" w:rsidRPr="00986F85" w:rsidRDefault="005127CF" w:rsidP="005127CF">
      <w:pPr>
        <w:pStyle w:val="Szvegtrzs"/>
        <w:spacing w:after="0" w:line="360" w:lineRule="auto"/>
        <w:jc w:val="both"/>
        <w:rPr>
          <w:rFonts w:cs="Times New Roman"/>
          <w:szCs w:val="24"/>
        </w:rPr>
      </w:pPr>
      <w:r w:rsidRPr="00986F85">
        <w:rPr>
          <w:rFonts w:cs="Times New Roman"/>
          <w:szCs w:val="24"/>
        </w:rPr>
        <w:t xml:space="preserve">A hipotéziseink első csoportja arra vonatkozik, mely tulajdonságok mentén válnak nyertessé a vállalatok </w:t>
      </w:r>
      <w:r w:rsidR="00CC0048" w:rsidRPr="00986F85">
        <w:rPr>
          <w:rFonts w:cs="Times New Roman"/>
          <w:szCs w:val="24"/>
        </w:rPr>
        <w:t>a vizsgált időszakban</w:t>
      </w:r>
      <w:r w:rsidRPr="00986F85">
        <w:rPr>
          <w:rFonts w:cs="Times New Roman"/>
          <w:szCs w:val="24"/>
        </w:rPr>
        <w:t>. Ennek meghatározásához olyan</w:t>
      </w:r>
      <w:r w:rsidR="00CC0048" w:rsidRPr="00986F85">
        <w:rPr>
          <w:rFonts w:cs="Times New Roman"/>
          <w:szCs w:val="24"/>
        </w:rPr>
        <w:t xml:space="preserve"> probit</w:t>
      </w:r>
      <w:r w:rsidR="00DA671B" w:rsidRPr="00986F85">
        <w:rPr>
          <w:rFonts w:cs="Times New Roman"/>
          <w:szCs w:val="24"/>
        </w:rPr>
        <w:t>/ logit</w:t>
      </w:r>
      <w:r w:rsidR="00CC0048" w:rsidRPr="00986F85">
        <w:rPr>
          <w:rFonts w:cs="Times New Roman"/>
          <w:szCs w:val="24"/>
        </w:rPr>
        <w:t xml:space="preserve"> modelleket futtatt</w:t>
      </w:r>
      <w:r w:rsidRPr="00986F85">
        <w:rPr>
          <w:rFonts w:cs="Times New Roman"/>
          <w:szCs w:val="24"/>
        </w:rPr>
        <w:t>unk, ahol a függő változó egy olyan bináris változó, melynek értéke 1, ha a vállalat bármikor a v</w:t>
      </w:r>
      <w:r w:rsidR="00F11D3D" w:rsidRPr="00986F85">
        <w:rPr>
          <w:rFonts w:cs="Times New Roman"/>
          <w:szCs w:val="24"/>
        </w:rPr>
        <w:t>izsgált időszak alatt (2007-2011</w:t>
      </w:r>
      <w:r w:rsidRPr="00986F85">
        <w:rPr>
          <w:rFonts w:cs="Times New Roman"/>
          <w:szCs w:val="24"/>
        </w:rPr>
        <w:t xml:space="preserve">) nyert pályázatot, és 0, ha </w:t>
      </w:r>
      <w:r w:rsidR="00DA671B" w:rsidRPr="00986F85">
        <w:rPr>
          <w:rFonts w:cs="Times New Roman"/>
          <w:szCs w:val="24"/>
        </w:rPr>
        <w:t>n</w:t>
      </w:r>
      <w:r w:rsidRPr="00986F85">
        <w:rPr>
          <w:rFonts w:cs="Times New Roman"/>
          <w:szCs w:val="24"/>
        </w:rPr>
        <w:t xml:space="preserve">em. A 2006-os az egyetlen olyan év, amelyről van mérlegadatunk, és még </w:t>
      </w:r>
      <w:r w:rsidR="00DA671B" w:rsidRPr="00986F85">
        <w:rPr>
          <w:rFonts w:cs="Times New Roman"/>
          <w:szCs w:val="24"/>
        </w:rPr>
        <w:t xml:space="preserve">senki sem </w:t>
      </w:r>
      <w:r w:rsidRPr="00986F85">
        <w:rPr>
          <w:rFonts w:cs="Times New Roman"/>
          <w:szCs w:val="24"/>
        </w:rPr>
        <w:t>nyert számunkra releváns pályázatot. Így a szelekciós modellbe</w:t>
      </w:r>
      <w:r w:rsidR="00DA671B" w:rsidRPr="00986F85">
        <w:rPr>
          <w:rFonts w:cs="Times New Roman"/>
          <w:szCs w:val="24"/>
        </w:rPr>
        <w:t>n</w:t>
      </w:r>
      <w:r w:rsidRPr="00986F85">
        <w:rPr>
          <w:rFonts w:cs="Times New Roman"/>
          <w:szCs w:val="24"/>
        </w:rPr>
        <w:t xml:space="preserve"> a magyarázó változók 2006</w:t>
      </w:r>
      <w:r w:rsidR="005270DD" w:rsidRPr="00986F85">
        <w:rPr>
          <w:rFonts w:cs="Times New Roman"/>
          <w:szCs w:val="24"/>
        </w:rPr>
        <w:t xml:space="preserve">. évi </w:t>
      </w:r>
      <w:r w:rsidRPr="00986F85">
        <w:rPr>
          <w:rFonts w:cs="Times New Roman"/>
          <w:szCs w:val="24"/>
        </w:rPr>
        <w:t xml:space="preserve">szintjeit vehettük figyelembe.   </w:t>
      </w:r>
    </w:p>
    <w:p w14:paraId="3298696B" w14:textId="77777777" w:rsidR="00CC0048" w:rsidRPr="00986F85" w:rsidRDefault="00CC0048" w:rsidP="005127CF">
      <w:pPr>
        <w:pStyle w:val="Szvegtrzs"/>
        <w:spacing w:after="0" w:line="360" w:lineRule="auto"/>
        <w:jc w:val="both"/>
        <w:rPr>
          <w:rFonts w:cs="Times New Roman"/>
          <w:szCs w:val="24"/>
        </w:rPr>
      </w:pPr>
    </w:p>
    <w:p w14:paraId="1C10FA73" w14:textId="77777777" w:rsidR="005127CF" w:rsidRPr="00986F85" w:rsidRDefault="005127CF" w:rsidP="005127CF">
      <w:pPr>
        <w:pStyle w:val="Szvegtrzs"/>
        <w:spacing w:after="0" w:line="360" w:lineRule="auto"/>
        <w:jc w:val="both"/>
        <w:rPr>
          <w:rFonts w:cs="Times New Roman"/>
          <w:szCs w:val="24"/>
        </w:rPr>
      </w:pPr>
      <w:r w:rsidRPr="00986F85">
        <w:rPr>
          <w:rFonts w:cs="Times New Roman"/>
          <w:szCs w:val="24"/>
        </w:rPr>
        <w:t>A probit</w:t>
      </w:r>
      <w:r w:rsidR="00DA671B" w:rsidRPr="00986F85">
        <w:rPr>
          <w:rFonts w:cs="Times New Roman"/>
          <w:szCs w:val="24"/>
        </w:rPr>
        <w:t>/ logit</w:t>
      </w:r>
      <w:r w:rsidRPr="00986F85">
        <w:rPr>
          <w:rFonts w:cs="Times New Roman"/>
          <w:szCs w:val="24"/>
        </w:rPr>
        <w:t xml:space="preserve"> modellek egyik lehetséges megközelítése az, hogy feltesszük: létezik egy ne</w:t>
      </w:r>
      <w:r w:rsidR="002C31CA" w:rsidRPr="00986F85">
        <w:rPr>
          <w:rFonts w:cs="Times New Roman"/>
          <w:szCs w:val="24"/>
        </w:rPr>
        <w:t>m megfigyelhető függő változó (Y</w:t>
      </w:r>
      <w:r w:rsidRPr="00986F85">
        <w:rPr>
          <w:rFonts w:cs="Times New Roman"/>
          <w:szCs w:val="24"/>
        </w:rPr>
        <w:t>*) és a regressziós egyenlet a következő formát ölti:</w:t>
      </w:r>
    </w:p>
    <w:p w14:paraId="5264D9AE" w14:textId="77777777" w:rsidR="005127CF" w:rsidRPr="00986F85" w:rsidRDefault="00704A6C" w:rsidP="005127CF">
      <w:pPr>
        <w:pStyle w:val="Szvegtrzs"/>
        <w:spacing w:after="0" w:line="360" w:lineRule="auto"/>
        <w:jc w:val="both"/>
        <w:rPr>
          <w:rFonts w:cs="Times New Roman"/>
          <w:szCs w:val="24"/>
        </w:rPr>
      </w:pPr>
      <w:r w:rsidRPr="00986F85">
        <w:rPr>
          <w:rFonts w:cs="Times New Roman"/>
          <w:szCs w:val="24"/>
        </w:rPr>
        <w:t>(</w:t>
      </w:r>
      <w:r w:rsidR="005127CF" w:rsidRPr="00986F85">
        <w:rPr>
          <w:rFonts w:cs="Times New Roman"/>
          <w:szCs w:val="24"/>
        </w:rPr>
        <w:t>1)</w:t>
      </w:r>
      <w:r w:rsidRPr="00986F85">
        <w:rPr>
          <w:rFonts w:cs="Times New Roman"/>
          <w:szCs w:val="24"/>
        </w:rPr>
        <w:tab/>
      </w:r>
      <w:r w:rsidR="005127CF" w:rsidRPr="00986F85">
        <w:rPr>
          <w:rFonts w:cs="Times New Roman"/>
          <w:szCs w:val="24"/>
        </w:rPr>
        <w:t xml:space="preserve"> </w:t>
      </w:r>
      <m:oMath>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k</m:t>
            </m:r>
          </m:sup>
          <m:e>
            <m:sSub>
              <m:sSubPr>
                <m:ctrlPr>
                  <w:rPr>
                    <w:rFonts w:ascii="Cambria Math" w:hAnsi="Cambria Math"/>
                    <w:i/>
                  </w:rPr>
                </m:ctrlPr>
              </m:sSubPr>
              <m:e>
                <m:r>
                  <w:rPr>
                    <w:rFonts w:ascii="Cambria Math" w:hAnsi="Cambria Math"/>
                  </w:rPr>
                  <m:t>β</m:t>
                </m:r>
              </m:e>
              <m:sub>
                <m:r>
                  <w:rPr>
                    <w:rFonts w:ascii="Cambria Math" w:hAnsi="Cambria Math"/>
                  </w:rPr>
                  <m:t>j</m:t>
                </m:r>
              </m:sub>
            </m:sSub>
          </m:e>
        </m:nary>
        <m:sSub>
          <m:sSubPr>
            <m:ctrlPr>
              <w:rPr>
                <w:rFonts w:ascii="Cambria Math" w:hAnsi="Cambria Math"/>
                <w:i/>
              </w:rPr>
            </m:ctrlPr>
          </m:sSubPr>
          <m:e>
            <m:r>
              <w:rPr>
                <w:rFonts w:ascii="Cambria Math" w:hAnsi="Cambria Math"/>
              </w:rPr>
              <m:t>x</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ij</m:t>
            </m:r>
          </m:sub>
        </m:sSub>
      </m:oMath>
    </w:p>
    <w:p w14:paraId="01FFC221" w14:textId="77777777" w:rsidR="005127CF" w:rsidRPr="00986F85" w:rsidRDefault="005127CF" w:rsidP="005127CF">
      <w:pPr>
        <w:pStyle w:val="Szvegtrzs"/>
        <w:spacing w:after="0" w:line="360" w:lineRule="auto"/>
        <w:jc w:val="both"/>
        <w:rPr>
          <w:rFonts w:cs="Times New Roman"/>
          <w:szCs w:val="24"/>
        </w:rPr>
      </w:pPr>
      <w:r w:rsidRPr="00986F85">
        <w:rPr>
          <w:rFonts w:cs="Times New Roman"/>
          <w:szCs w:val="24"/>
        </w:rPr>
        <w:t xml:space="preserve">Amit megfigyelünk, az egy </w:t>
      </w:r>
      <w:r w:rsidR="00C93906" w:rsidRPr="00986F85">
        <w:rPr>
          <w:rFonts w:cs="Times New Roman"/>
          <w:szCs w:val="24"/>
        </w:rPr>
        <w:t>kétértékű</w:t>
      </w:r>
      <w:r w:rsidRPr="00986F85">
        <w:rPr>
          <w:rFonts w:cs="Times New Roman"/>
          <w:szCs w:val="24"/>
        </w:rPr>
        <w:t xml:space="preserve"> függő változó (</w:t>
      </w:r>
      <m:oMath>
        <m:sSub>
          <m:sSubPr>
            <m:ctrlPr>
              <w:rPr>
                <w:rFonts w:ascii="Cambria Math" w:hAnsi="Cambria Math"/>
                <w:i/>
              </w:rPr>
            </m:ctrlPr>
          </m:sSubPr>
          <m:e>
            <m:r>
              <w:rPr>
                <w:rFonts w:ascii="Cambria Math" w:hAnsi="Cambria Math"/>
              </w:rPr>
              <m:t>Y</m:t>
            </m:r>
          </m:e>
          <m:sub>
            <m:r>
              <w:rPr>
                <w:rFonts w:ascii="Cambria Math" w:hAnsi="Cambria Math"/>
              </w:rPr>
              <m:t>i</m:t>
            </m:r>
          </m:sub>
        </m:sSub>
      </m:oMath>
      <w:r w:rsidRPr="00986F85">
        <w:rPr>
          <w:rFonts w:cs="Times New Roman"/>
          <w:szCs w:val="24"/>
        </w:rPr>
        <w:t xml:space="preserve">), melynek értéke 1, ha </w:t>
      </w:r>
      <m:oMath>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&gt;0</m:t>
        </m:r>
      </m:oMath>
      <w:r w:rsidRPr="00986F85">
        <w:rPr>
          <w:rFonts w:cs="Times New Roman"/>
          <w:szCs w:val="24"/>
        </w:rPr>
        <w:t xml:space="preserve">, egyébként 0. A </w:t>
      </w:r>
      <w:r w:rsidR="00CC0048" w:rsidRPr="00986F85">
        <w:rPr>
          <w:rFonts w:cs="Times New Roman"/>
          <w:szCs w:val="24"/>
        </w:rPr>
        <w:t>probit és a logit modellek az (</w:t>
      </w:r>
      <w:r w:rsidRPr="00986F85">
        <w:rPr>
          <w:rFonts w:cs="Times New Roman"/>
          <w:szCs w:val="24"/>
        </w:rPr>
        <w:t>1) egyenlet hibatagjának a specifi</w:t>
      </w:r>
      <w:r w:rsidR="00CC0048" w:rsidRPr="00986F85">
        <w:rPr>
          <w:rFonts w:cs="Times New Roman"/>
          <w:szCs w:val="24"/>
        </w:rPr>
        <w:t>kációjában különböznek. Ha az (</w:t>
      </w:r>
      <w:r w:rsidRPr="00986F85">
        <w:rPr>
          <w:rFonts w:cs="Times New Roman"/>
          <w:szCs w:val="24"/>
        </w:rPr>
        <w:t xml:space="preserve">1) egyenlet </w:t>
      </w:r>
      <m:oMath>
        <m:sSub>
          <m:sSubPr>
            <m:ctrlPr>
              <w:rPr>
                <w:rFonts w:ascii="Cambria Math" w:hAnsi="Cambria Math"/>
                <w:i/>
              </w:rPr>
            </m:ctrlPr>
          </m:sSubPr>
          <m:e>
            <m:r>
              <w:rPr>
                <w:rFonts w:ascii="Cambria Math" w:hAnsi="Cambria Math"/>
              </w:rPr>
              <m:t>u</m:t>
            </m:r>
          </m:e>
          <m:sub>
            <m:r>
              <w:rPr>
                <w:rFonts w:ascii="Cambria Math" w:hAnsi="Cambria Math"/>
              </w:rPr>
              <m:t>ij</m:t>
            </m:r>
          </m:sub>
        </m:sSub>
      </m:oMath>
      <w:r w:rsidRPr="00986F85">
        <w:rPr>
          <w:rFonts w:cs="Times New Roman"/>
          <w:szCs w:val="24"/>
        </w:rPr>
        <w:t xml:space="preserve"> hibatagjai normális eloszlásúak, akkor probit modellt kapunk, ha az eloszlás logisztikus, akkor logit modellt. Mivel a normáli</w:t>
      </w:r>
      <w:r w:rsidR="00FC6742" w:rsidRPr="00986F85">
        <w:rPr>
          <w:rFonts w:cs="Times New Roman"/>
          <w:szCs w:val="24"/>
        </w:rPr>
        <w:t>s és logisztikus eloszlás széle</w:t>
      </w:r>
      <w:r w:rsidRPr="00986F85">
        <w:rPr>
          <w:rFonts w:cs="Times New Roman"/>
          <w:szCs w:val="24"/>
        </w:rPr>
        <w:t xml:space="preserve">ktől eltekintve igen hasonló egymáshoz, a két modell a gyakorlatban általában közel azonos becslést eredményez. </w:t>
      </w:r>
    </w:p>
    <w:p w14:paraId="4BC71E44" w14:textId="77777777" w:rsidR="00CC0048" w:rsidRPr="00986F85" w:rsidRDefault="00CC0048" w:rsidP="005127CF">
      <w:pPr>
        <w:pStyle w:val="Szvegtrzs"/>
        <w:spacing w:after="0" w:line="360" w:lineRule="auto"/>
        <w:jc w:val="both"/>
        <w:rPr>
          <w:rFonts w:cs="Times New Roman"/>
          <w:szCs w:val="24"/>
        </w:rPr>
      </w:pPr>
    </w:p>
    <w:p w14:paraId="30E0EBFA" w14:textId="77777777" w:rsidR="005127CF" w:rsidRPr="00986F85" w:rsidRDefault="005127CF" w:rsidP="005127CF">
      <w:pPr>
        <w:pStyle w:val="Szvegtrzs"/>
        <w:spacing w:after="0" w:line="360" w:lineRule="auto"/>
        <w:jc w:val="both"/>
        <w:rPr>
          <w:rFonts w:cs="Times New Roman"/>
          <w:szCs w:val="24"/>
        </w:rPr>
      </w:pPr>
      <w:r w:rsidRPr="00986F85">
        <w:rPr>
          <w:rFonts w:cs="Times New Roman"/>
          <w:szCs w:val="24"/>
        </w:rPr>
        <w:t xml:space="preserve">Ez történt jelen esetben is. A </w:t>
      </w:r>
      <w:r w:rsidR="00075784" w:rsidRPr="00986F85">
        <w:rPr>
          <w:rFonts w:cs="Times New Roman"/>
          <w:szCs w:val="24"/>
        </w:rPr>
        <w:t>probit</w:t>
      </w:r>
      <w:r w:rsidRPr="00986F85">
        <w:rPr>
          <w:rFonts w:cs="Times New Roman"/>
          <w:szCs w:val="24"/>
        </w:rPr>
        <w:t xml:space="preserve"> modell mellett futtattunk </w:t>
      </w:r>
      <w:r w:rsidR="00075784" w:rsidRPr="00986F85">
        <w:rPr>
          <w:rFonts w:cs="Times New Roman"/>
          <w:szCs w:val="24"/>
        </w:rPr>
        <w:t>logit</w:t>
      </w:r>
      <w:r w:rsidRPr="00986F85">
        <w:rPr>
          <w:rFonts w:cs="Times New Roman"/>
          <w:szCs w:val="24"/>
        </w:rPr>
        <w:t xml:space="preserve"> modellt is és megállapítottuk, hogy az nem ad lényegesen eltérő eredményt a magyarázó változók koefficienseiben, de az illeszkedése rosszabb, mint a </w:t>
      </w:r>
      <w:r w:rsidR="003C6C33" w:rsidRPr="00986F85">
        <w:rPr>
          <w:rFonts w:cs="Times New Roman"/>
          <w:szCs w:val="24"/>
        </w:rPr>
        <w:t>probit</w:t>
      </w:r>
      <w:r w:rsidRPr="00986F85">
        <w:rPr>
          <w:rFonts w:cs="Times New Roman"/>
          <w:szCs w:val="24"/>
        </w:rPr>
        <w:t xml:space="preserve"> modellnek. A modell főbb magyarázó változói az iparági dummy-k, a cég kora, létszáma, </w:t>
      </w:r>
      <w:r w:rsidR="00B67C5B" w:rsidRPr="00986F85">
        <w:rPr>
          <w:rFonts w:cs="Times New Roman"/>
          <w:szCs w:val="24"/>
        </w:rPr>
        <w:t>pénzügyi mutatói (pl. jegyzett tőke, árbevétel, likviditás, nyereségesség, tőkeintenzitás)</w:t>
      </w:r>
      <w:r w:rsidRPr="00986F85">
        <w:rPr>
          <w:rFonts w:cs="Times New Roman"/>
          <w:szCs w:val="24"/>
        </w:rPr>
        <w:t xml:space="preserve">, </w:t>
      </w:r>
      <w:r w:rsidR="00B67C5B" w:rsidRPr="00986F85">
        <w:rPr>
          <w:rFonts w:cs="Times New Roman"/>
          <w:szCs w:val="24"/>
        </w:rPr>
        <w:t xml:space="preserve">készletállománya és </w:t>
      </w:r>
      <w:r w:rsidRPr="00986F85">
        <w:rPr>
          <w:rFonts w:cs="Times New Roman"/>
          <w:szCs w:val="24"/>
        </w:rPr>
        <w:t xml:space="preserve">kötelezettségei, </w:t>
      </w:r>
      <w:r w:rsidR="008B1FCD" w:rsidRPr="00986F85">
        <w:rPr>
          <w:rFonts w:cs="Times New Roman"/>
          <w:szCs w:val="24"/>
        </w:rPr>
        <w:t>LHH</w:t>
      </w:r>
      <w:r w:rsidRPr="00986F85">
        <w:rPr>
          <w:rFonts w:cs="Times New Roman"/>
          <w:szCs w:val="24"/>
        </w:rPr>
        <w:t xml:space="preserve">33 kistésrég dummy, </w:t>
      </w:r>
      <w:r w:rsidR="00B67C5B" w:rsidRPr="00986F85">
        <w:rPr>
          <w:rFonts w:cs="Times New Roman"/>
          <w:szCs w:val="24"/>
        </w:rPr>
        <w:t xml:space="preserve">munkerő mutatói (létszám, </w:t>
      </w:r>
      <w:r w:rsidRPr="00986F85">
        <w:rPr>
          <w:rFonts w:cs="Times New Roman"/>
          <w:szCs w:val="24"/>
        </w:rPr>
        <w:t xml:space="preserve">átlagbér </w:t>
      </w:r>
      <w:r w:rsidR="00B67C5B" w:rsidRPr="00986F85">
        <w:rPr>
          <w:rFonts w:cs="Times New Roman"/>
          <w:szCs w:val="24"/>
        </w:rPr>
        <w:t xml:space="preserve">– lásd </w:t>
      </w:r>
      <w:r w:rsidRPr="00986F85">
        <w:rPr>
          <w:rFonts w:cs="Times New Roman"/>
          <w:szCs w:val="24"/>
        </w:rPr>
        <w:t>a</w:t>
      </w:r>
      <w:r w:rsidR="00B67C5B" w:rsidRPr="00986F85">
        <w:rPr>
          <w:rFonts w:cs="Times New Roman"/>
          <w:szCs w:val="24"/>
        </w:rPr>
        <w:t>z</w:t>
      </w:r>
      <w:r w:rsidRPr="00986F85">
        <w:rPr>
          <w:rFonts w:cs="Times New Roman"/>
          <w:szCs w:val="24"/>
        </w:rPr>
        <w:t xml:space="preserve"> összes személyi ráfor</w:t>
      </w:r>
      <w:r w:rsidR="00B67C5B" w:rsidRPr="00986F85">
        <w:rPr>
          <w:rFonts w:cs="Times New Roman"/>
          <w:szCs w:val="24"/>
        </w:rPr>
        <w:t xml:space="preserve">dítás és a létszám hányadosa), illetve egy specifikációban figyelembe vettük az export-orientációt is (export bevétel/árbevétel). </w:t>
      </w:r>
    </w:p>
    <w:p w14:paraId="3FC9950F" w14:textId="77777777" w:rsidR="008F3C32" w:rsidRPr="00986F85" w:rsidRDefault="008F3C32" w:rsidP="005127CF">
      <w:pPr>
        <w:pStyle w:val="Szvegtrzs"/>
        <w:spacing w:after="0" w:line="360" w:lineRule="auto"/>
        <w:jc w:val="both"/>
        <w:rPr>
          <w:rFonts w:cs="Times New Roman"/>
          <w:b/>
          <w:szCs w:val="24"/>
        </w:rPr>
      </w:pPr>
    </w:p>
    <w:p w14:paraId="336845FA" w14:textId="77777777" w:rsidR="005127CF" w:rsidRPr="00986F85" w:rsidRDefault="005127CF" w:rsidP="005127CF">
      <w:pPr>
        <w:pStyle w:val="Szvegtrzs"/>
        <w:spacing w:after="0" w:line="360" w:lineRule="auto"/>
        <w:jc w:val="both"/>
        <w:rPr>
          <w:rFonts w:cs="Times New Roman"/>
          <w:b/>
          <w:szCs w:val="24"/>
        </w:rPr>
      </w:pPr>
      <w:r w:rsidRPr="00986F85">
        <w:rPr>
          <w:rFonts w:cs="Times New Roman"/>
          <w:b/>
          <w:szCs w:val="24"/>
        </w:rPr>
        <w:t>Hatáselemzéshez alkalmazott modellek</w:t>
      </w:r>
    </w:p>
    <w:p w14:paraId="42516661" w14:textId="77777777" w:rsidR="005127CF" w:rsidRPr="00986F85" w:rsidRDefault="005127CF" w:rsidP="005127CF">
      <w:pPr>
        <w:pStyle w:val="Szvegtrzs"/>
        <w:spacing w:after="0" w:line="360" w:lineRule="auto"/>
        <w:jc w:val="both"/>
        <w:rPr>
          <w:rFonts w:cs="Times New Roman"/>
          <w:szCs w:val="24"/>
        </w:rPr>
      </w:pPr>
      <w:r w:rsidRPr="00986F85">
        <w:rPr>
          <w:rFonts w:cs="Times New Roman"/>
          <w:szCs w:val="24"/>
        </w:rPr>
        <w:t xml:space="preserve">A hatáselemzéshez több modellt </w:t>
      </w:r>
      <w:r w:rsidR="003C6C33" w:rsidRPr="00986F85">
        <w:rPr>
          <w:rFonts w:cs="Times New Roman"/>
          <w:szCs w:val="24"/>
        </w:rPr>
        <w:t xml:space="preserve">is </w:t>
      </w:r>
      <w:r w:rsidRPr="00986F85">
        <w:rPr>
          <w:rFonts w:cs="Times New Roman"/>
          <w:szCs w:val="24"/>
        </w:rPr>
        <w:t>alkalmaz</w:t>
      </w:r>
      <w:r w:rsidR="00592821" w:rsidRPr="00986F85">
        <w:rPr>
          <w:rFonts w:cs="Times New Roman"/>
          <w:szCs w:val="24"/>
        </w:rPr>
        <w:t>tunk</w:t>
      </w:r>
      <w:r w:rsidR="003C6C33" w:rsidRPr="00986F85">
        <w:rPr>
          <w:rFonts w:cs="Times New Roman"/>
          <w:szCs w:val="24"/>
        </w:rPr>
        <w:t xml:space="preserve">. Várakozásaink szerint, ha </w:t>
      </w:r>
      <w:r w:rsidRPr="00986F85">
        <w:rPr>
          <w:rFonts w:cs="Times New Roman"/>
          <w:szCs w:val="24"/>
        </w:rPr>
        <w:t xml:space="preserve">az eredmények hasonló irányba mutatnak a különböző modellek esetén, </w:t>
      </w:r>
      <w:r w:rsidR="003C6C33" w:rsidRPr="00986F85">
        <w:rPr>
          <w:rFonts w:cs="Times New Roman"/>
          <w:szCs w:val="24"/>
        </w:rPr>
        <w:t xml:space="preserve">bízhatunk </w:t>
      </w:r>
      <w:r w:rsidRPr="00986F85">
        <w:rPr>
          <w:rFonts w:cs="Times New Roman"/>
          <w:szCs w:val="24"/>
        </w:rPr>
        <w:t xml:space="preserve">abban, hogy jól becsültük meg a program hatását.  </w:t>
      </w:r>
    </w:p>
    <w:p w14:paraId="47D179EB" w14:textId="77777777" w:rsidR="0073166A" w:rsidRPr="00986F85" w:rsidRDefault="0073166A" w:rsidP="005127CF">
      <w:pPr>
        <w:pStyle w:val="Szvegtrzs"/>
        <w:spacing w:after="0" w:line="360" w:lineRule="auto"/>
        <w:jc w:val="both"/>
        <w:rPr>
          <w:rFonts w:cs="Times New Roman"/>
          <w:szCs w:val="24"/>
        </w:rPr>
      </w:pPr>
    </w:p>
    <w:p w14:paraId="4A3F0EAD" w14:textId="77777777" w:rsidR="005127CF" w:rsidRPr="00986F85" w:rsidRDefault="005127CF" w:rsidP="005127CF">
      <w:pPr>
        <w:pStyle w:val="Szvegtrzs"/>
        <w:spacing w:after="0" w:line="360" w:lineRule="auto"/>
        <w:jc w:val="both"/>
        <w:rPr>
          <w:rFonts w:cs="Times New Roman"/>
          <w:b/>
          <w:i/>
          <w:szCs w:val="24"/>
        </w:rPr>
      </w:pPr>
      <w:r w:rsidRPr="00986F85">
        <w:rPr>
          <w:rFonts w:cs="Times New Roman"/>
          <w:b/>
          <w:i/>
          <w:szCs w:val="24"/>
        </w:rPr>
        <w:t>P</w:t>
      </w:r>
      <w:r w:rsidR="00EE3A8C" w:rsidRPr="00986F85">
        <w:rPr>
          <w:rFonts w:cs="Times New Roman"/>
          <w:b/>
          <w:i/>
          <w:szCs w:val="24"/>
        </w:rPr>
        <w:t>árosít</w:t>
      </w:r>
      <w:r w:rsidR="006F2E3B" w:rsidRPr="00986F85">
        <w:rPr>
          <w:rFonts w:cs="Times New Roman"/>
          <w:b/>
          <w:i/>
          <w:szCs w:val="24"/>
        </w:rPr>
        <w:t>á</w:t>
      </w:r>
      <w:r w:rsidR="00EE3A8C" w:rsidRPr="00986F85">
        <w:rPr>
          <w:rFonts w:cs="Times New Roman"/>
          <w:b/>
          <w:i/>
          <w:szCs w:val="24"/>
        </w:rPr>
        <w:t>s (p</w:t>
      </w:r>
      <w:r w:rsidRPr="00986F85">
        <w:rPr>
          <w:rFonts w:cs="Times New Roman"/>
          <w:b/>
          <w:i/>
          <w:szCs w:val="24"/>
        </w:rPr>
        <w:t>ropensity score matching</w:t>
      </w:r>
      <w:r w:rsidR="00EE3A8C" w:rsidRPr="00986F85">
        <w:rPr>
          <w:rFonts w:cs="Times New Roman"/>
          <w:b/>
          <w:i/>
          <w:szCs w:val="24"/>
        </w:rPr>
        <w:t xml:space="preserve">) </w:t>
      </w:r>
    </w:p>
    <w:p w14:paraId="7022E8AC" w14:textId="77777777" w:rsidR="005127CF" w:rsidRPr="00986F85" w:rsidRDefault="0076489C" w:rsidP="005127CF">
      <w:pPr>
        <w:pStyle w:val="Szvegtrzs"/>
        <w:spacing w:after="0" w:line="360" w:lineRule="auto"/>
        <w:jc w:val="both"/>
        <w:rPr>
          <w:rFonts w:cs="Times New Roman"/>
          <w:szCs w:val="24"/>
        </w:rPr>
      </w:pPr>
      <w:r w:rsidRPr="00986F85">
        <w:rPr>
          <w:rFonts w:cs="Times New Roman"/>
          <w:szCs w:val="24"/>
        </w:rPr>
        <w:t>A párosítás során arra törek</w:t>
      </w:r>
      <w:r w:rsidR="00592821" w:rsidRPr="00986F85">
        <w:rPr>
          <w:rFonts w:cs="Times New Roman"/>
          <w:szCs w:val="24"/>
        </w:rPr>
        <w:t>edtünk</w:t>
      </w:r>
      <w:r w:rsidR="005127CF" w:rsidRPr="00986F85">
        <w:rPr>
          <w:rFonts w:cs="Times New Roman"/>
          <w:szCs w:val="24"/>
        </w:rPr>
        <w:t>, hogy olyan kontrollcsoportot találjunk, amely jól reprezentálja a közvetlenül nem megfigyelhető tényellentétes helyzetet. Ennek érdekében olyan kontrollcsoportot kell létrehozni, mely a kezelés tényén kívül minden lényeges szempontból hasonlít a kezelt csoporthoz a kezelés megkezdése előtt. A módszer alkalmazásának feltétele, hogy a kontrollcsoport összeállításához rendelkezésre álló mintában legyenek olyan vállalatok, amelyek</w:t>
      </w:r>
      <w:r w:rsidR="00D6294C" w:rsidRPr="00986F85">
        <w:rPr>
          <w:rFonts w:cs="Times New Roman"/>
          <w:szCs w:val="24"/>
        </w:rPr>
        <w:t xml:space="preserve"> a vállalati ismérveikben</w:t>
      </w:r>
      <w:r w:rsidR="005127CF" w:rsidRPr="00986F85">
        <w:rPr>
          <w:rFonts w:cs="Times New Roman"/>
          <w:szCs w:val="24"/>
        </w:rPr>
        <w:t xml:space="preserve"> hasonlóak a támogatásban részesülőkhöz. </w:t>
      </w:r>
    </w:p>
    <w:p w14:paraId="064508EC" w14:textId="77777777" w:rsidR="00592821" w:rsidRPr="00986F85" w:rsidRDefault="00592821" w:rsidP="005127CF">
      <w:pPr>
        <w:pStyle w:val="Szvegtrzs"/>
        <w:spacing w:after="0" w:line="360" w:lineRule="auto"/>
        <w:jc w:val="both"/>
        <w:rPr>
          <w:rFonts w:cs="Times New Roman"/>
          <w:szCs w:val="24"/>
        </w:rPr>
      </w:pPr>
    </w:p>
    <w:p w14:paraId="2173F1B8" w14:textId="77777777" w:rsidR="006A728D" w:rsidRPr="00986F85" w:rsidRDefault="005127CF" w:rsidP="005127CF">
      <w:pPr>
        <w:pStyle w:val="Szvegtrzs"/>
        <w:spacing w:after="0" w:line="360" w:lineRule="auto"/>
        <w:jc w:val="both"/>
        <w:rPr>
          <w:rFonts w:cs="Times New Roman"/>
          <w:szCs w:val="24"/>
        </w:rPr>
      </w:pPr>
      <w:r w:rsidRPr="00986F85">
        <w:rPr>
          <w:rFonts w:cs="Times New Roman"/>
          <w:szCs w:val="24"/>
        </w:rPr>
        <w:t>Az eljárás két fő lépésből áll</w:t>
      </w:r>
      <w:r w:rsidR="00CB24F6" w:rsidRPr="00986F85">
        <w:rPr>
          <w:rFonts w:cs="Times New Roman"/>
          <w:szCs w:val="24"/>
        </w:rPr>
        <w:t>t</w:t>
      </w:r>
      <w:r w:rsidRPr="00986F85">
        <w:rPr>
          <w:rFonts w:cs="Times New Roman"/>
          <w:szCs w:val="24"/>
        </w:rPr>
        <w:t xml:space="preserve">: az első lépésben a </w:t>
      </w:r>
      <w:r w:rsidR="00592821" w:rsidRPr="00986F85">
        <w:rPr>
          <w:rFonts w:cs="Times New Roman"/>
          <w:szCs w:val="24"/>
        </w:rPr>
        <w:t xml:space="preserve">fent </w:t>
      </w:r>
      <w:r w:rsidRPr="00986F85">
        <w:rPr>
          <w:rFonts w:cs="Times New Roman"/>
          <w:szCs w:val="24"/>
        </w:rPr>
        <w:t>bemu</w:t>
      </w:r>
      <w:r w:rsidR="00592821" w:rsidRPr="00986F85">
        <w:rPr>
          <w:rFonts w:cs="Times New Roman"/>
          <w:szCs w:val="24"/>
        </w:rPr>
        <w:t xml:space="preserve">tatott </w:t>
      </w:r>
      <w:r w:rsidR="00D6294C" w:rsidRPr="00986F85">
        <w:rPr>
          <w:rFonts w:cs="Times New Roman"/>
          <w:szCs w:val="24"/>
        </w:rPr>
        <w:t>szelekciós</w:t>
      </w:r>
      <w:r w:rsidR="00592821" w:rsidRPr="00986F85">
        <w:rPr>
          <w:rFonts w:cs="Times New Roman"/>
          <w:szCs w:val="24"/>
        </w:rPr>
        <w:t xml:space="preserve"> modellel megbecsült</w:t>
      </w:r>
      <w:r w:rsidRPr="00986F85">
        <w:rPr>
          <w:rFonts w:cs="Times New Roman"/>
          <w:szCs w:val="24"/>
        </w:rPr>
        <w:t>ük a kezeltté válás valószínűségét. Olyan magyarázó változókat használ</w:t>
      </w:r>
      <w:r w:rsidR="00592821" w:rsidRPr="00986F85">
        <w:rPr>
          <w:rFonts w:cs="Times New Roman"/>
          <w:szCs w:val="24"/>
        </w:rPr>
        <w:t>t</w:t>
      </w:r>
      <w:r w:rsidRPr="00986F85">
        <w:rPr>
          <w:rFonts w:cs="Times New Roman"/>
          <w:szCs w:val="24"/>
        </w:rPr>
        <w:t>unk, amelyek hatással vannak a kezeltté válásra és befolyásolják az eredményváltozó értékét is. A fentieknek megfelelően a magyarázó változók értékeit a kezelés előtti szinteken kell figyelembe venni.</w:t>
      </w:r>
    </w:p>
    <w:p w14:paraId="780CEB38" w14:textId="77777777" w:rsidR="00CC4310" w:rsidRPr="00986F85" w:rsidRDefault="00CC4310" w:rsidP="005127CF">
      <w:pPr>
        <w:pStyle w:val="Szvegtrzs"/>
        <w:spacing w:after="0" w:line="360" w:lineRule="auto"/>
        <w:jc w:val="both"/>
        <w:rPr>
          <w:rFonts w:cs="Times New Roman"/>
          <w:szCs w:val="24"/>
        </w:rPr>
      </w:pPr>
    </w:p>
    <w:p w14:paraId="22A8B935" w14:textId="77777777" w:rsidR="00CC4310" w:rsidRPr="00986F85" w:rsidRDefault="00B03A0B" w:rsidP="00B03A0B">
      <w:pPr>
        <w:pStyle w:val="Szvegtrzs"/>
        <w:spacing w:after="0" w:line="360" w:lineRule="auto"/>
        <w:jc w:val="both"/>
        <w:rPr>
          <w:rFonts w:cs="Times New Roman"/>
          <w:szCs w:val="24"/>
        </w:rPr>
      </w:pPr>
      <w:r w:rsidRPr="00986F85">
        <w:rPr>
          <w:rFonts w:cs="Times New Roman"/>
          <w:szCs w:val="24"/>
        </w:rPr>
        <w:t xml:space="preserve">(2) </w:t>
      </w:r>
      <w:r w:rsidRPr="00986F85">
        <w:rPr>
          <w:rFonts w:cs="Times New Roman"/>
          <w:szCs w:val="24"/>
        </w:rPr>
        <w:tab/>
      </w:r>
      <m:oMath>
        <m:r>
          <w:rPr>
            <w:rFonts w:ascii="Cambria Math" w:hAnsi="Cambria Math"/>
            <w:szCs w:val="24"/>
          </w:rPr>
          <m:t>p</m:t>
        </m:r>
        <m:d>
          <m:dPr>
            <m:ctrlPr>
              <w:rPr>
                <w:rFonts w:ascii="Cambria Math" w:hAnsi="Cambria Math"/>
                <w:i/>
                <w:szCs w:val="24"/>
              </w:rPr>
            </m:ctrlPr>
          </m:dPr>
          <m:e>
            <m:r>
              <w:rPr>
                <w:rFonts w:ascii="Cambria Math" w:hAnsi="Cambria Math"/>
                <w:szCs w:val="24"/>
              </w:rPr>
              <m:t>X</m:t>
            </m:r>
          </m:e>
        </m:d>
        <m:r>
          <w:rPr>
            <w:rFonts w:ascii="Cambria Math" w:hAnsi="Cambria Math"/>
            <w:szCs w:val="24"/>
          </w:rPr>
          <m:t>=</m:t>
        </m:r>
        <m:func>
          <m:funcPr>
            <m:ctrlPr>
              <w:rPr>
                <w:rFonts w:ascii="Cambria Math" w:hAnsi="Cambria Math"/>
                <w:szCs w:val="24"/>
              </w:rPr>
            </m:ctrlPr>
          </m:funcPr>
          <m:fName>
            <m:r>
              <m:rPr>
                <m:sty m:val="p"/>
              </m:rPr>
              <w:rPr>
                <w:rFonts w:ascii="Cambria Math" w:hAnsi="Cambria Math"/>
                <w:szCs w:val="24"/>
              </w:rPr>
              <m:t>Pr</m:t>
            </m:r>
          </m:fName>
          <m:e>
            <m:d>
              <m:dPr>
                <m:ctrlPr>
                  <w:rPr>
                    <w:rFonts w:ascii="Cambria Math" w:hAnsi="Cambria Math"/>
                    <w:i/>
                    <w:szCs w:val="24"/>
                  </w:rPr>
                </m:ctrlPr>
              </m:dPr>
              <m:e>
                <m:r>
                  <w:rPr>
                    <w:rFonts w:ascii="Cambria Math" w:hAnsi="Cambria Math"/>
                    <w:szCs w:val="24"/>
                  </w:rPr>
                  <m:t xml:space="preserve">D=1 </m:t>
                </m:r>
              </m:e>
              <m:e>
                <m:r>
                  <w:rPr>
                    <w:rFonts w:ascii="Cambria Math" w:hAnsi="Cambria Math"/>
                    <w:szCs w:val="24"/>
                  </w:rPr>
                  <m:t>X</m:t>
                </m:r>
              </m:e>
            </m:d>
            <m:ctrlPr>
              <w:rPr>
                <w:rFonts w:ascii="Cambria Math" w:hAnsi="Cambria Math"/>
                <w:i/>
                <w:szCs w:val="24"/>
              </w:rPr>
            </m:ctrlPr>
          </m:e>
        </m:func>
        <m:r>
          <w:rPr>
            <w:rFonts w:ascii="Cambria Math" w:hAnsi="Cambria Math"/>
            <w:szCs w:val="24"/>
          </w:rPr>
          <m:t>=E</m:t>
        </m:r>
        <m:d>
          <m:dPr>
            <m:ctrlPr>
              <w:rPr>
                <w:rFonts w:ascii="Cambria Math" w:hAnsi="Cambria Math"/>
                <w:i/>
                <w:szCs w:val="24"/>
              </w:rPr>
            </m:ctrlPr>
          </m:dPr>
          <m:e>
            <m:r>
              <w:rPr>
                <w:rFonts w:ascii="Cambria Math" w:hAnsi="Cambria Math"/>
                <w:szCs w:val="24"/>
              </w:rPr>
              <m:t>D</m:t>
            </m:r>
          </m:e>
          <m:e>
            <m:r>
              <w:rPr>
                <w:rFonts w:ascii="Cambria Math" w:hAnsi="Cambria Math"/>
                <w:szCs w:val="24"/>
              </w:rPr>
              <m:t>X</m:t>
            </m:r>
          </m:e>
        </m:d>
        <m:r>
          <w:rPr>
            <w:rFonts w:ascii="Cambria Math" w:hAnsi="Cambria Math"/>
            <w:szCs w:val="24"/>
          </w:rPr>
          <m:t>,</m:t>
        </m:r>
      </m:oMath>
    </w:p>
    <w:p w14:paraId="3DD5F574" w14:textId="77777777" w:rsidR="006A728D" w:rsidRPr="00986F85" w:rsidRDefault="006A728D" w:rsidP="006A728D">
      <w:pPr>
        <w:jc w:val="both"/>
        <w:rPr>
          <w:szCs w:val="24"/>
        </w:rPr>
      </w:pPr>
      <w:r w:rsidRPr="00986F85">
        <w:rPr>
          <w:rFonts w:eastAsia="MS Mincho"/>
          <w:szCs w:val="24"/>
        </w:rPr>
        <w:t xml:space="preserve">ahol </w:t>
      </w:r>
      <m:oMath>
        <m:r>
          <w:rPr>
            <w:rFonts w:ascii="Cambria Math" w:hAnsi="Cambria Math"/>
            <w:szCs w:val="24"/>
          </w:rPr>
          <m:t>p</m:t>
        </m:r>
        <m:d>
          <m:dPr>
            <m:ctrlPr>
              <w:rPr>
                <w:rFonts w:ascii="Cambria Math" w:hAnsi="Cambria Math"/>
                <w:i/>
                <w:szCs w:val="24"/>
              </w:rPr>
            </m:ctrlPr>
          </m:dPr>
          <m:e>
            <m:r>
              <w:rPr>
                <w:rFonts w:ascii="Cambria Math" w:hAnsi="Cambria Math"/>
                <w:szCs w:val="24"/>
              </w:rPr>
              <m:t>X</m:t>
            </m:r>
          </m:e>
        </m:d>
      </m:oMath>
      <w:r w:rsidRPr="00986F85">
        <w:rPr>
          <w:rFonts w:eastAsia="MS Mincho"/>
          <w:szCs w:val="24"/>
        </w:rPr>
        <w:t xml:space="preserve"> a </w:t>
      </w:r>
      <w:r w:rsidRPr="00986F85">
        <w:rPr>
          <w:rFonts w:eastAsia="MS Mincho"/>
          <w:i/>
          <w:szCs w:val="24"/>
        </w:rPr>
        <w:t>propensity score</w:t>
      </w:r>
      <w:r w:rsidRPr="00986F85">
        <w:rPr>
          <w:rFonts w:eastAsia="MS Mincho"/>
          <w:szCs w:val="24"/>
        </w:rPr>
        <w:t xml:space="preserve">, </w:t>
      </w:r>
      <m:oMath>
        <m:r>
          <w:rPr>
            <w:rFonts w:ascii="Cambria Math" w:eastAsia="MS Mincho" w:hAnsi="Cambria Math"/>
            <w:szCs w:val="24"/>
          </w:rPr>
          <m:t>D=</m:t>
        </m:r>
        <m:d>
          <m:dPr>
            <m:begChr m:val="{"/>
            <m:endChr m:val="}"/>
            <m:ctrlPr>
              <w:rPr>
                <w:rFonts w:ascii="Cambria Math" w:eastAsia="MS Mincho" w:hAnsi="Cambria Math"/>
                <w:i/>
                <w:szCs w:val="24"/>
              </w:rPr>
            </m:ctrlPr>
          </m:dPr>
          <m:e>
            <m:r>
              <w:rPr>
                <w:rFonts w:ascii="Cambria Math" w:eastAsia="MS Mincho" w:hAnsi="Cambria Math"/>
                <w:szCs w:val="24"/>
              </w:rPr>
              <m:t>0,1</m:t>
            </m:r>
          </m:e>
        </m:d>
      </m:oMath>
      <w:r w:rsidRPr="00986F85">
        <w:rPr>
          <w:rFonts w:eastAsia="MS Mincho"/>
          <w:szCs w:val="24"/>
        </w:rPr>
        <w:t xml:space="preserve">  a kezelés indikátora, melynek értéke 1, ha a cég kezelt, 0 egyébként, X pedig a kezeltté válás</w:t>
      </w:r>
      <w:r w:rsidR="0076489C" w:rsidRPr="00986F85">
        <w:rPr>
          <w:rFonts w:eastAsia="MS Mincho" w:cs="Times New Roman"/>
          <w:szCs w:val="24"/>
        </w:rPr>
        <w:t xml:space="preserve">t magyarázó, megfigyelt </w:t>
      </w:r>
      <w:r w:rsidRPr="00986F85">
        <w:rPr>
          <w:rFonts w:eastAsia="MS Mincho"/>
          <w:szCs w:val="24"/>
        </w:rPr>
        <w:t xml:space="preserve">változók vektora. </w:t>
      </w:r>
    </w:p>
    <w:p w14:paraId="54363CC1" w14:textId="77777777" w:rsidR="005127CF" w:rsidRPr="00986F85" w:rsidRDefault="005127CF" w:rsidP="006F2E3B">
      <w:pPr>
        <w:pStyle w:val="Szvegtrzs"/>
        <w:spacing w:after="0" w:line="360" w:lineRule="auto"/>
        <w:jc w:val="both"/>
        <w:rPr>
          <w:rFonts w:cs="Times New Roman"/>
          <w:szCs w:val="24"/>
        </w:rPr>
      </w:pPr>
      <w:r w:rsidRPr="00986F85">
        <w:rPr>
          <w:rFonts w:cs="Times New Roman"/>
          <w:szCs w:val="24"/>
        </w:rPr>
        <w:t>Addig, amí</w:t>
      </w:r>
      <w:r w:rsidR="00CB24F6" w:rsidRPr="00986F85">
        <w:rPr>
          <w:rFonts w:cs="Times New Roman"/>
          <w:szCs w:val="24"/>
        </w:rPr>
        <w:t>g a szelekciós vizsgálat során</w:t>
      </w:r>
      <w:r w:rsidRPr="00986F85">
        <w:rPr>
          <w:rFonts w:cs="Times New Roman"/>
          <w:szCs w:val="24"/>
        </w:rPr>
        <w:t xml:space="preserve"> </w:t>
      </w:r>
      <w:r w:rsidR="00C93906" w:rsidRPr="00986F85">
        <w:rPr>
          <w:rFonts w:cs="Times New Roman"/>
          <w:szCs w:val="24"/>
        </w:rPr>
        <w:t xml:space="preserve">minden vállalatot </w:t>
      </w:r>
      <w:r w:rsidRPr="00986F85">
        <w:rPr>
          <w:rFonts w:cs="Times New Roman"/>
          <w:szCs w:val="24"/>
        </w:rPr>
        <w:t>f</w:t>
      </w:r>
      <w:r w:rsidR="008D72C1" w:rsidRPr="00986F85">
        <w:rPr>
          <w:rFonts w:cs="Times New Roman"/>
          <w:szCs w:val="24"/>
        </w:rPr>
        <w:t xml:space="preserve">igyelembe vettünk, </w:t>
      </w:r>
      <w:r w:rsidR="00C93906" w:rsidRPr="00986F85">
        <w:rPr>
          <w:rFonts w:cs="Times New Roman"/>
          <w:szCs w:val="24"/>
        </w:rPr>
        <w:t xml:space="preserve">amely </w:t>
      </w:r>
      <w:r w:rsidR="008D72C1" w:rsidRPr="00986F85">
        <w:rPr>
          <w:rFonts w:cs="Times New Roman"/>
          <w:szCs w:val="24"/>
        </w:rPr>
        <w:t>2007-2011</w:t>
      </w:r>
      <w:r w:rsidRPr="00986F85">
        <w:rPr>
          <w:rFonts w:cs="Times New Roman"/>
          <w:szCs w:val="24"/>
        </w:rPr>
        <w:t xml:space="preserve"> között nyert, a hatásel</w:t>
      </w:r>
      <w:r w:rsidR="00CB24F6" w:rsidRPr="00986F85">
        <w:rPr>
          <w:rFonts w:cs="Times New Roman"/>
          <w:szCs w:val="24"/>
        </w:rPr>
        <w:t>emzés során csak azokat vizsgált</w:t>
      </w:r>
      <w:r w:rsidRPr="00986F85">
        <w:rPr>
          <w:rFonts w:cs="Times New Roman"/>
          <w:szCs w:val="24"/>
        </w:rPr>
        <w:t>uk, akik me</w:t>
      </w:r>
      <w:r w:rsidR="006F2E3B" w:rsidRPr="00986F85">
        <w:rPr>
          <w:rFonts w:cs="Times New Roman"/>
          <w:szCs w:val="24"/>
        </w:rPr>
        <w:t>gkapták az utolsó kifizetést is. Í</w:t>
      </w:r>
      <w:r w:rsidRPr="00986F85">
        <w:rPr>
          <w:rFonts w:cs="Times New Roman"/>
          <w:szCs w:val="24"/>
        </w:rPr>
        <w:t xml:space="preserve">gy a két modell eltér a becsléshez használt minta </w:t>
      </w:r>
      <w:r w:rsidR="006F2E3B" w:rsidRPr="00986F85">
        <w:rPr>
          <w:rFonts w:cs="Times New Roman"/>
          <w:szCs w:val="24"/>
        </w:rPr>
        <w:t>alapján</w:t>
      </w:r>
      <w:r w:rsidRPr="00986F85">
        <w:rPr>
          <w:rFonts w:cs="Times New Roman"/>
          <w:szCs w:val="24"/>
        </w:rPr>
        <w:t xml:space="preserve">, de lényegében azonos a magyarázó változókat </w:t>
      </w:r>
      <w:r w:rsidR="006F2E3B" w:rsidRPr="00986F85">
        <w:rPr>
          <w:rFonts w:cs="Times New Roman"/>
          <w:szCs w:val="24"/>
        </w:rPr>
        <w:t>tekintve</w:t>
      </w:r>
      <w:r w:rsidRPr="00986F85">
        <w:rPr>
          <w:rFonts w:cs="Times New Roman"/>
          <w:szCs w:val="24"/>
        </w:rPr>
        <w:t>, melyek a következők: iparág</w:t>
      </w:r>
      <w:r w:rsidR="006F2E3B" w:rsidRPr="00986F85">
        <w:rPr>
          <w:rFonts w:cs="Times New Roman"/>
          <w:szCs w:val="24"/>
        </w:rPr>
        <w:t xml:space="preserve">, földrajzi elhelyezkedés, kor, vállalatsűrűség (azaz, </w:t>
      </w:r>
      <w:r w:rsidR="006F2E3B" w:rsidRPr="00986F85">
        <w:rPr>
          <w:rFonts w:cs="Lucida Grande"/>
          <w:color w:val="000000"/>
        </w:rPr>
        <w:t xml:space="preserve">egy állandó lakosra eső vállalatok száma </w:t>
      </w:r>
      <w:r w:rsidR="006F2E3B" w:rsidRPr="00986F85">
        <w:rPr>
          <w:rFonts w:cs="Times New Roman"/>
          <w:color w:val="000000"/>
        </w:rPr>
        <w:t xml:space="preserve">az adott </w:t>
      </w:r>
      <w:r w:rsidR="006F2E3B" w:rsidRPr="00986F85">
        <w:rPr>
          <w:rFonts w:cs="Times New Roman"/>
          <w:color w:val="000000"/>
        </w:rPr>
        <w:lastRenderedPageBreak/>
        <w:t xml:space="preserve">vállalat </w:t>
      </w:r>
      <w:r w:rsidR="006F2E3B" w:rsidRPr="00986F85">
        <w:rPr>
          <w:rFonts w:cs="Lucida Grande"/>
          <w:color w:val="000000"/>
        </w:rPr>
        <w:t>kistérségében</w:t>
      </w:r>
      <w:r w:rsidR="006F2E3B" w:rsidRPr="00986F85">
        <w:rPr>
          <w:rFonts w:cs="Times New Roman"/>
          <w:color w:val="000000"/>
        </w:rPr>
        <w:t>), foglalkoztatotti létszám, nyereségesség, likviditás, tőkeintenzitás, jegyzett tőke, tárgyi eszköz állomány, árbevétel, és hozzáadott érték.</w:t>
      </w:r>
    </w:p>
    <w:p w14:paraId="3FC59B3E" w14:textId="77777777" w:rsidR="00CB24F6" w:rsidRPr="00986F85" w:rsidRDefault="00CB24F6" w:rsidP="005127CF">
      <w:pPr>
        <w:pStyle w:val="Szvegtrzs"/>
        <w:spacing w:after="0" w:line="360" w:lineRule="auto"/>
        <w:jc w:val="both"/>
        <w:rPr>
          <w:rFonts w:cs="Times New Roman"/>
          <w:szCs w:val="24"/>
        </w:rPr>
      </w:pPr>
    </w:p>
    <w:p w14:paraId="1AE17F47" w14:textId="77777777" w:rsidR="00113C63" w:rsidRPr="00986F85" w:rsidRDefault="00CB24F6" w:rsidP="00113C63">
      <w:pPr>
        <w:pStyle w:val="Szvegtrzs"/>
        <w:spacing w:after="0" w:line="360" w:lineRule="auto"/>
        <w:jc w:val="both"/>
        <w:rPr>
          <w:rFonts w:cs="Times New Roman"/>
          <w:szCs w:val="24"/>
        </w:rPr>
      </w:pPr>
      <w:r w:rsidRPr="00986F85">
        <w:rPr>
          <w:rFonts w:cs="Times New Roman"/>
          <w:szCs w:val="24"/>
        </w:rPr>
        <w:t>A</w:t>
      </w:r>
      <w:r w:rsidR="005127CF" w:rsidRPr="00986F85">
        <w:rPr>
          <w:rFonts w:cs="Times New Roman"/>
          <w:szCs w:val="24"/>
        </w:rPr>
        <w:t xml:space="preserve"> második lépésben minden kezelthez hozzárendel</w:t>
      </w:r>
      <w:r w:rsidRPr="00986F85">
        <w:rPr>
          <w:rFonts w:cs="Times New Roman"/>
          <w:szCs w:val="24"/>
        </w:rPr>
        <w:t>t</w:t>
      </w:r>
      <w:r w:rsidR="00CC4310" w:rsidRPr="00986F85">
        <w:rPr>
          <w:rFonts w:cs="Times New Roman"/>
          <w:szCs w:val="24"/>
        </w:rPr>
        <w:t xml:space="preserve">ünk egy olyan kontrollcéget, </w:t>
      </w:r>
      <w:r w:rsidR="005127CF" w:rsidRPr="00986F85">
        <w:rPr>
          <w:rFonts w:cs="Times New Roman"/>
          <w:szCs w:val="24"/>
        </w:rPr>
        <w:t xml:space="preserve">melynek noha nagyon hasonló volt az esélye – azaz a </w:t>
      </w:r>
      <w:r w:rsidR="005127CF" w:rsidRPr="00986F85">
        <w:rPr>
          <w:rFonts w:cs="Times New Roman"/>
          <w:i/>
          <w:szCs w:val="24"/>
        </w:rPr>
        <w:t>propensity score</w:t>
      </w:r>
      <w:r w:rsidR="005127CF" w:rsidRPr="00986F85">
        <w:rPr>
          <w:rFonts w:cs="Times New Roman"/>
          <w:szCs w:val="24"/>
        </w:rPr>
        <w:t>-ja  – a kezeltté váláshoz</w:t>
      </w:r>
      <w:r w:rsidR="00C93906" w:rsidRPr="00986F85">
        <w:rPr>
          <w:rFonts w:cs="Times New Roman"/>
          <w:szCs w:val="24"/>
        </w:rPr>
        <w:t>,</w:t>
      </w:r>
      <w:r w:rsidR="005127CF" w:rsidRPr="00986F85">
        <w:rPr>
          <w:rFonts w:cs="Times New Roman"/>
          <w:szCs w:val="24"/>
        </w:rPr>
        <w:t xml:space="preserve"> mégse</w:t>
      </w:r>
      <w:r w:rsidR="00C93906" w:rsidRPr="00986F85">
        <w:rPr>
          <w:rFonts w:cs="Times New Roman"/>
          <w:szCs w:val="24"/>
        </w:rPr>
        <w:t>m</w:t>
      </w:r>
      <w:r w:rsidR="005127CF" w:rsidRPr="00986F85">
        <w:rPr>
          <w:rFonts w:cs="Times New Roman"/>
          <w:szCs w:val="24"/>
        </w:rPr>
        <w:t xml:space="preserve"> lett az. </w:t>
      </w:r>
      <w:r w:rsidR="00113C63" w:rsidRPr="00986F85">
        <w:rPr>
          <w:rFonts w:cs="Times New Roman"/>
          <w:szCs w:val="24"/>
        </w:rPr>
        <w:t xml:space="preserve"> </w:t>
      </w:r>
    </w:p>
    <w:p w14:paraId="57DC93E5" w14:textId="77777777" w:rsidR="00CC4310" w:rsidRPr="00986F85" w:rsidRDefault="00CC4310" w:rsidP="00113C63">
      <w:pPr>
        <w:pStyle w:val="Szvegtrzs"/>
        <w:spacing w:after="0" w:line="360" w:lineRule="auto"/>
        <w:jc w:val="both"/>
        <w:rPr>
          <w:rFonts w:cs="Times New Roman"/>
          <w:szCs w:val="24"/>
        </w:rPr>
      </w:pPr>
    </w:p>
    <w:p w14:paraId="44228E82" w14:textId="77777777" w:rsidR="00CC4310" w:rsidRPr="00986F85" w:rsidRDefault="00113C63" w:rsidP="00CC4310">
      <w:pPr>
        <w:pStyle w:val="Szvegtrzs"/>
        <w:spacing w:after="0" w:line="360" w:lineRule="auto"/>
        <w:jc w:val="both"/>
        <w:rPr>
          <w:rFonts w:cs="Times New Roman"/>
          <w:szCs w:val="24"/>
        </w:rPr>
      </w:pPr>
      <w:r w:rsidRPr="00986F85">
        <w:rPr>
          <w:szCs w:val="24"/>
        </w:rPr>
        <w:t>A hozzárende</w:t>
      </w:r>
      <w:r w:rsidR="00CC4310" w:rsidRPr="00986F85">
        <w:rPr>
          <w:szCs w:val="24"/>
        </w:rPr>
        <w:t>léshez számos algoritmus ismert. M</w:t>
      </w:r>
      <w:r w:rsidRPr="00986F85">
        <w:rPr>
          <w:szCs w:val="24"/>
        </w:rPr>
        <w:t xml:space="preserve">i ezek közül kettőt, a legközelebbi szomszéd és a </w:t>
      </w:r>
      <w:r w:rsidRPr="00986F85">
        <w:rPr>
          <w:i/>
          <w:szCs w:val="24"/>
        </w:rPr>
        <w:t>kernel</w:t>
      </w:r>
      <w:r w:rsidRPr="00986F85">
        <w:rPr>
          <w:szCs w:val="24"/>
        </w:rPr>
        <w:t>-típusú becslést választottuk ki, és mindkét elj</w:t>
      </w:r>
      <w:r w:rsidR="00F4371A" w:rsidRPr="00986F85">
        <w:rPr>
          <w:szCs w:val="24"/>
        </w:rPr>
        <w:t xml:space="preserve">árással elvégeztük a párosítást, két </w:t>
      </w:r>
      <w:r w:rsidR="00CC4310" w:rsidRPr="00986F85">
        <w:rPr>
          <w:rFonts w:cs="Times New Roman"/>
          <w:szCs w:val="24"/>
        </w:rPr>
        <w:t>al</w:t>
      </w:r>
      <w:r w:rsidR="00F4371A" w:rsidRPr="00986F85">
        <w:rPr>
          <w:szCs w:val="24"/>
        </w:rPr>
        <w:t xml:space="preserve">mintára </w:t>
      </w:r>
      <w:r w:rsidR="00CC4310" w:rsidRPr="00986F85">
        <w:rPr>
          <w:rFonts w:cs="Times New Roman"/>
          <w:szCs w:val="24"/>
        </w:rPr>
        <w:t xml:space="preserve">is </w:t>
      </w:r>
      <w:r w:rsidR="00F4371A" w:rsidRPr="00986F85">
        <w:rPr>
          <w:szCs w:val="24"/>
        </w:rPr>
        <w:t>( 3 fő, illetve 5 fő feletti létszámmal rendelkező cégek körére, külön-külön).</w:t>
      </w:r>
      <w:r w:rsidRPr="00986F85">
        <w:rPr>
          <w:szCs w:val="24"/>
        </w:rPr>
        <w:t xml:space="preserve"> A két eljárás eltér abban, hogy a nem pályázott vállalatok közül pontosan kikkel és milyen súlyozással hasonlítja össze a pályázatot nyert vállalatokat. Míg a legközelebbi szomszéd eljárás pontosan a modellező által kiválasztott számú – a mi esetünkben 5 – , a kezelt vállalatra leginkább hasonlító kontroll céget választ, addig a </w:t>
      </w:r>
      <w:r w:rsidRPr="00986F85">
        <w:rPr>
          <w:i/>
          <w:szCs w:val="24"/>
        </w:rPr>
        <w:t>kernel</w:t>
      </w:r>
      <w:r w:rsidRPr="00986F85">
        <w:rPr>
          <w:szCs w:val="24"/>
        </w:rPr>
        <w:t xml:space="preserve"> módszer valamennyi nem pályázott vállalatot figyelembe veszi a kezeltekhez hasonlókat nagy, az azoktól különbözőeket kis súllyal beszámítva. Ebből eredendően a két módszer adhat eltérő eredményt. Mivel nem ismert olyan hüvelykujj-szabály, amely egyértelműen megmondaná, melyik módszer a mindenkori „helyes”, ezért a kettőt együtt érdemes tárgyalni. </w:t>
      </w:r>
      <w:r w:rsidR="00CE396C" w:rsidRPr="00986F85">
        <w:rPr>
          <w:szCs w:val="24"/>
        </w:rPr>
        <w:t xml:space="preserve">(Az egyes módszerekről részletesebben lásd – Rosenbaum és Rubin 1983, Dehejia ás Wahba 1999, illetve hazai szakpolitikai alkalmazásairól bővebben lásd </w:t>
      </w:r>
      <w:r w:rsidR="0049367C" w:rsidRPr="00986F85">
        <w:rPr>
          <w:szCs w:val="24"/>
        </w:rPr>
        <w:t xml:space="preserve">Agenda et al 2010, Cseres-Gergely és Scharle 2010, Hudomiet és Kézdi 2011, </w:t>
      </w:r>
      <w:r w:rsidR="00CE396C" w:rsidRPr="00986F85">
        <w:rPr>
          <w:szCs w:val="24"/>
        </w:rPr>
        <w:t>Kézdi 2011.)</w:t>
      </w:r>
    </w:p>
    <w:p w14:paraId="7CC1F4A7" w14:textId="77777777" w:rsidR="00CC4310" w:rsidRPr="00986F85" w:rsidRDefault="00CC4310" w:rsidP="00CC4310">
      <w:pPr>
        <w:pStyle w:val="Szvegtrzs"/>
        <w:spacing w:after="0" w:line="360" w:lineRule="auto"/>
        <w:jc w:val="both"/>
        <w:rPr>
          <w:rFonts w:cs="Times New Roman"/>
          <w:szCs w:val="24"/>
        </w:rPr>
      </w:pPr>
    </w:p>
    <w:p w14:paraId="37D3AC4B" w14:textId="77777777" w:rsidR="00113C63" w:rsidRPr="00986F85" w:rsidRDefault="00113C63" w:rsidP="00CC4310">
      <w:pPr>
        <w:pStyle w:val="Szvegtrzs"/>
        <w:spacing w:after="0" w:line="360" w:lineRule="auto"/>
        <w:jc w:val="both"/>
        <w:rPr>
          <w:szCs w:val="24"/>
        </w:rPr>
      </w:pPr>
      <w:r w:rsidRPr="00986F85">
        <w:rPr>
          <w:szCs w:val="24"/>
        </w:rPr>
        <w:t xml:space="preserve">A legközelebbi szomszéd módszernél érdemes megjegyezni, hogy amennyiben minden kezelthez csak a hozzá legközelebb álló nem kezeltet rendeljük, akkor a lehető legpontosabb párosítást kapjuk, de elképzelhető, hogy nagy csak nagyon kevés kontroll vállalaton alapul az elemzés. Ha viszont a távolabbi résztvevőket is bevonjuk a kezelt csoportba, akkor a mintanagyság növekedésével nagyobb pontosságot érünk el, viszont növeljük a becslés torzítottságának a veszélyét. Az említett két eljárás alapján kiválasztásra kerülő cégek alkotják a kontrollcsoportot. </w:t>
      </w:r>
    </w:p>
    <w:p w14:paraId="4E859C60" w14:textId="77777777" w:rsidR="00113C63" w:rsidRPr="00986F85" w:rsidRDefault="00113C63" w:rsidP="005127CF">
      <w:pPr>
        <w:pStyle w:val="Szvegtrzs"/>
        <w:spacing w:after="0" w:line="360" w:lineRule="auto"/>
        <w:jc w:val="both"/>
        <w:rPr>
          <w:rFonts w:cs="Times New Roman"/>
          <w:szCs w:val="24"/>
        </w:rPr>
      </w:pPr>
    </w:p>
    <w:p w14:paraId="76CCF4A0" w14:textId="77777777" w:rsidR="005127CF" w:rsidRPr="00986F85" w:rsidRDefault="005127CF" w:rsidP="005127CF">
      <w:pPr>
        <w:pStyle w:val="Szvegtrzs"/>
        <w:spacing w:after="0" w:line="360" w:lineRule="auto"/>
        <w:jc w:val="both"/>
        <w:rPr>
          <w:rFonts w:cs="Times New Roman"/>
          <w:szCs w:val="24"/>
        </w:rPr>
      </w:pPr>
      <w:r w:rsidRPr="00986F85">
        <w:rPr>
          <w:rFonts w:cs="Times New Roman"/>
          <w:szCs w:val="24"/>
        </w:rPr>
        <w:lastRenderedPageBreak/>
        <w:t xml:space="preserve">Noha a </w:t>
      </w:r>
      <w:r w:rsidRPr="00986F85">
        <w:rPr>
          <w:rFonts w:cs="Times New Roman"/>
          <w:i/>
          <w:szCs w:val="24"/>
        </w:rPr>
        <w:t>propensity score matching</w:t>
      </w:r>
      <w:r w:rsidRPr="00986F85">
        <w:rPr>
          <w:rFonts w:cs="Times New Roman"/>
          <w:szCs w:val="24"/>
        </w:rPr>
        <w:t xml:space="preserve"> elterjedt eljárás</w:t>
      </w:r>
      <w:r w:rsidR="00646848" w:rsidRPr="00986F85">
        <w:rPr>
          <w:rFonts w:cs="Times New Roman"/>
          <w:szCs w:val="24"/>
        </w:rPr>
        <w:t>,</w:t>
      </w:r>
      <w:r w:rsidRPr="00986F85">
        <w:rPr>
          <w:rFonts w:cs="Times New Roman"/>
          <w:szCs w:val="24"/>
        </w:rPr>
        <w:t xml:space="preserve"> van néhány hátrányos jellemzője: a módszer csak a megfigyelhető magyarázó változók hatását veszi figyelembe. Shadish, Cook és Cambell (2002) szerint a </w:t>
      </w:r>
      <w:r w:rsidRPr="00986F85">
        <w:rPr>
          <w:rFonts w:cs="Times New Roman"/>
          <w:i/>
          <w:szCs w:val="24"/>
        </w:rPr>
        <w:t>propensity score matching</w:t>
      </w:r>
      <w:r w:rsidRPr="00986F85">
        <w:rPr>
          <w:rFonts w:cs="Times New Roman"/>
          <w:szCs w:val="24"/>
        </w:rPr>
        <w:t xml:space="preserve"> nagy mintát igényel, a kezelt és a kontroll csoport közötti átfedésnek jelentősnek kell lennie és rejtett torzítás a nem megfigyelhető tényezők miatt a párosítás után is maradhat. Nem megfigyelhető jellemzők esetünkben </w:t>
      </w:r>
      <w:r w:rsidR="00CC4310" w:rsidRPr="00986F85">
        <w:rPr>
          <w:rFonts w:cs="Times New Roman"/>
          <w:szCs w:val="24"/>
        </w:rPr>
        <w:t xml:space="preserve">például </w:t>
      </w:r>
      <w:r w:rsidRPr="00986F85">
        <w:rPr>
          <w:rFonts w:cs="Times New Roman"/>
          <w:szCs w:val="24"/>
        </w:rPr>
        <w:t>a menedzseri</w:t>
      </w:r>
      <w:r w:rsidR="00CC4310" w:rsidRPr="00986F85">
        <w:rPr>
          <w:rFonts w:cs="Times New Roman"/>
          <w:szCs w:val="24"/>
        </w:rPr>
        <w:t xml:space="preserve"> készségek</w:t>
      </w:r>
      <w:r w:rsidRPr="00986F85">
        <w:rPr>
          <w:rFonts w:cs="Times New Roman"/>
          <w:szCs w:val="24"/>
        </w:rPr>
        <w:t>, a vállalkozó kockázat viselő képessége, a cég piaci helyzete</w:t>
      </w:r>
      <w:r w:rsidR="00CC4310" w:rsidRPr="00986F85">
        <w:rPr>
          <w:rFonts w:cs="Times New Roman"/>
          <w:szCs w:val="24"/>
        </w:rPr>
        <w:t>. Ezeket további, vállalati kérdőíves felméréssel lehet közelíteni, melyre jelen esetünkben nem volt lehetőség.</w:t>
      </w:r>
    </w:p>
    <w:p w14:paraId="2FD19197" w14:textId="77777777" w:rsidR="0073166A" w:rsidRPr="00986F85" w:rsidRDefault="0073166A" w:rsidP="005127CF">
      <w:pPr>
        <w:pStyle w:val="Szvegtrzs"/>
        <w:spacing w:after="0" w:line="360" w:lineRule="auto"/>
        <w:jc w:val="both"/>
        <w:rPr>
          <w:rFonts w:cs="Times New Roman"/>
          <w:szCs w:val="24"/>
        </w:rPr>
      </w:pPr>
    </w:p>
    <w:p w14:paraId="15CB2440" w14:textId="77777777" w:rsidR="005127CF" w:rsidRPr="00986F85" w:rsidRDefault="005127CF" w:rsidP="005127CF">
      <w:pPr>
        <w:pStyle w:val="Szvegtrzs"/>
        <w:spacing w:after="0" w:line="360" w:lineRule="auto"/>
        <w:jc w:val="both"/>
        <w:rPr>
          <w:rFonts w:cs="Times New Roman"/>
          <w:b/>
          <w:i/>
          <w:szCs w:val="24"/>
        </w:rPr>
      </w:pPr>
      <w:r w:rsidRPr="00986F85">
        <w:rPr>
          <w:rFonts w:cs="Times New Roman"/>
          <w:b/>
          <w:i/>
          <w:szCs w:val="24"/>
        </w:rPr>
        <w:t>Különbségek különbsége (difference-in-differences)</w:t>
      </w:r>
    </w:p>
    <w:p w14:paraId="2D3A6F49" w14:textId="77777777" w:rsidR="004F45CC" w:rsidRPr="00986F85" w:rsidRDefault="005127CF" w:rsidP="005127CF">
      <w:pPr>
        <w:pStyle w:val="Szvegtrzs"/>
        <w:spacing w:after="0" w:line="360" w:lineRule="auto"/>
        <w:jc w:val="both"/>
        <w:rPr>
          <w:rFonts w:cs="Times New Roman"/>
          <w:szCs w:val="24"/>
        </w:rPr>
      </w:pPr>
      <w:r w:rsidRPr="00986F85">
        <w:rPr>
          <w:rFonts w:cs="Times New Roman"/>
          <w:szCs w:val="24"/>
        </w:rPr>
        <w:t xml:space="preserve">A különbségek különbsége módszer egy kettős különbség kiszámításán alapul: a kezelt és a kontrollcsoport közötti eltérést hasonlítjuk össze a kezelés előtt és a kezelés után. Az eljárás alkalmazhatóságának fontos feltétele, hogy a kezelt-és a kontrollcsoport a kezelés időtartama alatt hasonló külső hatásoknak legyen kitéve, </w:t>
      </w:r>
      <w:r w:rsidR="00CC4310" w:rsidRPr="00986F85">
        <w:rPr>
          <w:rFonts w:cs="Times New Roman"/>
          <w:szCs w:val="24"/>
        </w:rPr>
        <w:t>vagyis</w:t>
      </w:r>
      <w:r w:rsidRPr="00986F85">
        <w:rPr>
          <w:rFonts w:cs="Times New Roman"/>
          <w:szCs w:val="24"/>
        </w:rPr>
        <w:t xml:space="preserve"> feltételezhető</w:t>
      </w:r>
      <w:r w:rsidR="00CC4310" w:rsidRPr="00986F85">
        <w:rPr>
          <w:rFonts w:cs="Times New Roman"/>
          <w:szCs w:val="24"/>
        </w:rPr>
        <w:t xml:space="preserve"> legyen</w:t>
      </w:r>
      <w:r w:rsidRPr="00986F85">
        <w:rPr>
          <w:rFonts w:cs="Times New Roman"/>
          <w:szCs w:val="24"/>
        </w:rPr>
        <w:t xml:space="preserve">, hogy a kezelés hiányában </w:t>
      </w:r>
      <w:r w:rsidR="00CC4310" w:rsidRPr="00986F85">
        <w:rPr>
          <w:rFonts w:cs="Times New Roman"/>
          <w:szCs w:val="24"/>
        </w:rPr>
        <w:t xml:space="preserve">körükben </w:t>
      </w:r>
      <w:r w:rsidRPr="00986F85">
        <w:rPr>
          <w:rFonts w:cs="Times New Roman"/>
          <w:szCs w:val="24"/>
        </w:rPr>
        <w:t xml:space="preserve">ugyanakkora mértékben változott volna körükben az eredményváltozó értéke. </w:t>
      </w:r>
    </w:p>
    <w:p w14:paraId="35CC1AA9" w14:textId="77777777" w:rsidR="004F45CC" w:rsidRPr="00986F85" w:rsidRDefault="004F45CC" w:rsidP="005127CF">
      <w:pPr>
        <w:pStyle w:val="Szvegtrzs"/>
        <w:spacing w:after="0" w:line="360" w:lineRule="auto"/>
        <w:jc w:val="both"/>
        <w:rPr>
          <w:rFonts w:cs="Times New Roman"/>
          <w:szCs w:val="24"/>
        </w:rPr>
      </w:pPr>
    </w:p>
    <w:p w14:paraId="7227A8BF" w14:textId="77777777" w:rsidR="005127CF" w:rsidRPr="00986F85" w:rsidRDefault="005127CF" w:rsidP="005127CF">
      <w:pPr>
        <w:pStyle w:val="Szvegtrzs"/>
        <w:spacing w:after="0" w:line="360" w:lineRule="auto"/>
        <w:jc w:val="both"/>
        <w:rPr>
          <w:rFonts w:cs="Times New Roman"/>
          <w:szCs w:val="24"/>
        </w:rPr>
      </w:pPr>
      <w:r w:rsidRPr="00986F85">
        <w:rPr>
          <w:rFonts w:cs="Times New Roman"/>
          <w:szCs w:val="24"/>
        </w:rPr>
        <w:t xml:space="preserve">Közös trendet a legtöbb esetben nem tételezhetünk fel, mert a két csoport összetétele a megfigyelhető, vagy a nem megfigyelhető dimenziókban különbözhet egymástól, és emiatt az eredményváltozó értéke a beavatkozás nélkül is eltérő módon alakult volna. Megoldást jelenthet ere a problémára olyan kontrollváltozók alkalmazása, melyek jól megragadják a csoportok összetételében lévő különbségeket. </w:t>
      </w:r>
    </w:p>
    <w:p w14:paraId="7681A20B" w14:textId="77777777" w:rsidR="004F45CC" w:rsidRPr="00986F85" w:rsidRDefault="004F45CC" w:rsidP="005127CF">
      <w:pPr>
        <w:pStyle w:val="Szvegtrzs"/>
        <w:spacing w:after="0" w:line="360" w:lineRule="auto"/>
        <w:jc w:val="both"/>
        <w:rPr>
          <w:rFonts w:cs="Times New Roman"/>
          <w:szCs w:val="24"/>
        </w:rPr>
      </w:pPr>
    </w:p>
    <w:p w14:paraId="6632672C" w14:textId="77777777" w:rsidR="005127CF" w:rsidRPr="00986F85" w:rsidRDefault="005127CF" w:rsidP="005127CF">
      <w:pPr>
        <w:pStyle w:val="Szvegtrzs"/>
        <w:spacing w:after="0" w:line="360" w:lineRule="auto"/>
        <w:jc w:val="both"/>
        <w:rPr>
          <w:rFonts w:cs="Times New Roman"/>
          <w:szCs w:val="24"/>
        </w:rPr>
      </w:pPr>
      <w:r w:rsidRPr="00986F85">
        <w:rPr>
          <w:rFonts w:cs="Times New Roman"/>
          <w:szCs w:val="24"/>
        </w:rPr>
        <w:t>Az alábbi egyszerű modellt becsültük:</w:t>
      </w:r>
    </w:p>
    <w:p w14:paraId="36ACE178" w14:textId="77777777" w:rsidR="00CC4310" w:rsidRPr="00986F85" w:rsidRDefault="00434EAE" w:rsidP="006A728D">
      <w:pPr>
        <w:spacing w:line="360" w:lineRule="auto"/>
        <w:rPr>
          <w:rFonts w:cs="Times New Roman"/>
          <w:szCs w:val="24"/>
        </w:rPr>
      </w:pPr>
      <w:r w:rsidRPr="00986F85">
        <w:rPr>
          <w:rFonts w:cs="Times New Roman"/>
          <w:szCs w:val="24"/>
        </w:rPr>
        <w:t xml:space="preserve"> </w:t>
      </w:r>
      <w:r w:rsidR="00B03A0B" w:rsidRPr="00986F85">
        <w:rPr>
          <w:rFonts w:cs="Times New Roman"/>
          <w:szCs w:val="24"/>
        </w:rPr>
        <w:t xml:space="preserve">(3) </w:t>
      </w:r>
      <w:r w:rsidR="00B03A0B" w:rsidRPr="00986F85">
        <w:rPr>
          <w:rFonts w:cs="Times New Roman"/>
          <w:szCs w:val="24"/>
        </w:rPr>
        <w:tab/>
      </w:r>
      <m:oMath>
        <m:sSub>
          <m:sSubPr>
            <m:ctrlPr>
              <w:rPr>
                <w:rFonts w:ascii="Cambria Math" w:hAnsi="Cambria Math" w:cs="Times New Roman"/>
                <w:i/>
                <w:szCs w:val="24"/>
              </w:rPr>
            </m:ctrlPr>
          </m:sSubPr>
          <m:e>
            <m:r>
              <w:rPr>
                <w:rFonts w:ascii="Cambria Math" w:hAnsi="Cambria Math" w:cs="Times New Roman"/>
                <w:szCs w:val="24"/>
              </w:rPr>
              <m:t>Y</m:t>
            </m:r>
          </m:e>
          <m:sub>
            <m:r>
              <w:rPr>
                <w:rFonts w:ascii="Cambria Math" w:hAnsi="Cambria Math" w:cs="Times New Roman"/>
                <w:szCs w:val="24"/>
              </w:rPr>
              <m:t>i</m:t>
            </m:r>
          </m:sub>
        </m:sSub>
        <m: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0</m:t>
            </m:r>
          </m:sub>
        </m:sSub>
        <m: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1</m:t>
            </m:r>
          </m:sub>
        </m:sSub>
        <m:sSub>
          <m:sSubPr>
            <m:ctrlPr>
              <w:rPr>
                <w:rFonts w:ascii="Cambria Math" w:hAnsi="Cambria Math" w:cs="Times New Roman"/>
                <w:i/>
                <w:szCs w:val="24"/>
              </w:rPr>
            </m:ctrlPr>
          </m:sSubPr>
          <m:e>
            <m:r>
              <w:rPr>
                <w:rFonts w:ascii="Cambria Math" w:hAnsi="Cambria Math" w:cs="Times New Roman"/>
                <w:szCs w:val="24"/>
              </w:rPr>
              <m:t>T</m:t>
            </m:r>
          </m:e>
          <m:sub>
            <m:r>
              <w:rPr>
                <w:rFonts w:ascii="Cambria Math" w:hAnsi="Cambria Math" w:cs="Times New Roman"/>
                <w:szCs w:val="24"/>
              </w:rPr>
              <m:t>i</m:t>
            </m:r>
          </m:sub>
        </m:sSub>
        <m: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1</m:t>
            </m:r>
          </m:sub>
        </m:sSub>
        <m:sSub>
          <m:sSubPr>
            <m:ctrlPr>
              <w:rPr>
                <w:rFonts w:ascii="Cambria Math" w:hAnsi="Cambria Math" w:cs="Times New Roman"/>
                <w:i/>
                <w:szCs w:val="24"/>
              </w:rPr>
            </m:ctrlPr>
          </m:sSubPr>
          <m:e>
            <m:r>
              <w:rPr>
                <w:rFonts w:ascii="Cambria Math" w:hAnsi="Cambria Math" w:cs="Times New Roman"/>
                <w:szCs w:val="24"/>
              </w:rPr>
              <m:t>kezelt</m:t>
            </m:r>
          </m:e>
          <m:sub>
            <m:r>
              <w:rPr>
                <w:rFonts w:ascii="Cambria Math" w:hAnsi="Cambria Math" w:cs="Times New Roman"/>
                <w:szCs w:val="24"/>
              </w:rPr>
              <m:t>i</m:t>
            </m:r>
          </m:sub>
        </m:sSub>
        <m: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3</m:t>
            </m:r>
          </m:sub>
        </m:sSub>
        <m:sSub>
          <m:sSubPr>
            <m:ctrlPr>
              <w:rPr>
                <w:rFonts w:ascii="Cambria Math" w:hAnsi="Cambria Math" w:cs="Times New Roman"/>
                <w:i/>
                <w:szCs w:val="24"/>
              </w:rPr>
            </m:ctrlPr>
          </m:sSubPr>
          <m:e>
            <m:r>
              <w:rPr>
                <w:rFonts w:ascii="Cambria Math" w:hAnsi="Cambria Math" w:cs="Times New Roman"/>
                <w:szCs w:val="24"/>
              </w:rPr>
              <m:t>T</m:t>
            </m:r>
          </m:e>
          <m:sub>
            <m:r>
              <w:rPr>
                <w:rFonts w:ascii="Cambria Math" w:hAnsi="Cambria Math" w:cs="Times New Roman"/>
                <w:szCs w:val="24"/>
              </w:rPr>
              <m:t>i</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kezelt</m:t>
            </m:r>
          </m:e>
          <m:sub>
            <m:r>
              <w:rPr>
                <w:rFonts w:ascii="Cambria Math" w:hAnsi="Cambria Math" w:cs="Times New Roman"/>
                <w:szCs w:val="24"/>
              </w:rPr>
              <m:t>i</m:t>
            </m:r>
          </m:sub>
        </m:sSub>
        <m: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k</m:t>
            </m:r>
          </m:sub>
        </m:sSub>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ki</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ϵ</m:t>
            </m:r>
          </m:e>
          <m:sub>
            <m:r>
              <w:rPr>
                <w:rFonts w:ascii="Cambria Math" w:hAnsi="Cambria Math" w:cs="Times New Roman"/>
                <w:szCs w:val="24"/>
              </w:rPr>
              <m:t>i</m:t>
            </m:r>
          </m:sub>
        </m:sSub>
      </m:oMath>
      <w:r w:rsidR="00CC4310" w:rsidRPr="00986F85">
        <w:rPr>
          <w:rFonts w:cs="Times New Roman"/>
          <w:szCs w:val="24"/>
        </w:rPr>
        <w:t>,</w:t>
      </w:r>
    </w:p>
    <w:p w14:paraId="2152944F" w14:textId="77777777" w:rsidR="00EF7CEF" w:rsidRPr="00986F85" w:rsidRDefault="006A728D" w:rsidP="00EF7CEF">
      <w:pPr>
        <w:spacing w:after="0" w:line="360" w:lineRule="auto"/>
        <w:jc w:val="both"/>
        <w:rPr>
          <w:rFonts w:eastAsia="MS Mincho" w:cs="Times New Roman"/>
          <w:szCs w:val="24"/>
        </w:rPr>
      </w:pPr>
      <w:r w:rsidRPr="00986F85">
        <w:rPr>
          <w:rFonts w:cs="Times New Roman"/>
          <w:szCs w:val="24"/>
        </w:rPr>
        <w:t xml:space="preserve">ahol </w:t>
      </w:r>
      <m:oMath>
        <m:r>
          <w:rPr>
            <w:rFonts w:ascii="Cambria Math" w:hAnsi="Cambria Math" w:cs="Times New Roman"/>
            <w:szCs w:val="24"/>
          </w:rPr>
          <m:t>T=</m:t>
        </m:r>
        <m:d>
          <m:dPr>
            <m:begChr m:val="{"/>
            <m:endChr m:val="}"/>
            <m:ctrlPr>
              <w:rPr>
                <w:rFonts w:ascii="Cambria Math" w:hAnsi="Cambria Math" w:cs="Times New Roman"/>
                <w:i/>
                <w:szCs w:val="24"/>
              </w:rPr>
            </m:ctrlPr>
          </m:dPr>
          <m:e>
            <m:r>
              <w:rPr>
                <w:rFonts w:ascii="Cambria Math" w:hAnsi="Cambria Math" w:cs="Times New Roman"/>
                <w:szCs w:val="24"/>
              </w:rPr>
              <m:t>1, 0</m:t>
            </m:r>
          </m:e>
        </m:d>
      </m:oMath>
      <w:r w:rsidRPr="00986F85">
        <w:rPr>
          <w:rFonts w:eastAsia="MS Mincho" w:cs="Times New Roman"/>
          <w:szCs w:val="24"/>
        </w:rPr>
        <w:t xml:space="preserve">, 1 jelzi a kezelés utáni időszakot, ez a becsléseinkben 2011, míg 0 a kezelés előtti időszakot, ez a becsléseinkben 2006.  A </w:t>
      </w:r>
      <m:oMath>
        <m:r>
          <w:rPr>
            <w:rFonts w:ascii="Cambria Math" w:eastAsia="MS Mincho" w:hAnsi="Cambria Math" w:cs="Times New Roman"/>
            <w:szCs w:val="24"/>
          </w:rPr>
          <m:t>kezelt=</m:t>
        </m:r>
        <m:d>
          <m:dPr>
            <m:begChr m:val="{"/>
            <m:endChr m:val="}"/>
            <m:ctrlPr>
              <w:rPr>
                <w:rFonts w:ascii="Cambria Math" w:eastAsia="MS Mincho" w:hAnsi="Cambria Math" w:cs="Times New Roman"/>
                <w:i/>
                <w:szCs w:val="24"/>
              </w:rPr>
            </m:ctrlPr>
          </m:dPr>
          <m:e>
            <m:r>
              <w:rPr>
                <w:rFonts w:ascii="Cambria Math" w:eastAsia="MS Mincho" w:hAnsi="Cambria Math" w:cs="Times New Roman"/>
                <w:szCs w:val="24"/>
              </w:rPr>
              <m:t>1,0</m:t>
            </m:r>
          </m:e>
        </m:d>
      </m:oMath>
      <w:r w:rsidRPr="00986F85">
        <w:rPr>
          <w:rFonts w:eastAsia="MS Mincho" w:cs="Times New Roman"/>
          <w:szCs w:val="24"/>
        </w:rPr>
        <w:t xml:space="preserve"> , 1 jelzi ha a cég kezelt, 0 ha kontroll. Az X-ek a kontrollváltozók, melyek lényegében megegyeznek a </w:t>
      </w:r>
      <w:r w:rsidRPr="00986F85">
        <w:rPr>
          <w:rFonts w:eastAsia="MS Mincho" w:cs="Times New Roman"/>
          <w:i/>
          <w:szCs w:val="24"/>
        </w:rPr>
        <w:t>propensity score matching</w:t>
      </w:r>
      <w:r w:rsidRPr="00986F85">
        <w:rPr>
          <w:rFonts w:eastAsia="MS Mincho" w:cs="Times New Roman"/>
          <w:szCs w:val="24"/>
        </w:rPr>
        <w:t xml:space="preserve"> </w:t>
      </w:r>
      <w:r w:rsidR="00EF7CEF" w:rsidRPr="00986F85">
        <w:rPr>
          <w:rFonts w:eastAsia="MS Mincho" w:cs="Times New Roman"/>
          <w:szCs w:val="24"/>
        </w:rPr>
        <w:t>probit</w:t>
      </w:r>
      <w:r w:rsidRPr="00986F85">
        <w:rPr>
          <w:rFonts w:eastAsia="MS Mincho" w:cs="Times New Roman"/>
          <w:szCs w:val="24"/>
        </w:rPr>
        <w:t xml:space="preserve"> mod</w:t>
      </w:r>
      <w:r w:rsidR="00EF7CEF" w:rsidRPr="00986F85">
        <w:rPr>
          <w:rFonts w:eastAsia="MS Mincho" w:cs="Times New Roman"/>
          <w:szCs w:val="24"/>
        </w:rPr>
        <w:t xml:space="preserve">elljének magyarázó változóival - azzal a különbséggel, hogy itt a jegyzett tőke, árbevétel, tárgyi eszköz és hozzáadott érték nem logaritmusban szerepel. </w:t>
      </w:r>
      <w:r w:rsidR="00EF7CEF" w:rsidRPr="00986F85">
        <w:rPr>
          <w:rFonts w:eastAsia="MS Mincho" w:cs="Times New Roman"/>
          <w:szCs w:val="24"/>
        </w:rPr>
        <w:lastRenderedPageBreak/>
        <w:t xml:space="preserve">Ennek oka, hogy ebben a modellben a szintes magyarázó változókkal jobb illeszkedést kaptunk. </w:t>
      </w:r>
    </w:p>
    <w:p w14:paraId="78105AC3" w14:textId="77777777" w:rsidR="00EF7CEF" w:rsidRPr="00986F85" w:rsidRDefault="00EF7CEF" w:rsidP="00EF7CEF">
      <w:pPr>
        <w:spacing w:after="0" w:line="360" w:lineRule="auto"/>
        <w:jc w:val="both"/>
        <w:rPr>
          <w:rFonts w:eastAsia="MS Mincho" w:cs="Times New Roman"/>
          <w:szCs w:val="24"/>
        </w:rPr>
      </w:pPr>
    </w:p>
    <w:p w14:paraId="2676D04B" w14:textId="77777777" w:rsidR="00EF7CEF" w:rsidRPr="00986F85" w:rsidRDefault="00EF7CEF" w:rsidP="00EF7CEF">
      <w:pPr>
        <w:spacing w:after="0" w:line="360" w:lineRule="auto"/>
        <w:jc w:val="both"/>
        <w:rPr>
          <w:szCs w:val="24"/>
        </w:rPr>
      </w:pPr>
      <w:r w:rsidRPr="00986F85">
        <w:rPr>
          <w:rFonts w:eastAsia="MS Mincho" w:cs="Times New Roman"/>
          <w:szCs w:val="24"/>
        </w:rPr>
        <w:t xml:space="preserve">A különbségek különbsége módszer előnye, hogy viszonylag kicsi az adatigénye, hátránya, hogy a közös trend meglehetősen erős feltételezésnek bizonyul a legtöbb esetben, melyet még a kontrollváltozók alkalmazásával sem lehet mindig jól kezelni. Fontos megjegyezni, hogy a </w:t>
      </w:r>
      <w:r w:rsidRPr="00986F85">
        <w:rPr>
          <w:rFonts w:eastAsia="MS Mincho" w:cs="Times New Roman"/>
          <w:i/>
          <w:szCs w:val="24"/>
        </w:rPr>
        <w:t>propensity score matching</w:t>
      </w:r>
      <w:r w:rsidR="003E6B91" w:rsidRPr="00986F85">
        <w:rPr>
          <w:rFonts w:eastAsia="MS Mincho" w:cs="Times New Roman"/>
          <w:szCs w:val="24"/>
        </w:rPr>
        <w:t>-</w:t>
      </w:r>
      <w:r w:rsidRPr="00986F85">
        <w:rPr>
          <w:rFonts w:eastAsia="MS Mincho" w:cs="Times New Roman"/>
          <w:szCs w:val="24"/>
        </w:rPr>
        <w:t xml:space="preserve">hez hasonlóan a jelenlegi formájában ez a modell sem veszi figyelembe a kezelés heterogenitását, nevezetesen azt, hogy különböző támogatási összegeket kaptak az egyes vállalatok, valamit 2011-hez viszonyítva az egyes kezelteknek eltérő idejük volt beruházás felfuttatására. A becslési eredményeink ezért „összemossák” a különböző típusú kezeltek viselkedését. A kezelteket a támogatási összeg tekintetében egyformának tekintjük, így nem tudjuk megmondani, hogy a támogatás nagysága miképp befolyásolja az eredményváltozók alakulását a kontrollcsoporthoz képest. </w:t>
      </w:r>
    </w:p>
    <w:p w14:paraId="3721A4FD" w14:textId="77777777" w:rsidR="004F45CC" w:rsidRPr="00986F85" w:rsidRDefault="004F45CC" w:rsidP="005127CF">
      <w:pPr>
        <w:pStyle w:val="Szvegtrzs"/>
        <w:spacing w:after="0" w:line="360" w:lineRule="auto"/>
        <w:jc w:val="both"/>
        <w:rPr>
          <w:rFonts w:cs="Times New Roman"/>
          <w:szCs w:val="24"/>
        </w:rPr>
      </w:pPr>
    </w:p>
    <w:p w14:paraId="20C34C4A" w14:textId="77777777" w:rsidR="00811E38" w:rsidRPr="00986F85" w:rsidRDefault="005127CF" w:rsidP="005127CF">
      <w:pPr>
        <w:pStyle w:val="Szvegtrzs"/>
        <w:spacing w:after="0" w:line="360" w:lineRule="auto"/>
        <w:jc w:val="both"/>
        <w:rPr>
          <w:rFonts w:cs="Times New Roman"/>
          <w:szCs w:val="24"/>
        </w:rPr>
      </w:pPr>
      <w:r w:rsidRPr="00986F85">
        <w:rPr>
          <w:rFonts w:cs="Times New Roman"/>
          <w:szCs w:val="24"/>
        </w:rPr>
        <w:t xml:space="preserve">Fontos megjegyezni, hogy a </w:t>
      </w:r>
      <w:r w:rsidRPr="00986F85">
        <w:rPr>
          <w:rFonts w:cs="Times New Roman"/>
          <w:i/>
          <w:szCs w:val="24"/>
        </w:rPr>
        <w:t>propensity score matching</w:t>
      </w:r>
      <w:r w:rsidR="00AF7CD3" w:rsidRPr="00986F85">
        <w:rPr>
          <w:rFonts w:cs="Times New Roman"/>
          <w:szCs w:val="24"/>
        </w:rPr>
        <w:t>-</w:t>
      </w:r>
      <w:r w:rsidRPr="00986F85">
        <w:rPr>
          <w:rFonts w:cs="Times New Roman"/>
          <w:szCs w:val="24"/>
        </w:rPr>
        <w:t>hez hasonlóan a jelenlegi formájában ez a modell sem veszi figyelembe a kezelés heterogenitását, nevezetesen azt, hogy különböző támogatási összegeket kaptak az egyes vállalatok, valamit 2011-hez viszonyítva az egyes kezelteknek eltérő idejük volt beruházás felfuttatására. A becslési eredményeink ezért „összemossák” a különböző típusú kezeltek viselkedését. A kezelteket a támogatási összeg tekintetében egyformának tekintjük, így nem tudjuk megmondani, hogy a támogatás nagysága miképp befolyá</w:t>
      </w:r>
      <w:r w:rsidR="004F45CC" w:rsidRPr="00986F85">
        <w:rPr>
          <w:rFonts w:cs="Times New Roman"/>
          <w:szCs w:val="24"/>
        </w:rPr>
        <w:t>s</w:t>
      </w:r>
      <w:r w:rsidRPr="00986F85">
        <w:rPr>
          <w:rFonts w:cs="Times New Roman"/>
          <w:szCs w:val="24"/>
        </w:rPr>
        <w:t>olja az eredményváltozók alakulását a kontrollcsoporthoz képest</w:t>
      </w:r>
      <w:r w:rsidR="00811E38" w:rsidRPr="00986F85">
        <w:rPr>
          <w:rFonts w:cs="Times New Roman"/>
          <w:szCs w:val="24"/>
        </w:rPr>
        <w:t xml:space="preserve">, miközben plauzibilisnek tűnik az a sejtés, hogy a támogatási összeg nagysága korrelálhat egyes magyarázó változóinkkal, és hatással lehet az eredményváltozóinkra is. A támogatási adatokat tartalmazó adatbázisban nem szerepelnek pontos támogatási összegek, a rendelkezésünkre álló támogatási összeg intervallumok pedig nagyon nagyok ilyen finomabb becslés elvégzésére.  Ezt viszont egy pontosabb adatbázison érdemes volna pótolni a jövőben. </w:t>
      </w:r>
    </w:p>
    <w:p w14:paraId="7F526635" w14:textId="77777777" w:rsidR="00811E38" w:rsidRPr="00986F85" w:rsidRDefault="00811E38" w:rsidP="005127CF">
      <w:pPr>
        <w:pStyle w:val="Szvegtrzs"/>
        <w:spacing w:after="0" w:line="360" w:lineRule="auto"/>
        <w:jc w:val="both"/>
        <w:rPr>
          <w:rFonts w:cs="Times New Roman"/>
          <w:szCs w:val="24"/>
        </w:rPr>
      </w:pPr>
    </w:p>
    <w:p w14:paraId="1727E95B" w14:textId="77777777" w:rsidR="005127CF" w:rsidRPr="00986F85" w:rsidRDefault="005127CF" w:rsidP="005127CF">
      <w:pPr>
        <w:pStyle w:val="Szvegtrzs"/>
        <w:spacing w:after="0" w:line="360" w:lineRule="auto"/>
        <w:jc w:val="both"/>
        <w:rPr>
          <w:rFonts w:cs="Times New Roman"/>
          <w:szCs w:val="24"/>
        </w:rPr>
      </w:pPr>
      <w:r w:rsidRPr="00986F85">
        <w:rPr>
          <w:rFonts w:cs="Times New Roman"/>
          <w:szCs w:val="24"/>
        </w:rPr>
        <w:lastRenderedPageBreak/>
        <w:t>A főbb használt magyarázó változók: kor, foglalkoztatottak száma, tőkeintenzitás, árbevétel, jegyzett tőke, összes eszköz. Ezek mellett számos egyéb mérlegváltozót is kipróbáltunk, de ez nem változtatott érdemben az eredményeken.</w:t>
      </w:r>
    </w:p>
    <w:p w14:paraId="71300353" w14:textId="77777777" w:rsidR="00EF7CEF" w:rsidRPr="00986F85" w:rsidRDefault="00EF7CEF" w:rsidP="005127CF">
      <w:pPr>
        <w:pStyle w:val="Szvegtrzs"/>
        <w:spacing w:after="0" w:line="360" w:lineRule="auto"/>
        <w:jc w:val="both"/>
        <w:rPr>
          <w:rFonts w:cs="Times New Roman"/>
          <w:szCs w:val="24"/>
        </w:rPr>
      </w:pPr>
    </w:p>
    <w:p w14:paraId="59FC7AFE" w14:textId="77777777" w:rsidR="005127CF" w:rsidRPr="00986F85" w:rsidRDefault="005127CF" w:rsidP="005127CF">
      <w:pPr>
        <w:pStyle w:val="Szvegtrzs"/>
        <w:spacing w:after="0" w:line="360" w:lineRule="auto"/>
        <w:jc w:val="both"/>
        <w:rPr>
          <w:rFonts w:cs="Times New Roman"/>
          <w:b/>
          <w:i/>
          <w:szCs w:val="24"/>
        </w:rPr>
      </w:pPr>
      <w:r w:rsidRPr="00986F85">
        <w:rPr>
          <w:rFonts w:cs="Times New Roman"/>
          <w:b/>
          <w:i/>
          <w:szCs w:val="24"/>
        </w:rPr>
        <w:t>Panel modell</w:t>
      </w:r>
    </w:p>
    <w:p w14:paraId="46073538" w14:textId="77777777" w:rsidR="005127CF" w:rsidRPr="00986F85" w:rsidRDefault="005127CF" w:rsidP="005127CF">
      <w:pPr>
        <w:pStyle w:val="Szvegtrzs"/>
        <w:spacing w:after="0" w:line="360" w:lineRule="auto"/>
        <w:jc w:val="both"/>
        <w:rPr>
          <w:rFonts w:cs="Times New Roman"/>
          <w:szCs w:val="24"/>
        </w:rPr>
      </w:pPr>
      <w:r w:rsidRPr="00986F85">
        <w:rPr>
          <w:rFonts w:cs="Times New Roman"/>
          <w:szCs w:val="24"/>
        </w:rPr>
        <w:t xml:space="preserve">Az előzőekben bemutatott DiD modell egyik előnye, hogy az eredmény könnyen értelmezhető, hátránya, hogy viszonylag kevés adatpontból becsül és nem veszi figyelembe, hogy a kezeltek 2007-2009 között különböző időpontokban válnak kezeltté. Az alábbi fix-hatás panel modell részben orvosolja ezeket a problémákat, de nehezebben értelmezhetők az eredmények. </w:t>
      </w:r>
    </w:p>
    <w:p w14:paraId="1D91821B" w14:textId="77777777" w:rsidR="00F03044" w:rsidRPr="00986F85" w:rsidRDefault="00F03044" w:rsidP="00F03044">
      <w:pPr>
        <w:jc w:val="both"/>
        <w:rPr>
          <w:vertAlign w:val="subscript"/>
        </w:rPr>
      </w:pPr>
      <w:r w:rsidRPr="00986F85">
        <w:rPr>
          <w:rFonts w:cs="Times New Roman"/>
          <w:szCs w:val="24"/>
        </w:rPr>
        <w:t xml:space="preserve">(4) </w:t>
      </w:r>
      <w:r w:rsidRPr="00986F85">
        <w:rPr>
          <w:rFonts w:cs="Times New Roman"/>
          <w:szCs w:val="24"/>
        </w:rPr>
        <w:tab/>
      </w:r>
      <w:r w:rsidRPr="00986F85">
        <w:t>Y</w:t>
      </w:r>
      <w:r w:rsidRPr="00986F85">
        <w:rPr>
          <w:vertAlign w:val="subscript"/>
        </w:rPr>
        <w:t xml:space="preserve">it </w:t>
      </w:r>
      <w:r w:rsidRPr="00986F85">
        <w:t>= α</w:t>
      </w:r>
      <w:r w:rsidRPr="00986F85">
        <w:rPr>
          <w:vertAlign w:val="subscript"/>
        </w:rPr>
        <w:t>i</w:t>
      </w:r>
      <w:r w:rsidRPr="00986F85">
        <w:t xml:space="preserve"> + β</w:t>
      </w:r>
      <w:r w:rsidRPr="00986F85">
        <w:rPr>
          <w:vertAlign w:val="subscript"/>
        </w:rPr>
        <w:t>1</w:t>
      </w:r>
      <w:r w:rsidRPr="00986F85">
        <w:t>*kezelt</w:t>
      </w:r>
      <w:r w:rsidRPr="00986F85">
        <w:rPr>
          <w:vertAlign w:val="subscript"/>
        </w:rPr>
        <w:t xml:space="preserve">it </w:t>
      </w:r>
      <w:r w:rsidRPr="00986F85">
        <w:t>+ β</w:t>
      </w:r>
      <w:r w:rsidRPr="00986F85">
        <w:rPr>
          <w:vertAlign w:val="subscript"/>
        </w:rPr>
        <w:t>2</w:t>
      </w:r>
      <w:r w:rsidRPr="00986F85">
        <w:t>*tokeintenz</w:t>
      </w:r>
      <w:r w:rsidRPr="00986F85">
        <w:rPr>
          <w:vertAlign w:val="subscript"/>
        </w:rPr>
        <w:t>it-1</w:t>
      </w:r>
      <w:r w:rsidRPr="00986F85">
        <w:t>+ β</w:t>
      </w:r>
      <w:r w:rsidRPr="00986F85">
        <w:rPr>
          <w:vertAlign w:val="subscript"/>
        </w:rPr>
        <w:t>3</w:t>
      </w:r>
      <w:r w:rsidRPr="00986F85">
        <w:t>*fogszam</w:t>
      </w:r>
      <w:r w:rsidRPr="00986F85">
        <w:rPr>
          <w:vertAlign w:val="subscript"/>
        </w:rPr>
        <w:t>it-1</w:t>
      </w:r>
      <w:r w:rsidRPr="00986F85">
        <w:t>+ β</w:t>
      </w:r>
      <w:r w:rsidRPr="00986F85">
        <w:rPr>
          <w:vertAlign w:val="subscript"/>
        </w:rPr>
        <w:t>4</w:t>
      </w:r>
      <w:r w:rsidRPr="00986F85">
        <w:t>*fogszam2</w:t>
      </w:r>
      <w:r w:rsidRPr="00986F85">
        <w:rPr>
          <w:vertAlign w:val="subscript"/>
        </w:rPr>
        <w:t>it-1</w:t>
      </w:r>
      <w:r w:rsidRPr="00986F85">
        <w:t>+ β</w:t>
      </w:r>
      <w:r w:rsidRPr="00986F85">
        <w:rPr>
          <w:vertAlign w:val="subscript"/>
        </w:rPr>
        <w:t>5</w:t>
      </w:r>
      <w:r w:rsidRPr="00986F85">
        <w:t>*jtoke</w:t>
      </w:r>
      <w:r w:rsidRPr="00986F85">
        <w:rPr>
          <w:vertAlign w:val="subscript"/>
        </w:rPr>
        <w:t>it-1</w:t>
      </w:r>
      <w:r w:rsidRPr="00986F85">
        <w:t>+ β</w:t>
      </w:r>
      <w:r w:rsidRPr="00986F85">
        <w:rPr>
          <w:vertAlign w:val="subscript"/>
        </w:rPr>
        <w:t>6</w:t>
      </w:r>
      <w:r w:rsidRPr="00986F85">
        <w:t>*loghe + β</w:t>
      </w:r>
      <w:r w:rsidRPr="00986F85">
        <w:rPr>
          <w:vertAlign w:val="subscript"/>
        </w:rPr>
        <w:t>7</w:t>
      </w:r>
      <w:r w:rsidRPr="00986F85">
        <w:t>*likvid</w:t>
      </w:r>
      <w:r w:rsidRPr="00986F85">
        <w:rPr>
          <w:vertAlign w:val="subscript"/>
        </w:rPr>
        <w:t>it-1</w:t>
      </w:r>
      <w:r w:rsidRPr="00986F85">
        <w:t xml:space="preserve"> + β</w:t>
      </w:r>
      <w:r w:rsidRPr="00986F85">
        <w:rPr>
          <w:vertAlign w:val="subscript"/>
        </w:rPr>
        <w:t>8</w:t>
      </w:r>
      <w:r w:rsidRPr="00986F85">
        <w:t>*adoev</w:t>
      </w:r>
      <w:r w:rsidRPr="00986F85">
        <w:rPr>
          <w:vertAlign w:val="subscript"/>
        </w:rPr>
        <w:t>t</w:t>
      </w:r>
      <w:r w:rsidRPr="00986F85">
        <w:t xml:space="preserve"> + ε</w:t>
      </w:r>
      <w:r w:rsidRPr="00986F85">
        <w:rPr>
          <w:vertAlign w:val="subscript"/>
        </w:rPr>
        <w:t>it</w:t>
      </w:r>
    </w:p>
    <w:p w14:paraId="72391AB3" w14:textId="77777777" w:rsidR="006A728D" w:rsidRPr="00986F85" w:rsidRDefault="006A728D" w:rsidP="00CC4310">
      <w:pPr>
        <w:pStyle w:val="Szvegtrzs"/>
        <w:spacing w:after="0" w:line="360" w:lineRule="auto"/>
        <w:jc w:val="both"/>
        <w:rPr>
          <w:sz w:val="22"/>
          <w:vertAlign w:val="subscript"/>
        </w:rPr>
      </w:pPr>
      <w:r w:rsidRPr="00986F85">
        <w:rPr>
          <w:szCs w:val="24"/>
        </w:rPr>
        <w:t>A hibatag u</w:t>
      </w:r>
      <w:r w:rsidRPr="00986F85">
        <w:rPr>
          <w:szCs w:val="24"/>
          <w:vertAlign w:val="subscript"/>
        </w:rPr>
        <w:t>it</w:t>
      </w:r>
      <w:r w:rsidRPr="00986F85">
        <w:rPr>
          <w:szCs w:val="24"/>
        </w:rPr>
        <w:t xml:space="preserve"> = α</w:t>
      </w:r>
      <w:r w:rsidRPr="00986F85">
        <w:rPr>
          <w:szCs w:val="24"/>
          <w:vertAlign w:val="subscript"/>
        </w:rPr>
        <w:t>i</w:t>
      </w:r>
      <w:r w:rsidRPr="00986F85">
        <w:rPr>
          <w:szCs w:val="24"/>
        </w:rPr>
        <w:t xml:space="preserve"> + ε</w:t>
      </w:r>
      <w:r w:rsidRPr="00986F85">
        <w:rPr>
          <w:szCs w:val="24"/>
          <w:vertAlign w:val="subscript"/>
        </w:rPr>
        <w:t>it</w:t>
      </w:r>
      <w:r w:rsidRPr="00986F85">
        <w:rPr>
          <w:szCs w:val="24"/>
        </w:rPr>
        <w:t>. A fix-hatás modell megengedi, hogy hibatag időinvariáns része (α</w:t>
      </w:r>
      <w:r w:rsidRPr="00986F85">
        <w:rPr>
          <w:szCs w:val="24"/>
          <w:vertAlign w:val="subscript"/>
        </w:rPr>
        <w:t>i</w:t>
      </w:r>
      <w:r w:rsidRPr="00986F85">
        <w:rPr>
          <w:szCs w:val="24"/>
        </w:rPr>
        <w:t>) korrelált legyen az X-ekkel, de azt itt is feltesszük, hogy x</w:t>
      </w:r>
      <w:r w:rsidRPr="00986F85">
        <w:rPr>
          <w:szCs w:val="24"/>
          <w:vertAlign w:val="subscript"/>
        </w:rPr>
        <w:t>it</w:t>
      </w:r>
      <w:r w:rsidRPr="00986F85">
        <w:rPr>
          <w:szCs w:val="24"/>
        </w:rPr>
        <w:t xml:space="preserve"> nem korrelált a hibatag idioszinkratikus részével (ε</w:t>
      </w:r>
      <w:r w:rsidRPr="00986F85">
        <w:rPr>
          <w:szCs w:val="24"/>
          <w:vertAlign w:val="subscript"/>
        </w:rPr>
        <w:t>it</w:t>
      </w:r>
      <w:r w:rsidRPr="00986F85">
        <w:rPr>
          <w:szCs w:val="24"/>
        </w:rPr>
        <w:t>).</w:t>
      </w:r>
    </w:p>
    <w:p w14:paraId="13C23D84" w14:textId="77777777" w:rsidR="002E591B" w:rsidRPr="00986F85" w:rsidRDefault="002E591B" w:rsidP="00B04415">
      <w:pPr>
        <w:pStyle w:val="Szvegtrzs"/>
        <w:spacing w:after="0" w:line="360" w:lineRule="auto"/>
        <w:jc w:val="both"/>
        <w:rPr>
          <w:rFonts w:cs="Times New Roman"/>
          <w:szCs w:val="24"/>
        </w:rPr>
      </w:pPr>
    </w:p>
    <w:p w14:paraId="1DBEA76E" w14:textId="77777777" w:rsidR="002E591B" w:rsidRPr="00986F85" w:rsidRDefault="002E591B" w:rsidP="002E591B">
      <w:pPr>
        <w:pStyle w:val="Szvegtrzs"/>
        <w:spacing w:after="0" w:line="360" w:lineRule="auto"/>
        <w:jc w:val="both"/>
        <w:rPr>
          <w:rFonts w:cs="Times New Roman"/>
          <w:szCs w:val="24"/>
        </w:rPr>
      </w:pPr>
      <w:r w:rsidRPr="00986F85">
        <w:t xml:space="preserve">A kezelt dummy változó értéke 1, ha a cég a t-edik évben megkapta a pályázata utolsó kifizetését és utána végig egy marad. A tőkeintenzitás, a vállalti létszám, illetve ennek négyzete, a jegyzett tőke és a hozzáadott érték logaritmusa, valamint a likviditási mutató egy évvel késleltetett értéke tölti be azt a szerepet, amit a DiD modell 2006-os szinten rögzített kontroll változói. </w:t>
      </w:r>
      <w:r w:rsidRPr="00986F85">
        <w:rPr>
          <w:rFonts w:cs="Times New Roman"/>
          <w:szCs w:val="24"/>
        </w:rPr>
        <w:t xml:space="preserve">A különbség az, hogy itt a magyarázó változók minden egyes kezeltnél pontosan a t időszakot egy évvel megelőző szinteket jelzik, míg a DiD modell rögzítetten a 2006-os értékekkel számol. Az adóév változó kiszűri az eredményváltozóban jelentkező esetleges lineáris trendet. A minta összeállításkor az egyes </w:t>
      </w:r>
      <w:r w:rsidRPr="00986F85">
        <w:rPr>
          <w:rFonts w:cs="Times New Roman"/>
          <w:i/>
          <w:szCs w:val="24"/>
        </w:rPr>
        <w:t>cégek propensity score</w:t>
      </w:r>
      <w:r w:rsidRPr="00986F85">
        <w:rPr>
          <w:rFonts w:cs="Times New Roman"/>
          <w:szCs w:val="24"/>
        </w:rPr>
        <w:t xml:space="preserve">-t értékét vettük figyelembe, Crump et al  (2009) alapján.  </w:t>
      </w:r>
    </w:p>
    <w:p w14:paraId="3629DC76" w14:textId="77777777" w:rsidR="002E591B" w:rsidRPr="00986F85" w:rsidRDefault="002E591B" w:rsidP="00B04415">
      <w:pPr>
        <w:pStyle w:val="Szvegtrzs"/>
        <w:spacing w:after="0" w:line="360" w:lineRule="auto"/>
        <w:jc w:val="both"/>
        <w:rPr>
          <w:rFonts w:cs="Times New Roman"/>
          <w:szCs w:val="24"/>
        </w:rPr>
      </w:pPr>
    </w:p>
    <w:p w14:paraId="7EFB68DD" w14:textId="77777777" w:rsidR="005317BA" w:rsidRPr="00986F85" w:rsidRDefault="00A45FCA" w:rsidP="00B04415">
      <w:pPr>
        <w:pStyle w:val="Cmsor2"/>
        <w:spacing w:before="0" w:after="0" w:line="360" w:lineRule="auto"/>
        <w:jc w:val="both"/>
        <w:rPr>
          <w:rFonts w:ascii="Myriad Pro" w:hAnsi="Myriad Pro"/>
          <w:szCs w:val="24"/>
        </w:rPr>
      </w:pPr>
      <w:bookmarkStart w:id="36" w:name="_Toc230854320"/>
      <w:r w:rsidRPr="00986F85">
        <w:rPr>
          <w:rFonts w:ascii="Myriad Pro" w:hAnsi="Myriad Pro"/>
          <w:noProof/>
          <w:szCs w:val="24"/>
          <w:lang w:eastAsia="hu-HU"/>
        </w:rPr>
        <mc:AlternateContent>
          <mc:Choice Requires="wps">
            <w:drawing>
              <wp:anchor distT="0" distB="0" distL="114300" distR="114300" simplePos="0" relativeHeight="251659264" behindDoc="0" locked="0" layoutInCell="1" allowOverlap="1" wp14:anchorId="6204E872" wp14:editId="71563D65">
                <wp:simplePos x="0" y="0"/>
                <wp:positionH relativeFrom="column">
                  <wp:posOffset>14605</wp:posOffset>
                </wp:positionH>
                <wp:positionV relativeFrom="paragraph">
                  <wp:posOffset>368300</wp:posOffset>
                </wp:positionV>
                <wp:extent cx="5655310" cy="914400"/>
                <wp:effectExtent l="0" t="0" r="8890" b="0"/>
                <wp:wrapTight wrapText="bothSides">
                  <wp:wrapPolygon edited="0">
                    <wp:start x="0" y="0"/>
                    <wp:lineTo x="0" y="21000"/>
                    <wp:lineTo x="21537" y="21000"/>
                    <wp:lineTo x="21537" y="0"/>
                    <wp:lineTo x="0" y="0"/>
                  </wp:wrapPolygon>
                </wp:wrapTight>
                <wp:docPr id="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914400"/>
                        </a:xfrm>
                        <a:prstGeom prst="rect">
                          <a:avLst/>
                        </a:prstGeom>
                        <a:solidFill>
                          <a:srgbClr val="D8D8D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F9F0369" w14:textId="77777777" w:rsidR="00E433FC" w:rsidRDefault="00E433FC">
                            <w:pPr>
                              <w:rPr>
                                <w:rFonts w:ascii="Times New Roman" w:hAnsi="Times New Roman" w:cs="Times New Roman"/>
                                <w:b/>
                                <w:i/>
                                <w:szCs w:val="24"/>
                              </w:rPr>
                            </w:pPr>
                            <w:r w:rsidRPr="000352E2">
                              <w:rPr>
                                <w:rFonts w:cs="Times New Roman"/>
                                <w:b/>
                                <w:i/>
                                <w:szCs w:val="24"/>
                              </w:rPr>
                              <w:t>Mi</w:t>
                            </w:r>
                            <w:r w:rsidRPr="000352E2">
                              <w:rPr>
                                <w:rFonts w:eastAsia="Times New Roman" w:cs="Times New Roman"/>
                                <w:b/>
                                <w:i/>
                                <w:szCs w:val="24"/>
                              </w:rPr>
                              <w:t xml:space="preserve"> </w:t>
                            </w:r>
                            <w:r w:rsidRPr="000352E2">
                              <w:rPr>
                                <w:rFonts w:cs="Times New Roman"/>
                                <w:b/>
                                <w:i/>
                                <w:szCs w:val="24"/>
                              </w:rPr>
                              <w:t>korlátozza az érintett intézkedések teljes korű hatásvizsgálatát (adathiány,</w:t>
                            </w:r>
                            <w:r w:rsidRPr="000352E2">
                              <w:rPr>
                                <w:rFonts w:eastAsia="Times New Roman" w:cs="Times New Roman"/>
                                <w:b/>
                                <w:i/>
                                <w:szCs w:val="24"/>
                              </w:rPr>
                              <w:t xml:space="preserve"> </w:t>
                            </w:r>
                            <w:r w:rsidRPr="000352E2">
                              <w:rPr>
                                <w:rFonts w:cs="Times New Roman"/>
                                <w:b/>
                                <w:i/>
                                <w:szCs w:val="24"/>
                              </w:rPr>
                              <w:t>adatbázis</w:t>
                            </w:r>
                            <w:r w:rsidRPr="000352E2">
                              <w:rPr>
                                <w:rFonts w:eastAsia="Times New Roman" w:cs="Times New Roman"/>
                                <w:b/>
                                <w:i/>
                                <w:szCs w:val="24"/>
                              </w:rPr>
                              <w:t xml:space="preserve"> </w:t>
                            </w:r>
                            <w:r w:rsidRPr="000352E2">
                              <w:rPr>
                                <w:rFonts w:cs="Times New Roman"/>
                                <w:b/>
                                <w:i/>
                                <w:szCs w:val="24"/>
                              </w:rPr>
                              <w:t>probléma,</w:t>
                            </w:r>
                            <w:r w:rsidRPr="000352E2">
                              <w:rPr>
                                <w:rFonts w:eastAsia="Times New Roman" w:cs="Times New Roman"/>
                                <w:b/>
                                <w:i/>
                                <w:szCs w:val="24"/>
                              </w:rPr>
                              <w:t xml:space="preserve"> </w:t>
                            </w:r>
                            <w:r w:rsidRPr="000352E2">
                              <w:rPr>
                                <w:rFonts w:cs="Times New Roman"/>
                                <w:b/>
                                <w:i/>
                                <w:szCs w:val="24"/>
                              </w:rPr>
                              <w:t>adatösszekapcsolási</w:t>
                            </w:r>
                            <w:r w:rsidRPr="000352E2">
                              <w:rPr>
                                <w:rFonts w:eastAsia="Times New Roman" w:cs="Times New Roman"/>
                                <w:b/>
                                <w:i/>
                                <w:szCs w:val="24"/>
                              </w:rPr>
                              <w:t xml:space="preserve"> </w:t>
                            </w:r>
                            <w:r w:rsidRPr="000352E2">
                              <w:rPr>
                                <w:rFonts w:cs="Times New Roman"/>
                                <w:b/>
                                <w:i/>
                                <w:szCs w:val="24"/>
                              </w:rPr>
                              <w:t xml:space="preserve">probléma)? </w:t>
                            </w:r>
                          </w:p>
                          <w:p w14:paraId="7252B752" w14:textId="77777777" w:rsidR="00E433FC" w:rsidRDefault="00E433FC">
                            <w:r w:rsidRPr="000352E2">
                              <w:rPr>
                                <w:rFonts w:cs="Times New Roman"/>
                                <w:b/>
                                <w:i/>
                                <w:szCs w:val="24"/>
                              </w:rPr>
                              <w:t>Hogyan</w:t>
                            </w:r>
                            <w:r w:rsidRPr="000352E2">
                              <w:rPr>
                                <w:rFonts w:eastAsia="Times New Roman" w:cs="Times New Roman"/>
                                <w:b/>
                                <w:i/>
                                <w:szCs w:val="24"/>
                              </w:rPr>
                              <w:t xml:space="preserve"> </w:t>
                            </w:r>
                            <w:r w:rsidRPr="000352E2">
                              <w:rPr>
                                <w:rFonts w:cs="Times New Roman"/>
                                <w:b/>
                                <w:i/>
                                <w:szCs w:val="24"/>
                              </w:rPr>
                              <w:t>oldhatók</w:t>
                            </w:r>
                            <w:r w:rsidRPr="000352E2">
                              <w:rPr>
                                <w:rFonts w:eastAsia="Times New Roman" w:cs="Times New Roman"/>
                                <w:b/>
                                <w:i/>
                                <w:szCs w:val="24"/>
                              </w:rPr>
                              <w:t xml:space="preserve"> </w:t>
                            </w:r>
                            <w:r w:rsidRPr="000352E2">
                              <w:rPr>
                                <w:rFonts w:cs="Times New Roman"/>
                                <w:b/>
                                <w:i/>
                                <w:szCs w:val="24"/>
                              </w:rPr>
                              <w:t>ezek</w:t>
                            </w:r>
                            <w:r w:rsidRPr="000352E2">
                              <w:rPr>
                                <w:rFonts w:eastAsia="Times New Roman" w:cs="Times New Roman"/>
                                <w:b/>
                                <w:i/>
                                <w:szCs w:val="24"/>
                              </w:rPr>
                              <w:t xml:space="preserve"> </w:t>
                            </w:r>
                            <w:r w:rsidRPr="000352E2">
                              <w:rPr>
                                <w:rFonts w:cs="Times New Roman"/>
                                <w:b/>
                                <w:i/>
                                <w:szCs w:val="24"/>
                              </w:rPr>
                              <w:t>a</w:t>
                            </w:r>
                            <w:r w:rsidRPr="000352E2">
                              <w:rPr>
                                <w:rFonts w:eastAsia="Times New Roman" w:cs="Times New Roman"/>
                                <w:b/>
                                <w:i/>
                                <w:szCs w:val="24"/>
                              </w:rPr>
                              <w:t xml:space="preserve"> </w:t>
                            </w:r>
                            <w:r w:rsidRPr="000352E2">
                              <w:rPr>
                                <w:rFonts w:cs="Times New Roman"/>
                                <w:b/>
                                <w:i/>
                                <w:szCs w:val="24"/>
                              </w:rPr>
                              <w:t>korlátozások</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4E872" id="Text Box 7" o:spid="_x0000_s1028" type="#_x0000_t202" style="position:absolute;left:0;text-align:left;margin-left:1.15pt;margin-top:29pt;width:445.3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" fillcolor="#d8d8d8" stroked="f">
                <v:textbox inset=",7.2pt,,7.2pt">
                  <w:txbxContent>
                    <w:p w14:paraId="5F9F0369" w14:textId="77777777" w:rsidR="00E433FC" w:rsidRDefault="00E433FC">
                      <w:pPr>
                        <w:rPr>
                          <w:rFonts w:ascii="Times New Roman" w:hAnsi="Times New Roman" w:cs="Times New Roman"/>
                          <w:b/>
                          <w:i/>
                          <w:szCs w:val="24"/>
                        </w:rPr>
                      </w:pPr>
                      <w:r w:rsidRPr="000352E2">
                        <w:rPr>
                          <w:rFonts w:cs="Times New Roman"/>
                          <w:b/>
                          <w:i/>
                          <w:szCs w:val="24"/>
                        </w:rPr>
                        <w:t>Mi</w:t>
                      </w:r>
                      <w:r w:rsidRPr="000352E2">
                        <w:rPr>
                          <w:rFonts w:eastAsia="Times New Roman" w:cs="Times New Roman"/>
                          <w:b/>
                          <w:i/>
                          <w:szCs w:val="24"/>
                        </w:rPr>
                        <w:t xml:space="preserve"> </w:t>
                      </w:r>
                      <w:r w:rsidRPr="000352E2">
                        <w:rPr>
                          <w:rFonts w:cs="Times New Roman"/>
                          <w:b/>
                          <w:i/>
                          <w:szCs w:val="24"/>
                        </w:rPr>
                        <w:t>korlátozza az érintett intézkedések teljes korű hatásvizsgálatát (adathiány,</w:t>
                      </w:r>
                      <w:r w:rsidRPr="000352E2">
                        <w:rPr>
                          <w:rFonts w:eastAsia="Times New Roman" w:cs="Times New Roman"/>
                          <w:b/>
                          <w:i/>
                          <w:szCs w:val="24"/>
                        </w:rPr>
                        <w:t xml:space="preserve"> </w:t>
                      </w:r>
                      <w:r w:rsidRPr="000352E2">
                        <w:rPr>
                          <w:rFonts w:cs="Times New Roman"/>
                          <w:b/>
                          <w:i/>
                          <w:szCs w:val="24"/>
                        </w:rPr>
                        <w:t>adatbázis</w:t>
                      </w:r>
                      <w:r w:rsidRPr="000352E2">
                        <w:rPr>
                          <w:rFonts w:eastAsia="Times New Roman" w:cs="Times New Roman"/>
                          <w:b/>
                          <w:i/>
                          <w:szCs w:val="24"/>
                        </w:rPr>
                        <w:t xml:space="preserve"> </w:t>
                      </w:r>
                      <w:r w:rsidRPr="000352E2">
                        <w:rPr>
                          <w:rFonts w:cs="Times New Roman"/>
                          <w:b/>
                          <w:i/>
                          <w:szCs w:val="24"/>
                        </w:rPr>
                        <w:t>probléma,</w:t>
                      </w:r>
                      <w:r w:rsidRPr="000352E2">
                        <w:rPr>
                          <w:rFonts w:eastAsia="Times New Roman" w:cs="Times New Roman"/>
                          <w:b/>
                          <w:i/>
                          <w:szCs w:val="24"/>
                        </w:rPr>
                        <w:t xml:space="preserve"> </w:t>
                      </w:r>
                      <w:r w:rsidRPr="000352E2">
                        <w:rPr>
                          <w:rFonts w:cs="Times New Roman"/>
                          <w:b/>
                          <w:i/>
                          <w:szCs w:val="24"/>
                        </w:rPr>
                        <w:t>adatösszekapcsolási</w:t>
                      </w:r>
                      <w:r w:rsidRPr="000352E2">
                        <w:rPr>
                          <w:rFonts w:eastAsia="Times New Roman" w:cs="Times New Roman"/>
                          <w:b/>
                          <w:i/>
                          <w:szCs w:val="24"/>
                        </w:rPr>
                        <w:t xml:space="preserve"> </w:t>
                      </w:r>
                      <w:r w:rsidRPr="000352E2">
                        <w:rPr>
                          <w:rFonts w:cs="Times New Roman"/>
                          <w:b/>
                          <w:i/>
                          <w:szCs w:val="24"/>
                        </w:rPr>
                        <w:t xml:space="preserve">probléma)? </w:t>
                      </w:r>
                    </w:p>
                    <w:p w14:paraId="7252B752" w14:textId="77777777" w:rsidR="00E433FC" w:rsidRDefault="00E433FC">
                      <w:r w:rsidRPr="000352E2">
                        <w:rPr>
                          <w:rFonts w:cs="Times New Roman"/>
                          <w:b/>
                          <w:i/>
                          <w:szCs w:val="24"/>
                        </w:rPr>
                        <w:t>Hogyan</w:t>
                      </w:r>
                      <w:r w:rsidRPr="000352E2">
                        <w:rPr>
                          <w:rFonts w:eastAsia="Times New Roman" w:cs="Times New Roman"/>
                          <w:b/>
                          <w:i/>
                          <w:szCs w:val="24"/>
                        </w:rPr>
                        <w:t xml:space="preserve"> </w:t>
                      </w:r>
                      <w:r w:rsidRPr="000352E2">
                        <w:rPr>
                          <w:rFonts w:cs="Times New Roman"/>
                          <w:b/>
                          <w:i/>
                          <w:szCs w:val="24"/>
                        </w:rPr>
                        <w:t>oldhatók</w:t>
                      </w:r>
                      <w:r w:rsidRPr="000352E2">
                        <w:rPr>
                          <w:rFonts w:eastAsia="Times New Roman" w:cs="Times New Roman"/>
                          <w:b/>
                          <w:i/>
                          <w:szCs w:val="24"/>
                        </w:rPr>
                        <w:t xml:space="preserve"> </w:t>
                      </w:r>
                      <w:r w:rsidRPr="000352E2">
                        <w:rPr>
                          <w:rFonts w:cs="Times New Roman"/>
                          <w:b/>
                          <w:i/>
                          <w:szCs w:val="24"/>
                        </w:rPr>
                        <w:t>ezek</w:t>
                      </w:r>
                      <w:r w:rsidRPr="000352E2">
                        <w:rPr>
                          <w:rFonts w:eastAsia="Times New Roman" w:cs="Times New Roman"/>
                          <w:b/>
                          <w:i/>
                          <w:szCs w:val="24"/>
                        </w:rPr>
                        <w:t xml:space="preserve"> </w:t>
                      </w:r>
                      <w:r w:rsidRPr="000352E2">
                        <w:rPr>
                          <w:rFonts w:cs="Times New Roman"/>
                          <w:b/>
                          <w:i/>
                          <w:szCs w:val="24"/>
                        </w:rPr>
                        <w:t>a</w:t>
                      </w:r>
                      <w:r w:rsidRPr="000352E2">
                        <w:rPr>
                          <w:rFonts w:eastAsia="Times New Roman" w:cs="Times New Roman"/>
                          <w:b/>
                          <w:i/>
                          <w:szCs w:val="24"/>
                        </w:rPr>
                        <w:t xml:space="preserve"> </w:t>
                      </w:r>
                      <w:r w:rsidRPr="000352E2">
                        <w:rPr>
                          <w:rFonts w:cs="Times New Roman"/>
                          <w:b/>
                          <w:i/>
                          <w:szCs w:val="24"/>
                        </w:rPr>
                        <w:t>korlátozások</w:t>
                      </w:r>
                    </w:p>
                  </w:txbxContent>
                </v:textbox>
                <w10:wrap type="tight"/>
              </v:shape>
            </w:pict>
          </mc:Fallback>
        </mc:AlternateContent>
      </w:r>
      <w:r w:rsidR="00221E19" w:rsidRPr="00986F85">
        <w:rPr>
          <w:rFonts w:ascii="Myriad Pro" w:hAnsi="Myriad Pro"/>
          <w:szCs w:val="24"/>
        </w:rPr>
        <w:t>VIZSGÁLAT KORLÁTAI</w:t>
      </w:r>
      <w:bookmarkEnd w:id="36"/>
      <w:r w:rsidR="00221E19" w:rsidRPr="00986F85">
        <w:rPr>
          <w:rFonts w:ascii="Myriad Pro" w:hAnsi="Myriad Pro"/>
          <w:szCs w:val="24"/>
        </w:rPr>
        <w:t xml:space="preserve"> </w:t>
      </w:r>
    </w:p>
    <w:p w14:paraId="0DF2E9DD" w14:textId="77777777" w:rsidR="00CF44CF" w:rsidRPr="00986F85" w:rsidRDefault="00CF44CF" w:rsidP="00B04415">
      <w:pPr>
        <w:pStyle w:val="Szvegtrzs"/>
        <w:spacing w:after="0" w:line="360" w:lineRule="auto"/>
        <w:jc w:val="both"/>
        <w:rPr>
          <w:rFonts w:cs="Times New Roman"/>
          <w:szCs w:val="24"/>
        </w:rPr>
      </w:pPr>
    </w:p>
    <w:p w14:paraId="3B027543" w14:textId="77777777" w:rsidR="005317BA" w:rsidRPr="00986F85" w:rsidRDefault="005317BA" w:rsidP="00B04415">
      <w:pPr>
        <w:pStyle w:val="Szvegtrzs"/>
        <w:spacing w:after="0" w:line="360" w:lineRule="auto"/>
        <w:jc w:val="both"/>
        <w:rPr>
          <w:rFonts w:cs="Times New Roman"/>
          <w:szCs w:val="24"/>
        </w:rPr>
      </w:pPr>
      <w:r w:rsidRPr="00986F85">
        <w:rPr>
          <w:rFonts w:cs="Times New Roman"/>
          <w:szCs w:val="24"/>
        </w:rPr>
        <w:t>A rendelkezésünkre bocsátott adatbázisok igen hiányosak és az adatok jelentősen szűkebb körét tartalmazzák, mint ahogy azt az előzetes egyeztetések során igényeltük, illetve ahogy a projekttervben taglaltuk. Ezekből a hiányosságokból adódó problémákat, a hatásvizsgálat korlátait az alábbi táblázatban foglaltuk össze.</w:t>
      </w:r>
    </w:p>
    <w:p w14:paraId="68596B19" w14:textId="77777777" w:rsidR="005317BA" w:rsidRPr="00986F85" w:rsidRDefault="005317BA" w:rsidP="00B04415">
      <w:pPr>
        <w:pStyle w:val="Szvegtrzs"/>
        <w:spacing w:after="0" w:line="360" w:lineRule="auto"/>
        <w:jc w:val="both"/>
        <w:rPr>
          <w:rFonts w:cs="Times New Roman"/>
          <w:szCs w:val="24"/>
        </w:rPr>
      </w:pPr>
    </w:p>
    <w:p w14:paraId="496E7D2A" w14:textId="77777777" w:rsidR="008F3C32" w:rsidRPr="00986F85" w:rsidRDefault="005657E8" w:rsidP="006043F1">
      <w:pPr>
        <w:pStyle w:val="Kpalrs"/>
        <w:keepNext/>
        <w:jc w:val="center"/>
      </w:pPr>
      <w:fldSimple w:instr=" SEQ táblázat \* ARABIC ">
        <w:bookmarkStart w:id="37" w:name="_Toc230854353"/>
        <w:r w:rsidR="00255252" w:rsidRPr="00986F85">
          <w:rPr>
            <w:noProof/>
          </w:rPr>
          <w:t>8</w:t>
        </w:r>
      </w:fldSimple>
      <w:r w:rsidR="008F3C32" w:rsidRPr="00986F85">
        <w:t>. táblázat:</w:t>
      </w:r>
      <w:r w:rsidR="008F3C32" w:rsidRPr="00986F85">
        <w:rPr>
          <w:rFonts w:cs="Times New Roman"/>
        </w:rPr>
        <w:t xml:space="preserve"> Vizsgálat korlátai és kapcsolódó kockázatok</w:t>
      </w:r>
      <w:bookmarkEnd w:id="37"/>
    </w:p>
    <w:tbl>
      <w:tblPr>
        <w:tblW w:w="0" w:type="auto"/>
        <w:tblInd w:w="108" w:type="dxa"/>
        <w:tblLayout w:type="fixed"/>
        <w:tblLook w:val="0000" w:firstRow="0" w:lastRow="0" w:firstColumn="0" w:lastColumn="0" w:noHBand="0" w:noVBand="0"/>
      </w:tblPr>
      <w:tblGrid>
        <w:gridCol w:w="3119"/>
        <w:gridCol w:w="1701"/>
        <w:gridCol w:w="4360"/>
      </w:tblGrid>
      <w:tr w:rsidR="008F3C32" w:rsidRPr="00986F85" w14:paraId="693F0E32" w14:textId="77777777" w:rsidTr="008F3C32">
        <w:tc>
          <w:tcPr>
            <w:tcW w:w="3119" w:type="dxa"/>
            <w:tcBorders>
              <w:top w:val="single" w:sz="4" w:space="0" w:color="000000"/>
              <w:left w:val="single" w:sz="4" w:space="0" w:color="000000"/>
              <w:bottom w:val="single" w:sz="4" w:space="0" w:color="000000"/>
            </w:tcBorders>
            <w:shd w:val="clear" w:color="auto" w:fill="C00000"/>
          </w:tcPr>
          <w:p w14:paraId="2EC4A15B" w14:textId="77777777" w:rsidR="005317BA" w:rsidRPr="00986F85" w:rsidRDefault="005317BA" w:rsidP="00B04415">
            <w:pPr>
              <w:snapToGrid w:val="0"/>
              <w:spacing w:after="0" w:line="360" w:lineRule="auto"/>
              <w:jc w:val="both"/>
              <w:rPr>
                <w:rFonts w:cs="Times New Roman"/>
                <w:b/>
                <w:bCs/>
                <w:color w:val="FFFFFF"/>
                <w:sz w:val="20"/>
                <w:szCs w:val="20"/>
              </w:rPr>
            </w:pPr>
            <w:r w:rsidRPr="00986F85">
              <w:rPr>
                <w:rFonts w:cs="Times New Roman"/>
                <w:b/>
                <w:bCs/>
                <w:color w:val="FFFFFF"/>
                <w:sz w:val="20"/>
                <w:szCs w:val="20"/>
              </w:rPr>
              <w:t>Vizsgálati szempont</w:t>
            </w:r>
          </w:p>
        </w:tc>
        <w:tc>
          <w:tcPr>
            <w:tcW w:w="1701" w:type="dxa"/>
            <w:tcBorders>
              <w:top w:val="single" w:sz="4" w:space="0" w:color="000000"/>
              <w:left w:val="single" w:sz="4" w:space="0" w:color="000000"/>
              <w:bottom w:val="single" w:sz="4" w:space="0" w:color="000000"/>
              <w:right w:val="single" w:sz="4" w:space="0" w:color="000000"/>
            </w:tcBorders>
            <w:shd w:val="clear" w:color="auto" w:fill="C00000"/>
          </w:tcPr>
          <w:p w14:paraId="486EE584" w14:textId="77777777" w:rsidR="005317BA" w:rsidRPr="00986F85" w:rsidRDefault="005317BA" w:rsidP="00B04415">
            <w:pPr>
              <w:snapToGrid w:val="0"/>
              <w:spacing w:after="0" w:line="360" w:lineRule="auto"/>
              <w:jc w:val="both"/>
              <w:rPr>
                <w:rFonts w:eastAsia="Times New Roman" w:cs="Times New Roman"/>
                <w:b/>
                <w:bCs/>
                <w:color w:val="FFFFFF"/>
                <w:sz w:val="20"/>
                <w:szCs w:val="20"/>
              </w:rPr>
            </w:pPr>
            <w:r w:rsidRPr="00986F85">
              <w:rPr>
                <w:rFonts w:cs="Times New Roman"/>
                <w:b/>
                <w:bCs/>
                <w:color w:val="FFFFFF"/>
                <w:sz w:val="20"/>
                <w:szCs w:val="20"/>
              </w:rPr>
              <w:t>Adatok megfelelősége</w:t>
            </w:r>
          </w:p>
        </w:tc>
        <w:tc>
          <w:tcPr>
            <w:tcW w:w="4360" w:type="dxa"/>
            <w:tcBorders>
              <w:top w:val="single" w:sz="4" w:space="0" w:color="000000"/>
              <w:left w:val="single" w:sz="4" w:space="0" w:color="000000"/>
              <w:bottom w:val="single" w:sz="4" w:space="0" w:color="000000"/>
              <w:right w:val="single" w:sz="4" w:space="0" w:color="000000"/>
            </w:tcBorders>
            <w:shd w:val="clear" w:color="auto" w:fill="C00000"/>
          </w:tcPr>
          <w:p w14:paraId="6167E167" w14:textId="77777777" w:rsidR="005317BA" w:rsidRPr="00986F85" w:rsidRDefault="00AA5746" w:rsidP="00B04415">
            <w:pPr>
              <w:snapToGrid w:val="0"/>
              <w:spacing w:after="0" w:line="360" w:lineRule="auto"/>
              <w:jc w:val="both"/>
              <w:rPr>
                <w:rFonts w:cs="Times New Roman"/>
                <w:b/>
                <w:bCs/>
                <w:color w:val="FFFFFF"/>
                <w:sz w:val="20"/>
                <w:szCs w:val="20"/>
              </w:rPr>
            </w:pPr>
            <w:r w:rsidRPr="00986F85">
              <w:rPr>
                <w:rFonts w:cs="Times New Roman"/>
                <w:b/>
                <w:bCs/>
                <w:color w:val="FFFFFF"/>
                <w:sz w:val="20"/>
                <w:szCs w:val="20"/>
              </w:rPr>
              <w:t>Korlátok és kockázatok</w:t>
            </w:r>
          </w:p>
        </w:tc>
      </w:tr>
      <w:tr w:rsidR="005317BA" w:rsidRPr="00986F85" w14:paraId="1280EC31" w14:textId="77777777" w:rsidTr="008F3C32">
        <w:tc>
          <w:tcPr>
            <w:tcW w:w="3119" w:type="dxa"/>
            <w:tcBorders>
              <w:top w:val="single" w:sz="4" w:space="0" w:color="000000"/>
              <w:left w:val="single" w:sz="4" w:space="0" w:color="000000"/>
              <w:bottom w:val="single" w:sz="4" w:space="0" w:color="000000"/>
            </w:tcBorders>
            <w:shd w:val="clear" w:color="auto" w:fill="auto"/>
          </w:tcPr>
          <w:p w14:paraId="331095F1" w14:textId="77777777" w:rsidR="005317BA" w:rsidRPr="00986F85" w:rsidRDefault="005317BA" w:rsidP="00B04415">
            <w:pPr>
              <w:snapToGrid w:val="0"/>
              <w:spacing w:after="0" w:line="360" w:lineRule="auto"/>
              <w:jc w:val="both"/>
              <w:rPr>
                <w:rFonts w:cs="Times New Roman"/>
                <w:b/>
                <w:color w:val="B10000"/>
                <w:sz w:val="20"/>
                <w:szCs w:val="20"/>
              </w:rPr>
            </w:pPr>
            <w:r w:rsidRPr="00986F85">
              <w:rPr>
                <w:rFonts w:cs="Times New Roman"/>
                <w:b/>
                <w:color w:val="B10000"/>
                <w:sz w:val="20"/>
                <w:szCs w:val="20"/>
              </w:rPr>
              <w:t>Konstrukciók előrehaladása</w:t>
            </w:r>
          </w:p>
          <w:p w14:paraId="1E55091B" w14:textId="77777777" w:rsidR="005317BA" w:rsidRPr="00986F85" w:rsidRDefault="005317BA" w:rsidP="00B04415">
            <w:pPr>
              <w:snapToGrid w:val="0"/>
              <w:spacing w:after="0" w:line="360" w:lineRule="auto"/>
              <w:jc w:val="both"/>
              <w:rPr>
                <w:rFonts w:cs="Times New Roman"/>
                <w:b/>
                <w:color w:val="B10000"/>
                <w:sz w:val="20"/>
                <w:szCs w:val="20"/>
              </w:rPr>
            </w:pPr>
            <w:r w:rsidRPr="00986F85">
              <w:rPr>
                <w:rFonts w:cs="Times New Roman"/>
                <w:b/>
                <w:color w:val="B10000"/>
                <w:sz w:val="20"/>
                <w:szCs w:val="20"/>
              </w:rPr>
              <w:t>- lezárt, támogatott projektek megfelelő száma/ aránya</w:t>
            </w:r>
          </w:p>
        </w:tc>
        <w:tc>
          <w:tcPr>
            <w:tcW w:w="1701" w:type="dxa"/>
            <w:tcBorders>
              <w:top w:val="single" w:sz="4" w:space="0" w:color="000000"/>
              <w:left w:val="single" w:sz="4" w:space="0" w:color="000000"/>
              <w:bottom w:val="single" w:sz="4" w:space="0" w:color="000000"/>
              <w:right w:val="single" w:sz="4" w:space="0" w:color="000000"/>
            </w:tcBorders>
          </w:tcPr>
          <w:p w14:paraId="3F4B2062" w14:textId="77777777" w:rsidR="005317BA" w:rsidRPr="00986F85" w:rsidRDefault="005317BA" w:rsidP="004A1D51">
            <w:pPr>
              <w:snapToGrid w:val="0"/>
              <w:spacing w:after="0" w:line="360" w:lineRule="auto"/>
              <w:jc w:val="center"/>
              <w:rPr>
                <w:rFonts w:cs="Times New Roman"/>
                <w:color w:val="B10000"/>
                <w:szCs w:val="24"/>
              </w:rPr>
            </w:pPr>
            <w:r w:rsidRPr="00986F85">
              <w:rPr>
                <w:rFonts w:ascii="Menlo Regular" w:eastAsia="MS Gothic" w:hAnsi="Menlo Regular" w:cs="Menlo Regular"/>
                <w:color w:val="B10000"/>
                <w:szCs w:val="24"/>
              </w:rPr>
              <w:t>✔</w:t>
            </w:r>
          </w:p>
        </w:tc>
        <w:tc>
          <w:tcPr>
            <w:tcW w:w="4360" w:type="dxa"/>
            <w:tcBorders>
              <w:top w:val="single" w:sz="4" w:space="0" w:color="000000"/>
              <w:left w:val="single" w:sz="4" w:space="0" w:color="000000"/>
              <w:bottom w:val="single" w:sz="4" w:space="0" w:color="000000"/>
              <w:right w:val="single" w:sz="4" w:space="0" w:color="000000"/>
            </w:tcBorders>
          </w:tcPr>
          <w:p w14:paraId="402625B2" w14:textId="77777777" w:rsidR="005317BA" w:rsidRPr="00986F85" w:rsidRDefault="005317BA" w:rsidP="00B04415">
            <w:pPr>
              <w:snapToGrid w:val="0"/>
              <w:spacing w:after="0" w:line="360" w:lineRule="auto"/>
              <w:jc w:val="both"/>
              <w:rPr>
                <w:rFonts w:cs="Times New Roman"/>
                <w:color w:val="B10000"/>
                <w:sz w:val="20"/>
                <w:szCs w:val="20"/>
              </w:rPr>
            </w:pPr>
            <w:r w:rsidRPr="00986F85">
              <w:rPr>
                <w:rFonts w:cs="Times New Roman"/>
                <w:color w:val="B10000"/>
                <w:sz w:val="20"/>
                <w:szCs w:val="20"/>
              </w:rPr>
              <w:t>Teljes körűen elvégezhető</w:t>
            </w:r>
          </w:p>
        </w:tc>
      </w:tr>
      <w:tr w:rsidR="005317BA" w:rsidRPr="00986F85" w14:paraId="7EF9FD09" w14:textId="77777777" w:rsidTr="008F3C32">
        <w:tc>
          <w:tcPr>
            <w:tcW w:w="3119" w:type="dxa"/>
            <w:tcBorders>
              <w:top w:val="single" w:sz="4" w:space="0" w:color="000000"/>
              <w:left w:val="single" w:sz="4" w:space="0" w:color="000000"/>
              <w:bottom w:val="single" w:sz="4" w:space="0" w:color="000000"/>
            </w:tcBorders>
            <w:shd w:val="clear" w:color="auto" w:fill="auto"/>
          </w:tcPr>
          <w:p w14:paraId="76F1D50F" w14:textId="77777777" w:rsidR="005317BA" w:rsidRPr="00986F85" w:rsidRDefault="005317BA" w:rsidP="00B04415">
            <w:pPr>
              <w:snapToGrid w:val="0"/>
              <w:spacing w:after="0" w:line="360" w:lineRule="auto"/>
              <w:jc w:val="both"/>
              <w:rPr>
                <w:rFonts w:cs="Times New Roman"/>
                <w:b/>
                <w:sz w:val="20"/>
                <w:szCs w:val="20"/>
              </w:rPr>
            </w:pPr>
            <w:r w:rsidRPr="00986F85">
              <w:rPr>
                <w:rFonts w:cs="Times New Roman"/>
                <w:b/>
                <w:sz w:val="20"/>
                <w:szCs w:val="20"/>
              </w:rPr>
              <w:t>Szelekció és önszelekció</w:t>
            </w:r>
          </w:p>
        </w:tc>
        <w:tc>
          <w:tcPr>
            <w:tcW w:w="1701" w:type="dxa"/>
            <w:tcBorders>
              <w:top w:val="single" w:sz="4" w:space="0" w:color="000000"/>
              <w:left w:val="single" w:sz="4" w:space="0" w:color="000000"/>
              <w:bottom w:val="single" w:sz="4" w:space="0" w:color="000000"/>
              <w:right w:val="single" w:sz="4" w:space="0" w:color="000000"/>
            </w:tcBorders>
          </w:tcPr>
          <w:p w14:paraId="3687A8AB" w14:textId="77777777" w:rsidR="005317BA" w:rsidRPr="00986F85" w:rsidRDefault="005317BA" w:rsidP="004A1D51">
            <w:pPr>
              <w:snapToGrid w:val="0"/>
              <w:spacing w:after="0" w:line="360" w:lineRule="auto"/>
              <w:jc w:val="center"/>
              <w:rPr>
                <w:rFonts w:cs="Times New Roman"/>
                <w:szCs w:val="24"/>
              </w:rPr>
            </w:pPr>
            <w:r w:rsidRPr="00986F85">
              <w:rPr>
                <w:rFonts w:cs="Times New Roman"/>
                <w:color w:val="B10000"/>
                <w:szCs w:val="24"/>
              </w:rPr>
              <w:t>-</w:t>
            </w:r>
          </w:p>
        </w:tc>
        <w:tc>
          <w:tcPr>
            <w:tcW w:w="4360" w:type="dxa"/>
            <w:tcBorders>
              <w:top w:val="single" w:sz="4" w:space="0" w:color="000000"/>
              <w:left w:val="single" w:sz="4" w:space="0" w:color="000000"/>
              <w:bottom w:val="single" w:sz="4" w:space="0" w:color="000000"/>
              <w:right w:val="single" w:sz="4" w:space="0" w:color="000000"/>
            </w:tcBorders>
          </w:tcPr>
          <w:p w14:paraId="0D5E8AA8" w14:textId="77777777" w:rsidR="005317BA" w:rsidRPr="00986F85" w:rsidRDefault="005317BA" w:rsidP="00771D63">
            <w:pPr>
              <w:snapToGrid w:val="0"/>
              <w:spacing w:after="0" w:line="360" w:lineRule="auto"/>
              <w:jc w:val="both"/>
              <w:rPr>
                <w:rFonts w:cs="Times New Roman"/>
                <w:sz w:val="20"/>
                <w:szCs w:val="20"/>
              </w:rPr>
            </w:pPr>
            <w:r w:rsidRPr="00986F85">
              <w:rPr>
                <w:rFonts w:cs="Times New Roman"/>
                <w:sz w:val="20"/>
                <w:szCs w:val="20"/>
              </w:rPr>
              <w:t>Nem nyertesek adatainak hiánya, valamint a program</w:t>
            </w:r>
            <w:r w:rsidR="00771D63" w:rsidRPr="00986F85">
              <w:rPr>
                <w:rFonts w:cs="Times New Roman"/>
                <w:sz w:val="20"/>
                <w:szCs w:val="20"/>
              </w:rPr>
              <w:t xml:space="preserve">ot </w:t>
            </w:r>
            <w:r w:rsidRPr="00986F85">
              <w:rPr>
                <w:rFonts w:cs="Times New Roman"/>
                <w:sz w:val="20"/>
                <w:szCs w:val="20"/>
              </w:rPr>
              <w:t>megelőző</w:t>
            </w:r>
            <w:r w:rsidR="00771D63" w:rsidRPr="00986F85">
              <w:rPr>
                <w:rFonts w:cs="Times New Roman"/>
                <w:sz w:val="20"/>
                <w:szCs w:val="20"/>
              </w:rPr>
              <w:t xml:space="preserve"> időszak (2002/2005-2007)</w:t>
            </w:r>
            <w:r w:rsidRPr="00986F85">
              <w:rPr>
                <w:rFonts w:cs="Times New Roman"/>
                <w:sz w:val="20"/>
                <w:szCs w:val="20"/>
              </w:rPr>
              <w:t xml:space="preserve"> </w:t>
            </w:r>
            <w:r w:rsidR="00771D63" w:rsidRPr="00986F85">
              <w:rPr>
                <w:rFonts w:cs="Times New Roman"/>
                <w:sz w:val="20"/>
                <w:szCs w:val="20"/>
              </w:rPr>
              <w:t xml:space="preserve">vállalati adatainak </w:t>
            </w:r>
            <w:r w:rsidRPr="00986F85">
              <w:rPr>
                <w:rFonts w:cs="Times New Roman"/>
                <w:sz w:val="20"/>
                <w:szCs w:val="20"/>
              </w:rPr>
              <w:t>hiánya miatt nem végezhető el</w:t>
            </w:r>
            <w:r w:rsidR="00EC1DBE" w:rsidRPr="00986F85">
              <w:rPr>
                <w:rFonts w:cs="Times New Roman"/>
                <w:sz w:val="20"/>
                <w:szCs w:val="20"/>
              </w:rPr>
              <w:t xml:space="preserve"> teljes körűen.</w:t>
            </w:r>
          </w:p>
        </w:tc>
      </w:tr>
      <w:tr w:rsidR="005317BA" w:rsidRPr="00986F85" w14:paraId="2D1BA8C9" w14:textId="77777777" w:rsidTr="008F3C32">
        <w:tc>
          <w:tcPr>
            <w:tcW w:w="3119" w:type="dxa"/>
            <w:tcBorders>
              <w:top w:val="single" w:sz="4" w:space="0" w:color="000000"/>
              <w:left w:val="single" w:sz="4" w:space="0" w:color="000000"/>
              <w:bottom w:val="single" w:sz="4" w:space="0" w:color="000000"/>
            </w:tcBorders>
            <w:shd w:val="clear" w:color="auto" w:fill="auto"/>
          </w:tcPr>
          <w:p w14:paraId="576D3057" w14:textId="77777777" w:rsidR="005317BA" w:rsidRPr="00986F85" w:rsidRDefault="005317BA" w:rsidP="00B04415">
            <w:pPr>
              <w:snapToGrid w:val="0"/>
              <w:spacing w:after="0" w:line="360" w:lineRule="auto"/>
              <w:jc w:val="both"/>
              <w:rPr>
                <w:rFonts w:cs="Times New Roman"/>
                <w:b/>
                <w:sz w:val="20"/>
                <w:szCs w:val="20"/>
              </w:rPr>
            </w:pPr>
            <w:r w:rsidRPr="00986F85">
              <w:rPr>
                <w:rFonts w:cs="Times New Roman"/>
                <w:b/>
                <w:sz w:val="20"/>
                <w:szCs w:val="20"/>
              </w:rPr>
              <w:t xml:space="preserve">Vállalati teljesítmény vizsgálata </w:t>
            </w:r>
          </w:p>
        </w:tc>
        <w:tc>
          <w:tcPr>
            <w:tcW w:w="1701" w:type="dxa"/>
            <w:tcBorders>
              <w:top w:val="single" w:sz="4" w:space="0" w:color="000000"/>
              <w:left w:val="single" w:sz="4" w:space="0" w:color="000000"/>
              <w:bottom w:val="single" w:sz="4" w:space="0" w:color="000000"/>
              <w:right w:val="single" w:sz="4" w:space="0" w:color="000000"/>
            </w:tcBorders>
          </w:tcPr>
          <w:p w14:paraId="12E44D01" w14:textId="77777777" w:rsidR="005317BA" w:rsidRPr="00986F85" w:rsidRDefault="002133DF" w:rsidP="004A1D51">
            <w:pPr>
              <w:snapToGrid w:val="0"/>
              <w:spacing w:after="0" w:line="360" w:lineRule="auto"/>
              <w:jc w:val="center"/>
              <w:rPr>
                <w:rFonts w:cs="Times New Roman"/>
                <w:szCs w:val="24"/>
              </w:rPr>
            </w:pPr>
            <w:r w:rsidRPr="00986F85">
              <w:rPr>
                <w:rFonts w:eastAsia="MS Gothic" w:cs="Times New Roman"/>
                <w:szCs w:val="24"/>
              </w:rPr>
              <w:t>(</w:t>
            </w:r>
            <w:r w:rsidR="005317BA" w:rsidRPr="00986F85">
              <w:rPr>
                <w:rFonts w:ascii="Menlo Regular" w:eastAsia="MS Gothic" w:hAnsi="Menlo Regular" w:cs="Menlo Regular"/>
                <w:szCs w:val="24"/>
              </w:rPr>
              <w:t>✔</w:t>
            </w:r>
            <w:r w:rsidRPr="00986F85">
              <w:rPr>
                <w:rFonts w:eastAsia="MS Gothic" w:cs="Times New Roman"/>
                <w:szCs w:val="24"/>
              </w:rPr>
              <w:t>)</w:t>
            </w:r>
          </w:p>
        </w:tc>
        <w:tc>
          <w:tcPr>
            <w:tcW w:w="4360" w:type="dxa"/>
            <w:tcBorders>
              <w:top w:val="single" w:sz="4" w:space="0" w:color="000000"/>
              <w:left w:val="single" w:sz="4" w:space="0" w:color="000000"/>
              <w:bottom w:val="single" w:sz="4" w:space="0" w:color="000000"/>
              <w:right w:val="single" w:sz="4" w:space="0" w:color="000000"/>
            </w:tcBorders>
          </w:tcPr>
          <w:p w14:paraId="5B6AD935" w14:textId="77777777" w:rsidR="005317BA" w:rsidRPr="00986F85" w:rsidRDefault="005317BA" w:rsidP="00E133E2">
            <w:pPr>
              <w:snapToGrid w:val="0"/>
              <w:spacing w:after="0" w:line="360" w:lineRule="auto"/>
              <w:jc w:val="both"/>
              <w:rPr>
                <w:rFonts w:cs="Times New Roman"/>
                <w:sz w:val="20"/>
                <w:szCs w:val="20"/>
              </w:rPr>
            </w:pPr>
            <w:r w:rsidRPr="00986F85">
              <w:rPr>
                <w:rFonts w:cs="Times New Roman"/>
                <w:sz w:val="20"/>
                <w:szCs w:val="20"/>
              </w:rPr>
              <w:t xml:space="preserve">Vállalati mérlegadat problémák és hiányok a fő mutatókat tekintve </w:t>
            </w:r>
            <w:r w:rsidR="00E133E2" w:rsidRPr="00986F85">
              <w:rPr>
                <w:rFonts w:cs="Times New Roman"/>
                <w:sz w:val="20"/>
                <w:szCs w:val="20"/>
              </w:rPr>
              <w:t>rézsben korrigálásra kerültek (bővebben lásd Módszertani Mellékl</w:t>
            </w:r>
            <w:r w:rsidR="002133DF" w:rsidRPr="00986F85">
              <w:rPr>
                <w:rFonts w:cs="Times New Roman"/>
                <w:sz w:val="20"/>
                <w:szCs w:val="20"/>
              </w:rPr>
              <w:t>et adattisztításról szóló része</w:t>
            </w:r>
            <w:r w:rsidR="00E133E2" w:rsidRPr="00986F85">
              <w:rPr>
                <w:rFonts w:cs="Times New Roman"/>
                <w:sz w:val="20"/>
                <w:szCs w:val="20"/>
              </w:rPr>
              <w:t>)</w:t>
            </w:r>
            <w:r w:rsidR="002133DF" w:rsidRPr="00986F85">
              <w:rPr>
                <w:rFonts w:cs="Times New Roman"/>
                <w:sz w:val="20"/>
                <w:szCs w:val="20"/>
              </w:rPr>
              <w:t>, részben azonban nem pótolhatók (lásd az összekapcsolt EMIR-NAV adatbázis szűkí</w:t>
            </w:r>
            <w:r w:rsidR="00C55FCC" w:rsidRPr="00986F85">
              <w:rPr>
                <w:rFonts w:cs="Times New Roman"/>
                <w:sz w:val="20"/>
                <w:szCs w:val="20"/>
              </w:rPr>
              <w:t>tett létszáma olyan cégekre, mely</w:t>
            </w:r>
            <w:r w:rsidR="002133DF" w:rsidRPr="00986F85">
              <w:rPr>
                <w:rFonts w:cs="Times New Roman"/>
                <w:sz w:val="20"/>
                <w:szCs w:val="20"/>
              </w:rPr>
              <w:t>ek 2006 és 2011 között folyamatos adóalanyként szerepelnek a NAV nyilvántartásban, illetve a 100 fő vagy a feletti létszámmal rendelkező cégek kihagyása az adatbázisból).</w:t>
            </w:r>
          </w:p>
        </w:tc>
      </w:tr>
      <w:tr w:rsidR="005317BA" w:rsidRPr="00986F85" w14:paraId="20271C5F" w14:textId="77777777" w:rsidTr="008F3C32">
        <w:tc>
          <w:tcPr>
            <w:tcW w:w="3119" w:type="dxa"/>
            <w:tcBorders>
              <w:top w:val="single" w:sz="4" w:space="0" w:color="000000"/>
              <w:left w:val="single" w:sz="4" w:space="0" w:color="000000"/>
              <w:bottom w:val="single" w:sz="4" w:space="0" w:color="000000"/>
            </w:tcBorders>
            <w:shd w:val="clear" w:color="auto" w:fill="auto"/>
          </w:tcPr>
          <w:p w14:paraId="1926FB64" w14:textId="77777777" w:rsidR="005317BA" w:rsidRPr="00986F85" w:rsidRDefault="005317BA" w:rsidP="00B04415">
            <w:pPr>
              <w:snapToGrid w:val="0"/>
              <w:spacing w:after="0" w:line="360" w:lineRule="auto"/>
              <w:jc w:val="both"/>
              <w:rPr>
                <w:rFonts w:cs="Times New Roman"/>
                <w:b/>
                <w:sz w:val="20"/>
                <w:szCs w:val="20"/>
              </w:rPr>
            </w:pPr>
            <w:r w:rsidRPr="00986F85">
              <w:rPr>
                <w:rFonts w:cs="Times New Roman"/>
                <w:b/>
                <w:sz w:val="20"/>
                <w:szCs w:val="20"/>
              </w:rPr>
              <w:t>Kontrol</w:t>
            </w:r>
            <w:r w:rsidR="00062379" w:rsidRPr="00986F85">
              <w:rPr>
                <w:rFonts w:cs="Times New Roman"/>
                <w:b/>
                <w:sz w:val="20"/>
                <w:szCs w:val="20"/>
              </w:rPr>
              <w:t>l</w:t>
            </w:r>
            <w:r w:rsidRPr="00986F85">
              <w:rPr>
                <w:rFonts w:cs="Times New Roman"/>
                <w:b/>
                <w:sz w:val="20"/>
                <w:szCs w:val="20"/>
              </w:rPr>
              <w:t xml:space="preserve"> csoportok kiválasztása</w:t>
            </w:r>
          </w:p>
        </w:tc>
        <w:tc>
          <w:tcPr>
            <w:tcW w:w="1701" w:type="dxa"/>
            <w:tcBorders>
              <w:top w:val="single" w:sz="4" w:space="0" w:color="000000"/>
              <w:left w:val="single" w:sz="4" w:space="0" w:color="000000"/>
              <w:bottom w:val="single" w:sz="4" w:space="0" w:color="000000"/>
              <w:right w:val="single" w:sz="4" w:space="0" w:color="000000"/>
            </w:tcBorders>
          </w:tcPr>
          <w:p w14:paraId="0786F30A" w14:textId="77777777" w:rsidR="005317BA" w:rsidRPr="00986F85" w:rsidRDefault="005317BA" w:rsidP="004A1D51">
            <w:pPr>
              <w:snapToGrid w:val="0"/>
              <w:spacing w:after="0" w:line="360" w:lineRule="auto"/>
              <w:jc w:val="center"/>
              <w:rPr>
                <w:rFonts w:cs="Times New Roman"/>
                <w:szCs w:val="24"/>
              </w:rPr>
            </w:pPr>
            <w:r w:rsidRPr="00986F85">
              <w:rPr>
                <w:rFonts w:cs="Times New Roman"/>
                <w:szCs w:val="24"/>
              </w:rPr>
              <w:t>(</w:t>
            </w:r>
            <w:r w:rsidRPr="00986F85">
              <w:rPr>
                <w:rFonts w:ascii="Menlo Regular" w:eastAsia="MS Gothic" w:hAnsi="Menlo Regular" w:cs="Menlo Regular"/>
                <w:szCs w:val="24"/>
              </w:rPr>
              <w:t>✔</w:t>
            </w:r>
            <w:r w:rsidRPr="00986F85">
              <w:rPr>
                <w:rFonts w:cs="Times New Roman"/>
                <w:szCs w:val="24"/>
              </w:rPr>
              <w:t>)</w:t>
            </w:r>
          </w:p>
        </w:tc>
        <w:tc>
          <w:tcPr>
            <w:tcW w:w="4360" w:type="dxa"/>
            <w:tcBorders>
              <w:top w:val="single" w:sz="4" w:space="0" w:color="000000"/>
              <w:left w:val="single" w:sz="4" w:space="0" w:color="000000"/>
              <w:bottom w:val="single" w:sz="4" w:space="0" w:color="000000"/>
              <w:right w:val="single" w:sz="4" w:space="0" w:color="000000"/>
            </w:tcBorders>
          </w:tcPr>
          <w:p w14:paraId="5F267397" w14:textId="77777777" w:rsidR="005317BA" w:rsidRPr="00986F85" w:rsidRDefault="005317BA" w:rsidP="00B04415">
            <w:pPr>
              <w:snapToGrid w:val="0"/>
              <w:spacing w:after="0" w:line="360" w:lineRule="auto"/>
              <w:jc w:val="both"/>
              <w:rPr>
                <w:rFonts w:cs="Times New Roman"/>
                <w:sz w:val="20"/>
                <w:szCs w:val="20"/>
              </w:rPr>
            </w:pPr>
            <w:r w:rsidRPr="00986F85">
              <w:rPr>
                <w:rFonts w:cs="Times New Roman"/>
                <w:sz w:val="20"/>
                <w:szCs w:val="20"/>
              </w:rPr>
              <w:t>Kontrol</w:t>
            </w:r>
            <w:r w:rsidR="00062379" w:rsidRPr="00986F85">
              <w:rPr>
                <w:rFonts w:cs="Times New Roman"/>
                <w:sz w:val="20"/>
                <w:szCs w:val="20"/>
              </w:rPr>
              <w:t>l</w:t>
            </w:r>
            <w:r w:rsidRPr="00986F85">
              <w:rPr>
                <w:rFonts w:cs="Times New Roman"/>
                <w:sz w:val="20"/>
                <w:szCs w:val="20"/>
              </w:rPr>
              <w:t xml:space="preserve"> adatbázis korlátozottsága (100 fő feletti vállalatok hiánya</w:t>
            </w:r>
            <w:r w:rsidR="00EC1DBE" w:rsidRPr="00986F85">
              <w:rPr>
                <w:rFonts w:cs="Times New Roman"/>
                <w:sz w:val="20"/>
                <w:szCs w:val="20"/>
              </w:rPr>
              <w:t>, mérleg adatok hiányosságai</w:t>
            </w:r>
            <w:r w:rsidRPr="00986F85">
              <w:rPr>
                <w:rFonts w:cs="Times New Roman"/>
                <w:sz w:val="20"/>
                <w:szCs w:val="20"/>
              </w:rPr>
              <w:t>)</w:t>
            </w:r>
          </w:p>
          <w:p w14:paraId="612D4118" w14:textId="77777777" w:rsidR="005317BA" w:rsidRPr="00986F85" w:rsidRDefault="005317BA" w:rsidP="00B04415">
            <w:pPr>
              <w:snapToGrid w:val="0"/>
              <w:spacing w:after="0" w:line="360" w:lineRule="auto"/>
              <w:jc w:val="both"/>
              <w:rPr>
                <w:rFonts w:cs="Times New Roman"/>
                <w:sz w:val="20"/>
                <w:szCs w:val="20"/>
              </w:rPr>
            </w:pPr>
            <w:r w:rsidRPr="00986F85">
              <w:rPr>
                <w:rFonts w:cs="Times New Roman"/>
                <w:sz w:val="20"/>
                <w:szCs w:val="20"/>
              </w:rPr>
              <w:t>Múltbeli vállalati teljesítmény korlátozott ismerete (csak 2006-ig visszamenően)</w:t>
            </w:r>
          </w:p>
        </w:tc>
      </w:tr>
      <w:tr w:rsidR="005317BA" w:rsidRPr="00986F85" w14:paraId="0F75F144" w14:textId="77777777" w:rsidTr="008F3C32">
        <w:tc>
          <w:tcPr>
            <w:tcW w:w="3119" w:type="dxa"/>
            <w:tcBorders>
              <w:top w:val="single" w:sz="4" w:space="0" w:color="000000"/>
              <w:left w:val="single" w:sz="4" w:space="0" w:color="000000"/>
              <w:bottom w:val="single" w:sz="4" w:space="0" w:color="000000"/>
            </w:tcBorders>
            <w:shd w:val="clear" w:color="auto" w:fill="auto"/>
          </w:tcPr>
          <w:p w14:paraId="17783C82" w14:textId="77777777" w:rsidR="005317BA" w:rsidRPr="00986F85" w:rsidRDefault="005317BA" w:rsidP="00B04415">
            <w:pPr>
              <w:snapToGrid w:val="0"/>
              <w:spacing w:after="0" w:line="360" w:lineRule="auto"/>
              <w:jc w:val="both"/>
              <w:rPr>
                <w:rFonts w:cs="Times New Roman"/>
                <w:b/>
                <w:sz w:val="20"/>
                <w:szCs w:val="20"/>
              </w:rPr>
            </w:pPr>
            <w:r w:rsidRPr="00986F85">
              <w:rPr>
                <w:rFonts w:cs="Times New Roman"/>
                <w:b/>
                <w:sz w:val="20"/>
                <w:szCs w:val="20"/>
              </w:rPr>
              <w:t>Hatás tartósságának becslése</w:t>
            </w:r>
          </w:p>
        </w:tc>
        <w:tc>
          <w:tcPr>
            <w:tcW w:w="1701" w:type="dxa"/>
            <w:tcBorders>
              <w:top w:val="single" w:sz="4" w:space="0" w:color="000000"/>
              <w:left w:val="single" w:sz="4" w:space="0" w:color="000000"/>
              <w:bottom w:val="single" w:sz="4" w:space="0" w:color="000000"/>
              <w:right w:val="single" w:sz="4" w:space="0" w:color="000000"/>
            </w:tcBorders>
          </w:tcPr>
          <w:p w14:paraId="7AB61274" w14:textId="77777777" w:rsidR="005317BA" w:rsidRPr="00986F85" w:rsidRDefault="005317BA" w:rsidP="004A1D51">
            <w:pPr>
              <w:snapToGrid w:val="0"/>
              <w:spacing w:after="0" w:line="360" w:lineRule="auto"/>
              <w:jc w:val="center"/>
              <w:rPr>
                <w:rFonts w:cs="Times New Roman"/>
                <w:szCs w:val="24"/>
              </w:rPr>
            </w:pPr>
            <w:r w:rsidRPr="00986F85">
              <w:rPr>
                <w:rFonts w:cs="Times New Roman"/>
                <w:szCs w:val="24"/>
              </w:rPr>
              <w:t>(</w:t>
            </w:r>
            <w:r w:rsidRPr="00986F85">
              <w:rPr>
                <w:rFonts w:ascii="Menlo Regular" w:eastAsia="MS Gothic" w:hAnsi="Menlo Regular" w:cs="Menlo Regular"/>
                <w:szCs w:val="24"/>
              </w:rPr>
              <w:t>✔</w:t>
            </w:r>
            <w:r w:rsidRPr="00986F85">
              <w:rPr>
                <w:rFonts w:cs="Times New Roman"/>
                <w:szCs w:val="24"/>
              </w:rPr>
              <w:t>)</w:t>
            </w:r>
          </w:p>
        </w:tc>
        <w:tc>
          <w:tcPr>
            <w:tcW w:w="4360" w:type="dxa"/>
            <w:tcBorders>
              <w:top w:val="single" w:sz="4" w:space="0" w:color="000000"/>
              <w:left w:val="single" w:sz="4" w:space="0" w:color="000000"/>
              <w:bottom w:val="single" w:sz="4" w:space="0" w:color="000000"/>
              <w:right w:val="single" w:sz="4" w:space="0" w:color="000000"/>
            </w:tcBorders>
          </w:tcPr>
          <w:p w14:paraId="35EED411" w14:textId="77777777" w:rsidR="00340049" w:rsidRPr="00986F85" w:rsidRDefault="005317BA" w:rsidP="00340049">
            <w:pPr>
              <w:snapToGrid w:val="0"/>
              <w:spacing w:after="0" w:line="360" w:lineRule="auto"/>
              <w:jc w:val="both"/>
              <w:rPr>
                <w:rFonts w:cs="Times New Roman"/>
                <w:sz w:val="20"/>
                <w:szCs w:val="20"/>
              </w:rPr>
            </w:pPr>
            <w:r w:rsidRPr="00986F85">
              <w:rPr>
                <w:rFonts w:cs="Times New Roman"/>
                <w:sz w:val="20"/>
                <w:szCs w:val="20"/>
              </w:rPr>
              <w:t xml:space="preserve">Korlátozott lehetőség, </w:t>
            </w:r>
            <w:r w:rsidR="00340049" w:rsidRPr="00986F85">
              <w:rPr>
                <w:rFonts w:cs="Times New Roman"/>
                <w:sz w:val="20"/>
                <w:szCs w:val="20"/>
              </w:rPr>
              <w:t>programidőszakot megelőző, minimám három évet átfogó</w:t>
            </w:r>
            <w:r w:rsidRPr="00986F85">
              <w:rPr>
                <w:rFonts w:cs="Times New Roman"/>
                <w:sz w:val="20"/>
                <w:szCs w:val="20"/>
              </w:rPr>
              <w:t xml:space="preserve"> vállalati mérlegadatok </w:t>
            </w:r>
            <w:r w:rsidR="00340049" w:rsidRPr="00986F85">
              <w:rPr>
                <w:rFonts w:cs="Times New Roman"/>
                <w:sz w:val="20"/>
                <w:szCs w:val="20"/>
              </w:rPr>
              <w:t>nem állnak rendelkezésre.</w:t>
            </w:r>
          </w:p>
          <w:p w14:paraId="264A679E" w14:textId="77777777" w:rsidR="005317BA" w:rsidRPr="00986F85" w:rsidRDefault="00340049" w:rsidP="00340049">
            <w:pPr>
              <w:snapToGrid w:val="0"/>
              <w:spacing w:after="0" w:line="360" w:lineRule="auto"/>
              <w:jc w:val="both"/>
              <w:rPr>
                <w:rFonts w:cs="Times New Roman"/>
                <w:sz w:val="20"/>
                <w:szCs w:val="20"/>
              </w:rPr>
            </w:pPr>
            <w:r w:rsidRPr="00986F85">
              <w:rPr>
                <w:rFonts w:cs="Times New Roman"/>
                <w:sz w:val="20"/>
                <w:szCs w:val="20"/>
              </w:rPr>
              <w:lastRenderedPageBreak/>
              <w:t xml:space="preserve">A program végrehajtása még nem fejeződött be, így a teljes támogatotti kör nem vizsgálható. (A támogatások teljes kifizetése 2010-11-re futott fel.) </w:t>
            </w:r>
          </w:p>
        </w:tc>
      </w:tr>
      <w:tr w:rsidR="005317BA" w:rsidRPr="00986F85" w14:paraId="7C0AADB3" w14:textId="77777777" w:rsidTr="008F3C32">
        <w:tc>
          <w:tcPr>
            <w:tcW w:w="3119" w:type="dxa"/>
            <w:tcBorders>
              <w:top w:val="single" w:sz="4" w:space="0" w:color="000000"/>
              <w:left w:val="single" w:sz="4" w:space="0" w:color="000000"/>
              <w:bottom w:val="single" w:sz="4" w:space="0" w:color="000000"/>
            </w:tcBorders>
            <w:shd w:val="clear" w:color="auto" w:fill="auto"/>
          </w:tcPr>
          <w:p w14:paraId="3AB58184" w14:textId="77777777" w:rsidR="005317BA" w:rsidRPr="00986F85" w:rsidRDefault="005317BA" w:rsidP="00B04415">
            <w:pPr>
              <w:snapToGrid w:val="0"/>
              <w:spacing w:after="0" w:line="360" w:lineRule="auto"/>
              <w:jc w:val="both"/>
              <w:rPr>
                <w:rFonts w:cs="Times New Roman"/>
                <w:b/>
                <w:sz w:val="20"/>
                <w:szCs w:val="20"/>
              </w:rPr>
            </w:pPr>
            <w:r w:rsidRPr="00986F85">
              <w:rPr>
                <w:rFonts w:cs="Times New Roman"/>
                <w:b/>
                <w:sz w:val="20"/>
                <w:szCs w:val="20"/>
              </w:rPr>
              <w:lastRenderedPageBreak/>
              <w:t>Heterogenitás kezelése</w:t>
            </w:r>
          </w:p>
        </w:tc>
        <w:tc>
          <w:tcPr>
            <w:tcW w:w="1701" w:type="dxa"/>
            <w:tcBorders>
              <w:top w:val="single" w:sz="4" w:space="0" w:color="000000"/>
              <w:left w:val="single" w:sz="4" w:space="0" w:color="000000"/>
              <w:bottom w:val="single" w:sz="4" w:space="0" w:color="000000"/>
              <w:right w:val="single" w:sz="4" w:space="0" w:color="000000"/>
            </w:tcBorders>
          </w:tcPr>
          <w:p w14:paraId="60366730" w14:textId="77777777" w:rsidR="005317BA" w:rsidRPr="00986F85" w:rsidRDefault="005317BA" w:rsidP="004A1D51">
            <w:pPr>
              <w:snapToGrid w:val="0"/>
              <w:spacing w:after="0" w:line="360" w:lineRule="auto"/>
              <w:jc w:val="center"/>
              <w:rPr>
                <w:rFonts w:cs="Menlo Bold"/>
                <w:szCs w:val="24"/>
              </w:rPr>
            </w:pPr>
            <w:r w:rsidRPr="00986F85">
              <w:rPr>
                <w:rFonts w:cs="Times New Roman"/>
                <w:szCs w:val="24"/>
              </w:rPr>
              <w:t>(</w:t>
            </w:r>
            <w:r w:rsidRPr="00986F85">
              <w:rPr>
                <w:rFonts w:ascii="Menlo Regular" w:eastAsia="MS Gothic" w:hAnsi="Menlo Regular" w:cs="Menlo Regular"/>
                <w:szCs w:val="24"/>
              </w:rPr>
              <w:t>✔</w:t>
            </w:r>
            <w:r w:rsidRPr="00986F85">
              <w:rPr>
                <w:rFonts w:cs="Times New Roman"/>
                <w:szCs w:val="24"/>
              </w:rPr>
              <w:t>)</w:t>
            </w:r>
          </w:p>
        </w:tc>
        <w:tc>
          <w:tcPr>
            <w:tcW w:w="4360" w:type="dxa"/>
            <w:tcBorders>
              <w:top w:val="single" w:sz="4" w:space="0" w:color="000000"/>
              <w:left w:val="single" w:sz="4" w:space="0" w:color="000000"/>
              <w:bottom w:val="single" w:sz="4" w:space="0" w:color="000000"/>
              <w:right w:val="single" w:sz="4" w:space="0" w:color="000000"/>
            </w:tcBorders>
          </w:tcPr>
          <w:p w14:paraId="22218C28" w14:textId="77777777" w:rsidR="005317BA" w:rsidRPr="00986F85" w:rsidRDefault="005317BA" w:rsidP="009F6789">
            <w:pPr>
              <w:snapToGrid w:val="0"/>
              <w:spacing w:after="0" w:line="360" w:lineRule="auto"/>
              <w:jc w:val="both"/>
              <w:rPr>
                <w:rFonts w:cs="Times New Roman"/>
                <w:sz w:val="20"/>
                <w:szCs w:val="20"/>
              </w:rPr>
            </w:pPr>
            <w:r w:rsidRPr="00986F85">
              <w:rPr>
                <w:rFonts w:cs="Times New Roman"/>
                <w:sz w:val="20"/>
                <w:szCs w:val="20"/>
              </w:rPr>
              <w:t>Korlátozott lehetőség – csak a nyertes vállalkozások szűkebb csoportjára</w:t>
            </w:r>
            <w:r w:rsidR="009F6789" w:rsidRPr="00986F85">
              <w:rPr>
                <w:rFonts w:cs="Times New Roman"/>
                <w:sz w:val="20"/>
                <w:szCs w:val="20"/>
              </w:rPr>
              <w:t>, azonban ezekre is csak a 2006-2009 közötti időszak adatai alapján.</w:t>
            </w:r>
          </w:p>
        </w:tc>
      </w:tr>
      <w:tr w:rsidR="005317BA" w:rsidRPr="00986F85" w14:paraId="775F534E" w14:textId="77777777" w:rsidTr="008F3C32">
        <w:tc>
          <w:tcPr>
            <w:tcW w:w="3119" w:type="dxa"/>
            <w:tcBorders>
              <w:top w:val="single" w:sz="4" w:space="0" w:color="000000"/>
              <w:left w:val="single" w:sz="4" w:space="0" w:color="000000"/>
              <w:bottom w:val="single" w:sz="4" w:space="0" w:color="000000"/>
            </w:tcBorders>
            <w:shd w:val="clear" w:color="auto" w:fill="auto"/>
          </w:tcPr>
          <w:p w14:paraId="40B69DB2" w14:textId="77777777" w:rsidR="005317BA" w:rsidRPr="00986F85" w:rsidRDefault="005317BA" w:rsidP="00B04415">
            <w:pPr>
              <w:snapToGrid w:val="0"/>
              <w:spacing w:after="0" w:line="360" w:lineRule="auto"/>
              <w:jc w:val="both"/>
              <w:rPr>
                <w:rFonts w:cs="Times New Roman"/>
                <w:b/>
                <w:sz w:val="20"/>
                <w:szCs w:val="20"/>
              </w:rPr>
            </w:pPr>
            <w:r w:rsidRPr="00986F85">
              <w:rPr>
                <w:rFonts w:cs="Times New Roman"/>
                <w:b/>
                <w:sz w:val="20"/>
                <w:szCs w:val="20"/>
              </w:rPr>
              <w:t>Holtteher veszteség becslése</w:t>
            </w:r>
          </w:p>
        </w:tc>
        <w:tc>
          <w:tcPr>
            <w:tcW w:w="1701" w:type="dxa"/>
            <w:tcBorders>
              <w:top w:val="single" w:sz="4" w:space="0" w:color="000000"/>
              <w:left w:val="single" w:sz="4" w:space="0" w:color="000000"/>
              <w:bottom w:val="single" w:sz="4" w:space="0" w:color="000000"/>
              <w:right w:val="single" w:sz="4" w:space="0" w:color="000000"/>
            </w:tcBorders>
          </w:tcPr>
          <w:p w14:paraId="38CC7E45" w14:textId="77777777" w:rsidR="005317BA" w:rsidRPr="00986F85" w:rsidRDefault="005317BA" w:rsidP="004A1D51">
            <w:pPr>
              <w:snapToGrid w:val="0"/>
              <w:spacing w:after="0" w:line="360" w:lineRule="auto"/>
              <w:jc w:val="center"/>
              <w:rPr>
                <w:rFonts w:cs="Times New Roman"/>
                <w:szCs w:val="24"/>
              </w:rPr>
            </w:pPr>
            <w:r w:rsidRPr="00986F85">
              <w:rPr>
                <w:rFonts w:cs="Times New Roman"/>
                <w:szCs w:val="24"/>
              </w:rPr>
              <w:t>-</w:t>
            </w:r>
          </w:p>
        </w:tc>
        <w:tc>
          <w:tcPr>
            <w:tcW w:w="4360" w:type="dxa"/>
            <w:tcBorders>
              <w:top w:val="single" w:sz="4" w:space="0" w:color="000000"/>
              <w:left w:val="single" w:sz="4" w:space="0" w:color="000000"/>
              <w:bottom w:val="single" w:sz="4" w:space="0" w:color="000000"/>
              <w:right w:val="single" w:sz="4" w:space="0" w:color="000000"/>
            </w:tcBorders>
          </w:tcPr>
          <w:p w14:paraId="1814F748" w14:textId="77777777" w:rsidR="005317BA" w:rsidRPr="00986F85" w:rsidRDefault="005317BA" w:rsidP="00B04415">
            <w:pPr>
              <w:snapToGrid w:val="0"/>
              <w:spacing w:after="0" w:line="360" w:lineRule="auto"/>
              <w:jc w:val="both"/>
              <w:rPr>
                <w:rFonts w:cs="Times New Roman"/>
                <w:sz w:val="20"/>
                <w:szCs w:val="20"/>
              </w:rPr>
            </w:pPr>
            <w:r w:rsidRPr="00986F85">
              <w:rPr>
                <w:rFonts w:cs="Times New Roman"/>
                <w:sz w:val="20"/>
                <w:szCs w:val="20"/>
              </w:rPr>
              <w:t>Nem elvégezhető, 2005-ig viszsamenő vállalati mérlegadatok hiányában</w:t>
            </w:r>
          </w:p>
        </w:tc>
      </w:tr>
    </w:tbl>
    <w:p w14:paraId="1F0BC27C" w14:textId="77777777" w:rsidR="009A68E7" w:rsidRPr="00986F85" w:rsidRDefault="005317BA" w:rsidP="009A68E7">
      <w:pPr>
        <w:rPr>
          <w:i/>
          <w:sz w:val="22"/>
        </w:rPr>
      </w:pPr>
      <w:r w:rsidRPr="00986F85">
        <w:rPr>
          <w:rFonts w:eastAsia="Times New Roman"/>
          <w:bCs/>
          <w:i/>
          <w:sz w:val="22"/>
        </w:rPr>
        <w:t xml:space="preserve">Magyarázat: </w:t>
      </w:r>
      <w:r w:rsidR="00861573" w:rsidRPr="00986F85">
        <w:rPr>
          <w:rFonts w:ascii="Menlo Regular" w:eastAsia="MS Gothic" w:hAnsi="Menlo Regular" w:cs="Menlo Regular"/>
          <w:sz w:val="20"/>
          <w:szCs w:val="20"/>
        </w:rPr>
        <w:t>✔</w:t>
      </w:r>
      <w:r w:rsidRPr="00986F85">
        <w:rPr>
          <w:i/>
          <w:sz w:val="22"/>
        </w:rPr>
        <w:t xml:space="preserve"> - adatok megfelelően rendelkezésre állnak, (</w:t>
      </w:r>
      <w:r w:rsidR="00861573" w:rsidRPr="00986F85">
        <w:rPr>
          <w:rFonts w:ascii="Menlo Regular" w:eastAsia="MS Gothic" w:hAnsi="Menlo Regular" w:cs="Menlo Regular"/>
          <w:sz w:val="20"/>
          <w:szCs w:val="20"/>
        </w:rPr>
        <w:t>✔</w:t>
      </w:r>
      <w:r w:rsidRPr="00986F85">
        <w:rPr>
          <w:i/>
          <w:sz w:val="22"/>
        </w:rPr>
        <w:t>) – adatok egy része rendelkezésre áll, - nincs adat</w:t>
      </w:r>
    </w:p>
    <w:p w14:paraId="2130DF4C" w14:textId="77777777" w:rsidR="005317BA" w:rsidRPr="00986F85" w:rsidRDefault="005317BA" w:rsidP="00B04415">
      <w:pPr>
        <w:pStyle w:val="Szvegtrzs"/>
        <w:spacing w:after="0" w:line="360" w:lineRule="auto"/>
        <w:jc w:val="both"/>
        <w:rPr>
          <w:rFonts w:cs="Times New Roman"/>
          <w:szCs w:val="24"/>
        </w:rPr>
      </w:pPr>
      <w:r w:rsidRPr="00986F85">
        <w:rPr>
          <w:rFonts w:cs="Times New Roman"/>
          <w:szCs w:val="24"/>
        </w:rPr>
        <w:t xml:space="preserve">A programindítást megelőző hosszabb időtávon (lásd 2002-ig, de legalább is 2005-ig visszamenően) rendelkezésre álló vállalati mérlegadatok, valamint a nem nyertesek vállalati jellemzőinek ismerete a szelekció </w:t>
      </w:r>
      <w:r w:rsidR="00AE183D" w:rsidRPr="00986F85">
        <w:rPr>
          <w:rFonts w:cs="Times New Roman"/>
          <w:szCs w:val="24"/>
        </w:rPr>
        <w:t xml:space="preserve">teljes körű </w:t>
      </w:r>
      <w:r w:rsidRPr="00986F85">
        <w:rPr>
          <w:rFonts w:cs="Times New Roman"/>
          <w:szCs w:val="24"/>
        </w:rPr>
        <w:t xml:space="preserve">vizsgálatát tették volna lehetővé. A 2002-2005 közötti időszakra vonatkozó vállalati mérlegadatok, valamint a nem nyertesekről szóló információk hiányát nem állt módunkban orvosolni. </w:t>
      </w:r>
    </w:p>
    <w:p w14:paraId="6AF32EB0" w14:textId="77777777" w:rsidR="005317BA" w:rsidRPr="00986F85" w:rsidRDefault="005317BA" w:rsidP="00B04415">
      <w:pPr>
        <w:pStyle w:val="Szvegtrzs"/>
        <w:spacing w:after="0" w:line="360" w:lineRule="auto"/>
        <w:jc w:val="both"/>
        <w:rPr>
          <w:rFonts w:cs="Times New Roman"/>
          <w:szCs w:val="24"/>
        </w:rPr>
      </w:pPr>
    </w:p>
    <w:p w14:paraId="0E530C1A" w14:textId="77777777" w:rsidR="00EA5099" w:rsidRPr="00986F85" w:rsidRDefault="005317BA" w:rsidP="00EA5099">
      <w:pPr>
        <w:spacing w:after="0" w:line="360" w:lineRule="auto"/>
        <w:jc w:val="both"/>
        <w:rPr>
          <w:rFonts w:cs="Times New Roman"/>
          <w:szCs w:val="24"/>
        </w:rPr>
      </w:pPr>
      <w:r w:rsidRPr="00986F85">
        <w:rPr>
          <w:rFonts w:cs="Times New Roman"/>
          <w:szCs w:val="24"/>
        </w:rPr>
        <w:t>Eredeti tervek szerint nem terveztük szerepeltetni a becslésben az 5 fő alatti vállalatokat, mert</w:t>
      </w:r>
      <w:r w:rsidR="00F33A91" w:rsidRPr="00986F85">
        <w:rPr>
          <w:rFonts w:cs="Times New Roman"/>
          <w:szCs w:val="24"/>
        </w:rPr>
        <w:t xml:space="preserve"> korábbi, hazai elemézések tapasztalata, hogy</w:t>
      </w:r>
      <w:r w:rsidRPr="00986F85">
        <w:rPr>
          <w:rFonts w:cs="Times New Roman"/>
          <w:szCs w:val="24"/>
        </w:rPr>
        <w:t xml:space="preserve"> </w:t>
      </w:r>
      <w:r w:rsidR="00F33A91" w:rsidRPr="00986F85">
        <w:rPr>
          <w:rFonts w:cs="Times New Roman"/>
          <w:szCs w:val="24"/>
        </w:rPr>
        <w:t xml:space="preserve">ezen cégek </w:t>
      </w:r>
      <w:r w:rsidRPr="00986F85">
        <w:rPr>
          <w:rFonts w:cs="Times New Roman"/>
          <w:szCs w:val="24"/>
        </w:rPr>
        <w:t xml:space="preserve">mérlegadatai sokkal kevésbé megbízhatóak </w:t>
      </w:r>
      <w:r w:rsidR="00F33A91" w:rsidRPr="00986F85">
        <w:rPr>
          <w:rFonts w:cs="Times New Roman"/>
          <w:szCs w:val="24"/>
        </w:rPr>
        <w:t>(Békés-Muraközy 2009, Békés et al 201</w:t>
      </w:r>
      <w:r w:rsidR="008949A7" w:rsidRPr="00986F85">
        <w:rPr>
          <w:rFonts w:cs="Times New Roman"/>
          <w:szCs w:val="24"/>
        </w:rPr>
        <w:t xml:space="preserve">0). A </w:t>
      </w:r>
      <w:r w:rsidRPr="00986F85">
        <w:rPr>
          <w:rFonts w:cs="Times New Roman"/>
          <w:szCs w:val="24"/>
        </w:rPr>
        <w:t xml:space="preserve">rendelkezésre álló adatok szűkössége miatt </w:t>
      </w:r>
      <w:r w:rsidR="008949A7" w:rsidRPr="00986F85">
        <w:rPr>
          <w:rFonts w:cs="Times New Roman"/>
          <w:szCs w:val="24"/>
        </w:rPr>
        <w:t xml:space="preserve">azonban </w:t>
      </w:r>
      <w:r w:rsidRPr="00986F85">
        <w:rPr>
          <w:rFonts w:cs="Times New Roman"/>
          <w:szCs w:val="24"/>
        </w:rPr>
        <w:t>ezt a szándékunkat felülírtuk, vállalva ezzel azt a kockázatot, hogy ilyen típusú hibák ronthatják a becsléseink megbízhatóságát.</w:t>
      </w:r>
      <w:r w:rsidR="00AE183D" w:rsidRPr="00986F85">
        <w:rPr>
          <w:rFonts w:cs="Times New Roman"/>
          <w:szCs w:val="24"/>
        </w:rPr>
        <w:t xml:space="preserve"> Az egyes becslések eredményeinek bemutatásakor visszatérünk erre a problémára. </w:t>
      </w:r>
      <w:r w:rsidR="00EA5099" w:rsidRPr="00986F85">
        <w:rPr>
          <w:rFonts w:cs="Times New Roman"/>
          <w:szCs w:val="24"/>
        </w:rPr>
        <w:t xml:space="preserve"> </w:t>
      </w:r>
    </w:p>
    <w:p w14:paraId="23040628" w14:textId="77777777" w:rsidR="00EA5099" w:rsidRPr="00986F85" w:rsidRDefault="00EA5099" w:rsidP="00EA5099">
      <w:pPr>
        <w:spacing w:after="0" w:line="360" w:lineRule="auto"/>
        <w:jc w:val="both"/>
        <w:rPr>
          <w:rFonts w:cs="Times New Roman"/>
          <w:szCs w:val="24"/>
        </w:rPr>
      </w:pPr>
    </w:p>
    <w:p w14:paraId="6C6CF5A9" w14:textId="77777777" w:rsidR="00EA5099" w:rsidRPr="00986F85" w:rsidRDefault="00EA5099" w:rsidP="00EA5099">
      <w:pPr>
        <w:spacing w:after="0" w:line="360" w:lineRule="auto"/>
        <w:jc w:val="both"/>
        <w:rPr>
          <w:rFonts w:cs="Times New Roman"/>
          <w:szCs w:val="24"/>
        </w:rPr>
      </w:pPr>
      <w:r w:rsidRPr="00986F85">
        <w:rPr>
          <w:rFonts w:cs="Times New Roman"/>
          <w:szCs w:val="24"/>
        </w:rPr>
        <w:t xml:space="preserve">A teljesítmény változók között a beruházás – tárgyi eszközök növekedése –, az árbevétel és a foglalkoztatottak száma mellett a vállalati termelékenységet terveztük vizsgálni. Ez utóbbit egyrészt munkatermelékenységként (egy alkalmazottra jutó hozzáadott érték), másrészt teljes tényező termelékenységként értelmezhetjük. Végül az előbbi mellett döntöttünk, mert a teljes tényező termelékenység becsléséhez nem álltak rendelkezésünkre kellően részletes adatok, így például nem tudtuk a heterogén munkát, illetve tőkét beépíteni a termelési függvénybe. A teljes tényező termelékenységét a </w:t>
      </w:r>
      <w:r w:rsidRPr="00986F85">
        <w:rPr>
          <w:rFonts w:cs="Times New Roman"/>
          <w:szCs w:val="24"/>
        </w:rPr>
        <w:lastRenderedPageBreak/>
        <w:t>munkát és tőkét is tartalmazó termelési függvény maradéktagjaként kapjuk, ezért annak pontos becsléséhez lényeges, hogy minél részletesebb munka és tőke felbontásunk legyen. További fontos érv volt az egy alkalmazottra jutó hozzáadott érték mellett, hogy azt közvetlenül lehet a megadott mérlegadatokból számítani, így az nem tartalmaz becslési hibát.</w:t>
      </w:r>
    </w:p>
    <w:p w14:paraId="2B193906" w14:textId="77777777" w:rsidR="00EA5099" w:rsidRPr="00986F85" w:rsidRDefault="00EA5099" w:rsidP="00EA5099">
      <w:pPr>
        <w:spacing w:after="0" w:line="360" w:lineRule="auto"/>
        <w:jc w:val="both"/>
        <w:rPr>
          <w:rFonts w:cs="Times New Roman"/>
          <w:szCs w:val="24"/>
        </w:rPr>
      </w:pPr>
    </w:p>
    <w:p w14:paraId="01AD72ED" w14:textId="77777777" w:rsidR="00EA5099" w:rsidRPr="00986F85" w:rsidRDefault="00EA5099" w:rsidP="00EA5099">
      <w:pPr>
        <w:spacing w:after="0" w:line="360" w:lineRule="auto"/>
        <w:jc w:val="both"/>
        <w:rPr>
          <w:rFonts w:cs="Times New Roman"/>
          <w:szCs w:val="24"/>
        </w:rPr>
      </w:pPr>
      <w:r w:rsidRPr="00986F85">
        <w:rPr>
          <w:rFonts w:cs="Times New Roman"/>
          <w:szCs w:val="24"/>
        </w:rPr>
        <w:t xml:space="preserve">Továbbá, </w:t>
      </w:r>
      <w:r w:rsidR="00C93906" w:rsidRPr="00986F85">
        <w:rPr>
          <w:rFonts w:cs="Times New Roman"/>
          <w:szCs w:val="24"/>
        </w:rPr>
        <w:t>a</w:t>
      </w:r>
      <w:r w:rsidRPr="00986F85">
        <w:rPr>
          <w:rFonts w:cs="Times New Roman"/>
          <w:szCs w:val="24"/>
        </w:rPr>
        <w:t xml:space="preserve"> külföldi tulajont nem tudtuk kontroll változóként felhasználni, mert a</w:t>
      </w:r>
      <w:r w:rsidR="008F1859" w:rsidRPr="00986F85">
        <w:rPr>
          <w:rFonts w:cs="Times New Roman"/>
          <w:szCs w:val="24"/>
        </w:rPr>
        <w:t xml:space="preserve">rról nem rendelkeztünk </w:t>
      </w:r>
      <w:r w:rsidR="003A00A8" w:rsidRPr="00986F85">
        <w:rPr>
          <w:rFonts w:cs="Times New Roman"/>
          <w:szCs w:val="24"/>
        </w:rPr>
        <w:t xml:space="preserve">megfelelően részletes </w:t>
      </w:r>
      <w:r w:rsidR="008F1859" w:rsidRPr="00986F85">
        <w:rPr>
          <w:rFonts w:cs="Times New Roman"/>
          <w:szCs w:val="24"/>
        </w:rPr>
        <w:t>információval</w:t>
      </w:r>
      <w:r w:rsidR="003A00A8" w:rsidRPr="00986F85">
        <w:rPr>
          <w:rFonts w:cs="Times New Roman"/>
          <w:szCs w:val="24"/>
        </w:rPr>
        <w:t xml:space="preserve"> (lásd </w:t>
      </w:r>
      <w:r w:rsidRPr="00986F85">
        <w:rPr>
          <w:rFonts w:cs="Times New Roman"/>
          <w:szCs w:val="24"/>
        </w:rPr>
        <w:t>csak magán, illetve állami bontás</w:t>
      </w:r>
      <w:r w:rsidR="003A00A8" w:rsidRPr="00986F85">
        <w:rPr>
          <w:rFonts w:cs="Times New Roman"/>
          <w:szCs w:val="24"/>
        </w:rPr>
        <w:t>ú adatok)</w:t>
      </w:r>
      <w:r w:rsidRPr="00986F85">
        <w:rPr>
          <w:rFonts w:cs="Times New Roman"/>
          <w:szCs w:val="24"/>
        </w:rPr>
        <w:t>.</w:t>
      </w:r>
    </w:p>
    <w:p w14:paraId="761E961B" w14:textId="77777777" w:rsidR="00EA5099" w:rsidRPr="00986F85" w:rsidRDefault="00EA5099" w:rsidP="00B04415">
      <w:pPr>
        <w:pStyle w:val="Szvegtrzs"/>
        <w:spacing w:after="0" w:line="360" w:lineRule="auto"/>
        <w:jc w:val="both"/>
        <w:rPr>
          <w:rFonts w:cs="Times New Roman"/>
          <w:szCs w:val="24"/>
        </w:rPr>
      </w:pPr>
    </w:p>
    <w:p w14:paraId="0E7189DE" w14:textId="77777777" w:rsidR="005317BA" w:rsidRPr="00986F85" w:rsidRDefault="005317BA" w:rsidP="00B04415">
      <w:pPr>
        <w:spacing w:after="0" w:line="360" w:lineRule="auto"/>
        <w:jc w:val="both"/>
        <w:rPr>
          <w:rFonts w:cs="Times New Roman"/>
          <w:szCs w:val="24"/>
        </w:rPr>
      </w:pPr>
      <w:r w:rsidRPr="00986F85">
        <w:rPr>
          <w:rFonts w:cs="Times New Roman"/>
          <w:szCs w:val="24"/>
        </w:rPr>
        <w:t>Az elemzés során a következő ökonometriai problémák merültek fel:</w:t>
      </w:r>
    </w:p>
    <w:p w14:paraId="34C2BE06" w14:textId="77777777" w:rsidR="005317BA" w:rsidRPr="00986F85" w:rsidRDefault="005317BA" w:rsidP="00B04415">
      <w:pPr>
        <w:numPr>
          <w:ilvl w:val="0"/>
          <w:numId w:val="14"/>
        </w:numPr>
        <w:spacing w:after="0" w:line="360" w:lineRule="auto"/>
        <w:jc w:val="both"/>
        <w:rPr>
          <w:rFonts w:cs="Times New Roman"/>
          <w:szCs w:val="24"/>
        </w:rPr>
      </w:pPr>
      <w:r w:rsidRPr="00986F85">
        <w:rPr>
          <w:rFonts w:cs="Times New Roman"/>
          <w:szCs w:val="24"/>
        </w:rPr>
        <w:t>A támogatás hatásának dinamikus volta</w:t>
      </w:r>
    </w:p>
    <w:p w14:paraId="2E00C4BF" w14:textId="77777777" w:rsidR="005317BA" w:rsidRPr="00986F85" w:rsidRDefault="005317BA" w:rsidP="00B04415">
      <w:pPr>
        <w:numPr>
          <w:ilvl w:val="0"/>
          <w:numId w:val="14"/>
        </w:numPr>
        <w:spacing w:after="0" w:line="360" w:lineRule="auto"/>
        <w:jc w:val="both"/>
        <w:rPr>
          <w:rFonts w:cs="Times New Roman"/>
          <w:szCs w:val="24"/>
        </w:rPr>
      </w:pPr>
      <w:r w:rsidRPr="00986F85">
        <w:rPr>
          <w:rFonts w:cs="Times New Roman"/>
          <w:szCs w:val="24"/>
        </w:rPr>
        <w:t>A vállalatok megfigyelhető változók szerinti heterogenitása</w:t>
      </w:r>
    </w:p>
    <w:p w14:paraId="6E88A1AF" w14:textId="77777777" w:rsidR="005317BA" w:rsidRPr="00986F85" w:rsidRDefault="005317BA" w:rsidP="00B04415">
      <w:pPr>
        <w:numPr>
          <w:ilvl w:val="0"/>
          <w:numId w:val="14"/>
        </w:numPr>
        <w:spacing w:after="0" w:line="360" w:lineRule="auto"/>
        <w:jc w:val="both"/>
        <w:rPr>
          <w:rFonts w:cs="Times New Roman"/>
          <w:szCs w:val="24"/>
        </w:rPr>
      </w:pPr>
      <w:r w:rsidRPr="00986F85">
        <w:rPr>
          <w:rFonts w:cs="Times New Roman"/>
          <w:szCs w:val="24"/>
        </w:rPr>
        <w:t>A hatás potenciális heterogenitása</w:t>
      </w:r>
    </w:p>
    <w:p w14:paraId="0AAFAFA9" w14:textId="77777777" w:rsidR="005317BA" w:rsidRPr="00986F85" w:rsidRDefault="005317BA" w:rsidP="00B04415">
      <w:pPr>
        <w:numPr>
          <w:ilvl w:val="0"/>
          <w:numId w:val="14"/>
        </w:numPr>
        <w:spacing w:after="0" w:line="360" w:lineRule="auto"/>
        <w:jc w:val="both"/>
        <w:rPr>
          <w:rFonts w:cs="Times New Roman"/>
          <w:szCs w:val="24"/>
        </w:rPr>
      </w:pPr>
      <w:r w:rsidRPr="00986F85">
        <w:rPr>
          <w:rFonts w:cs="Times New Roman"/>
          <w:szCs w:val="24"/>
        </w:rPr>
        <w:t>A vállalatok nem megfigyelt változók szerinti heterogenitása</w:t>
      </w:r>
    </w:p>
    <w:p w14:paraId="10F2AE41" w14:textId="77777777" w:rsidR="005317BA" w:rsidRPr="00986F85" w:rsidRDefault="005317BA" w:rsidP="00B04415">
      <w:pPr>
        <w:spacing w:after="0" w:line="360" w:lineRule="auto"/>
        <w:ind w:left="720"/>
        <w:jc w:val="both"/>
        <w:rPr>
          <w:rFonts w:cs="Times New Roman"/>
          <w:szCs w:val="24"/>
        </w:rPr>
      </w:pPr>
    </w:p>
    <w:p w14:paraId="4913AE82" w14:textId="77777777" w:rsidR="005317BA" w:rsidRPr="00986F85" w:rsidRDefault="005317BA" w:rsidP="00B04415">
      <w:pPr>
        <w:spacing w:after="0" w:line="360" w:lineRule="auto"/>
        <w:jc w:val="both"/>
        <w:rPr>
          <w:rFonts w:cs="Times New Roman"/>
          <w:szCs w:val="24"/>
        </w:rPr>
      </w:pPr>
      <w:r w:rsidRPr="00986F85">
        <w:rPr>
          <w:rFonts w:cs="Times New Roman"/>
          <w:szCs w:val="24"/>
        </w:rPr>
        <w:t xml:space="preserve">A támogatás dinamikus voltát olyan bináris változók modellbe illesztésével </w:t>
      </w:r>
      <w:r w:rsidR="00AB2A48" w:rsidRPr="00986F85">
        <w:rPr>
          <w:rFonts w:cs="Times New Roman"/>
          <w:szCs w:val="24"/>
        </w:rPr>
        <w:t>lehet kezelni</w:t>
      </w:r>
      <w:r w:rsidRPr="00986F85">
        <w:rPr>
          <w:rFonts w:cs="Times New Roman"/>
          <w:szCs w:val="24"/>
        </w:rPr>
        <w:t xml:space="preserve">, amelyek azt mutatják, hogy a vállalat 1 vagy 2 éve kapta a támogatást. Ez esetben </w:t>
      </w:r>
      <w:r w:rsidR="00AB2A48" w:rsidRPr="00986F85">
        <w:rPr>
          <w:rFonts w:cs="Times New Roman"/>
          <w:szCs w:val="24"/>
        </w:rPr>
        <w:t>az lett volna a szerencsés megoldás</w:t>
      </w:r>
      <w:r w:rsidRPr="00986F85">
        <w:rPr>
          <w:rFonts w:cs="Times New Roman"/>
          <w:szCs w:val="24"/>
        </w:rPr>
        <w:t>, ha hosszabb időtávon (3-4 évre visszamenően) rendelkezésre állnak vállalati mérlegadatok.</w:t>
      </w:r>
      <w:r w:rsidR="00AB2A48" w:rsidRPr="00986F85">
        <w:rPr>
          <w:rFonts w:cs="Times New Roman"/>
          <w:szCs w:val="24"/>
        </w:rPr>
        <w:t xml:space="preserve"> Ennek hiányában ez a hatás nem azonosítható.</w:t>
      </w:r>
    </w:p>
    <w:p w14:paraId="131A823A" w14:textId="77777777" w:rsidR="005317BA" w:rsidRPr="00986F85" w:rsidRDefault="005317BA" w:rsidP="00B04415">
      <w:pPr>
        <w:spacing w:after="0" w:line="360" w:lineRule="auto"/>
        <w:jc w:val="both"/>
        <w:rPr>
          <w:rFonts w:cs="Times New Roman"/>
          <w:szCs w:val="24"/>
        </w:rPr>
      </w:pPr>
    </w:p>
    <w:p w14:paraId="7B02AC1B" w14:textId="77777777" w:rsidR="005317BA" w:rsidRPr="00986F85" w:rsidRDefault="005317BA" w:rsidP="003E6B91">
      <w:pPr>
        <w:tabs>
          <w:tab w:val="left" w:pos="5812"/>
        </w:tabs>
        <w:spacing w:after="0" w:line="360" w:lineRule="auto"/>
        <w:jc w:val="both"/>
        <w:rPr>
          <w:rFonts w:cs="Times New Roman"/>
          <w:szCs w:val="24"/>
        </w:rPr>
      </w:pPr>
      <w:r w:rsidRPr="00986F85">
        <w:rPr>
          <w:rFonts w:cs="Times New Roman"/>
          <w:szCs w:val="24"/>
        </w:rPr>
        <w:t xml:space="preserve">A megfigyelhető változók szerinti heterogenitást és a hatás heterogén voltát a becslési módszerrel </w:t>
      </w:r>
      <w:r w:rsidR="00AB2A48" w:rsidRPr="00986F85">
        <w:rPr>
          <w:rFonts w:cs="Times New Roman"/>
          <w:szCs w:val="24"/>
        </w:rPr>
        <w:t>lehet kezelni</w:t>
      </w:r>
      <w:r w:rsidR="00EA2A01" w:rsidRPr="00986F85">
        <w:rPr>
          <w:rFonts w:cs="Times New Roman"/>
          <w:szCs w:val="24"/>
        </w:rPr>
        <w:t>.</w:t>
      </w:r>
      <w:r w:rsidRPr="00986F85">
        <w:rPr>
          <w:rFonts w:cs="Times New Roman"/>
          <w:szCs w:val="24"/>
        </w:rPr>
        <w:t xml:space="preserve"> </w:t>
      </w:r>
      <w:r w:rsidR="00AB2A48" w:rsidRPr="00986F85">
        <w:rPr>
          <w:rFonts w:cs="Times New Roman"/>
          <w:szCs w:val="24"/>
        </w:rPr>
        <w:t>Egyrészről, r</w:t>
      </w:r>
      <w:r w:rsidRPr="00986F85">
        <w:rPr>
          <w:rFonts w:cs="Times New Roman"/>
          <w:szCs w:val="24"/>
        </w:rPr>
        <w:t xml:space="preserve">egressziós modell mellett </w:t>
      </w:r>
      <w:r w:rsidR="00AB2A48" w:rsidRPr="00986F85">
        <w:rPr>
          <w:rFonts w:cs="Times New Roman"/>
          <w:szCs w:val="24"/>
        </w:rPr>
        <w:t xml:space="preserve">ezért is alkalmaztunk </w:t>
      </w:r>
      <w:r w:rsidRPr="00986F85">
        <w:rPr>
          <w:rFonts w:cs="Times New Roman"/>
          <w:szCs w:val="24"/>
        </w:rPr>
        <w:t xml:space="preserve">párosításos modellt is. </w:t>
      </w:r>
      <w:r w:rsidR="00AB2A48" w:rsidRPr="00986F85">
        <w:rPr>
          <w:rFonts w:cs="Times New Roman"/>
          <w:szCs w:val="24"/>
        </w:rPr>
        <w:t>Másrészről, a</w:t>
      </w:r>
      <w:r w:rsidRPr="00986F85">
        <w:rPr>
          <w:rFonts w:cs="Times New Roman"/>
          <w:szCs w:val="24"/>
        </w:rPr>
        <w:t xml:space="preserve"> párosítás </w:t>
      </w:r>
      <w:r w:rsidR="00EA2A01" w:rsidRPr="00986F85">
        <w:rPr>
          <w:rFonts w:cs="Times New Roman"/>
          <w:szCs w:val="24"/>
        </w:rPr>
        <w:t xml:space="preserve">során a </w:t>
      </w:r>
      <w:r w:rsidR="00EA2A01" w:rsidRPr="00986F85">
        <w:rPr>
          <w:rFonts w:cs="Times New Roman"/>
          <w:i/>
          <w:szCs w:val="24"/>
        </w:rPr>
        <w:t>propensity score</w:t>
      </w:r>
      <w:r w:rsidRPr="00986F85">
        <w:rPr>
          <w:rFonts w:cs="Times New Roman"/>
          <w:szCs w:val="24"/>
        </w:rPr>
        <w:t xml:space="preserve"> </w:t>
      </w:r>
      <w:r w:rsidR="00644F98" w:rsidRPr="00986F85">
        <w:rPr>
          <w:rFonts w:cs="Times New Roman"/>
          <w:szCs w:val="24"/>
        </w:rPr>
        <w:t>becsléseko</w:t>
      </w:r>
      <w:r w:rsidR="00F742DF" w:rsidRPr="00986F85">
        <w:rPr>
          <w:rFonts w:cs="Times New Roman"/>
          <w:szCs w:val="24"/>
        </w:rPr>
        <w:t xml:space="preserve">r érdemes a </w:t>
      </w:r>
      <w:r w:rsidRPr="00986F85">
        <w:rPr>
          <w:rFonts w:cs="Times New Roman"/>
          <w:szCs w:val="24"/>
        </w:rPr>
        <w:t>vállalatok múltbeli teljesítményét is figyelembe ve</w:t>
      </w:r>
      <w:r w:rsidR="00F742DF" w:rsidRPr="00986F85">
        <w:rPr>
          <w:rFonts w:cs="Times New Roman"/>
          <w:szCs w:val="24"/>
        </w:rPr>
        <w:t xml:space="preserve">nni, </w:t>
      </w:r>
      <w:r w:rsidRPr="00986F85">
        <w:rPr>
          <w:rFonts w:cs="Times New Roman"/>
          <w:szCs w:val="24"/>
        </w:rPr>
        <w:t xml:space="preserve">tehát olyan vállalatokat </w:t>
      </w:r>
      <w:r w:rsidR="00F742DF" w:rsidRPr="00986F85">
        <w:rPr>
          <w:rFonts w:cs="Times New Roman"/>
          <w:szCs w:val="24"/>
        </w:rPr>
        <w:t>összehasonlítani</w:t>
      </w:r>
      <w:r w:rsidRPr="00986F85">
        <w:rPr>
          <w:rFonts w:cs="Times New Roman"/>
          <w:szCs w:val="24"/>
        </w:rPr>
        <w:t xml:space="preserve">, amelyek a múltban hasonló mértékben növekedtek. </w:t>
      </w:r>
      <w:r w:rsidR="00AB2A48" w:rsidRPr="00986F85">
        <w:rPr>
          <w:rFonts w:cs="Times New Roman"/>
          <w:szCs w:val="24"/>
        </w:rPr>
        <w:t xml:space="preserve">Ez utóbbi változó azonban csak igen korlátozott időtartamra állt rendelkezésünkre (2006, 2007). </w:t>
      </w:r>
      <w:r w:rsidR="00F742DF" w:rsidRPr="00986F85">
        <w:rPr>
          <w:rFonts w:cs="Times New Roman"/>
          <w:szCs w:val="24"/>
        </w:rPr>
        <w:t>Ez esetben</w:t>
      </w:r>
      <w:r w:rsidR="00AB2A48" w:rsidRPr="00986F85">
        <w:rPr>
          <w:rFonts w:cs="Times New Roman"/>
          <w:szCs w:val="24"/>
        </w:rPr>
        <w:t xml:space="preserve"> is </w:t>
      </w:r>
      <w:r w:rsidR="0016101C" w:rsidRPr="00986F85">
        <w:rPr>
          <w:rFonts w:cs="Times New Roman"/>
          <w:szCs w:val="24"/>
        </w:rPr>
        <w:t xml:space="preserve">szükséges </w:t>
      </w:r>
      <w:r w:rsidR="00AB2A48" w:rsidRPr="00986F85">
        <w:rPr>
          <w:rFonts w:cs="Times New Roman"/>
          <w:szCs w:val="24"/>
        </w:rPr>
        <w:t>lenne több évre visszamenően ko</w:t>
      </w:r>
      <w:r w:rsidR="00F742DF" w:rsidRPr="00986F85">
        <w:rPr>
          <w:rFonts w:cs="Times New Roman"/>
          <w:szCs w:val="24"/>
        </w:rPr>
        <w:t>ntrollálni ezen változó alapján</w:t>
      </w:r>
      <w:r w:rsidR="00AB2A48" w:rsidRPr="00986F85">
        <w:rPr>
          <w:rFonts w:cs="Times New Roman"/>
          <w:szCs w:val="24"/>
        </w:rPr>
        <w:t xml:space="preserve">. </w:t>
      </w:r>
    </w:p>
    <w:p w14:paraId="30917B20" w14:textId="77777777" w:rsidR="005317BA" w:rsidRPr="00986F85" w:rsidRDefault="005317BA" w:rsidP="00B04415">
      <w:pPr>
        <w:spacing w:after="0" w:line="360" w:lineRule="auto"/>
        <w:jc w:val="both"/>
        <w:rPr>
          <w:rFonts w:cs="Times New Roman"/>
          <w:szCs w:val="24"/>
        </w:rPr>
      </w:pPr>
    </w:p>
    <w:p w14:paraId="582D4314" w14:textId="77777777" w:rsidR="005317BA" w:rsidRPr="00986F85" w:rsidRDefault="005317BA" w:rsidP="00B04415">
      <w:pPr>
        <w:spacing w:after="0" w:line="360" w:lineRule="auto"/>
        <w:jc w:val="both"/>
        <w:rPr>
          <w:rFonts w:cs="Times New Roman"/>
          <w:szCs w:val="24"/>
        </w:rPr>
      </w:pPr>
      <w:r w:rsidRPr="00986F85">
        <w:rPr>
          <w:rFonts w:cs="Times New Roman"/>
          <w:szCs w:val="24"/>
        </w:rPr>
        <w:lastRenderedPageBreak/>
        <w:t xml:space="preserve">A nem megfigyelhető heterogenitást regressziós panel modellekkel vizsgáltuk. Ha az eredmények hasonló irányba mutatnak a különböző modellek esetében, akkor lehetünk biztosak benne, hogy jól becsültük meg a program hatását.  </w:t>
      </w:r>
    </w:p>
    <w:p w14:paraId="5B7348E8" w14:textId="77777777" w:rsidR="005317BA" w:rsidRPr="00986F85" w:rsidRDefault="005317BA" w:rsidP="00B04415">
      <w:pPr>
        <w:spacing w:after="0" w:line="360" w:lineRule="auto"/>
        <w:jc w:val="both"/>
        <w:rPr>
          <w:rFonts w:cs="Times New Roman"/>
          <w:szCs w:val="24"/>
        </w:rPr>
      </w:pPr>
    </w:p>
    <w:p w14:paraId="70C0C2AC" w14:textId="77777777" w:rsidR="005317BA" w:rsidRPr="00986F85" w:rsidRDefault="005317BA" w:rsidP="00B04415">
      <w:pPr>
        <w:spacing w:after="0" w:line="360" w:lineRule="auto"/>
        <w:jc w:val="both"/>
        <w:rPr>
          <w:rFonts w:cs="Times New Roman"/>
          <w:szCs w:val="24"/>
        </w:rPr>
      </w:pPr>
      <w:r w:rsidRPr="00986F85">
        <w:rPr>
          <w:rFonts w:cs="Times New Roman"/>
          <w:szCs w:val="24"/>
        </w:rPr>
        <w:t>A program holtteherveszteségének vizsgálatakor az a kérdés, hogy milyen módon alakult volna a vállalatok beruházása, ha nem kapnak támogatást. Ezt olyan mó</w:t>
      </w:r>
      <w:r w:rsidR="00F85DDF" w:rsidRPr="00986F85">
        <w:rPr>
          <w:rFonts w:cs="Times New Roman"/>
          <w:szCs w:val="24"/>
        </w:rPr>
        <w:t xml:space="preserve">don számoltuk volna ki, hogy a legegyszerűbb modellt </w:t>
      </w:r>
      <w:r w:rsidRPr="00986F85">
        <w:rPr>
          <w:rFonts w:cs="Times New Roman"/>
          <w:szCs w:val="24"/>
        </w:rPr>
        <w:t xml:space="preserve">megbecsüljük a 2006-ig tartó vállalati adatokon. Ezt követően előre jelezzük a támogatott és nem támogatott vállalatok beruházását is a 2006. évet követő időszakra. A valódi és az előre jelzett beruházás különbsége mutatja meg a program hatására jelentkező pótlólagos beruházást. Ennek és a programban kiosztott teljes támogatási összegnek a hányadosa adja meg a holtteherveszteség becslését. Ezt a mélyebb elemzést azonban a </w:t>
      </w:r>
      <w:r w:rsidR="00F742DF" w:rsidRPr="00986F85">
        <w:rPr>
          <w:rFonts w:cs="Times New Roman"/>
          <w:szCs w:val="24"/>
        </w:rPr>
        <w:t xml:space="preserve">2006. évet megelőző, beavatkozási időszak előtti </w:t>
      </w:r>
      <w:r w:rsidRPr="00986F85">
        <w:rPr>
          <w:rFonts w:cs="Times New Roman"/>
          <w:szCs w:val="24"/>
        </w:rPr>
        <w:t xml:space="preserve">adatok hiánya miatt nem tudtuk elvégezni. </w:t>
      </w:r>
    </w:p>
    <w:p w14:paraId="2DF92AE2" w14:textId="77777777" w:rsidR="005317BA" w:rsidRPr="00986F85" w:rsidRDefault="005317BA" w:rsidP="009A68E7"/>
    <w:p w14:paraId="4AEEF73E" w14:textId="77777777" w:rsidR="00A75BCC" w:rsidRPr="00986F85" w:rsidRDefault="00A75BCC" w:rsidP="00B04415">
      <w:pPr>
        <w:pStyle w:val="Cmsor2"/>
        <w:spacing w:before="0" w:after="0" w:line="360" w:lineRule="auto"/>
        <w:jc w:val="both"/>
        <w:rPr>
          <w:rFonts w:ascii="Myriad Pro" w:hAnsi="Myriad Pro"/>
          <w:szCs w:val="24"/>
        </w:rPr>
      </w:pPr>
      <w:bookmarkStart w:id="38" w:name="_Toc230854321"/>
      <w:r w:rsidRPr="00986F85">
        <w:rPr>
          <w:rFonts w:ascii="Myriad Pro" w:hAnsi="Myriad Pro"/>
          <w:szCs w:val="24"/>
        </w:rPr>
        <w:t>VIZSGÁLT BEAVATKOZÁSOK</w:t>
      </w:r>
      <w:bookmarkEnd w:id="38"/>
      <w:r w:rsidRPr="00986F85">
        <w:rPr>
          <w:rFonts w:ascii="Myriad Pro" w:hAnsi="Myriad Pro"/>
          <w:szCs w:val="24"/>
        </w:rPr>
        <w:t xml:space="preserve"> </w:t>
      </w:r>
    </w:p>
    <w:p w14:paraId="4C8FE8E1" w14:textId="77777777" w:rsidR="00342AB2" w:rsidRPr="00986F85" w:rsidRDefault="00A75BCC" w:rsidP="00B04415">
      <w:pPr>
        <w:pStyle w:val="Szvegtrzs"/>
        <w:spacing w:after="0" w:line="360" w:lineRule="auto"/>
        <w:jc w:val="both"/>
        <w:rPr>
          <w:rFonts w:cs="Times New Roman"/>
          <w:szCs w:val="24"/>
        </w:rPr>
      </w:pPr>
      <w:r w:rsidRPr="00986F85">
        <w:rPr>
          <w:rFonts w:cs="Times New Roman"/>
          <w:szCs w:val="24"/>
        </w:rPr>
        <w:t>Az előbbi alfejezetben bemutatott adathiányosságo</w:t>
      </w:r>
      <w:r w:rsidR="00CE201E" w:rsidRPr="00986F85">
        <w:rPr>
          <w:rFonts w:cs="Times New Roman"/>
          <w:szCs w:val="24"/>
        </w:rPr>
        <w:t>k és módszertani korlátok miatt egyes vizsgálatok körét le kellett szűkítenünk. Míg a szelekció vizsgálatát első körben a teljes, 2007-2011 közötti GOP 2.1.1. A nyertes körre</w:t>
      </w:r>
      <w:r w:rsidR="00074D7B" w:rsidRPr="00986F85">
        <w:rPr>
          <w:rFonts w:cs="Times New Roman"/>
          <w:szCs w:val="24"/>
        </w:rPr>
        <w:t>, majd ugyanezen kezelteket kiegészítve a KMOP 1.2.1. A nyerteseivel</w:t>
      </w:r>
      <w:r w:rsidR="00CE201E" w:rsidRPr="00986F85">
        <w:rPr>
          <w:rFonts w:cs="Times New Roman"/>
          <w:szCs w:val="24"/>
        </w:rPr>
        <w:t xml:space="preserve"> végeztük el</w:t>
      </w:r>
      <w:r w:rsidR="00074D7B" w:rsidRPr="00986F85">
        <w:rPr>
          <w:rFonts w:cs="Times New Roman"/>
          <w:szCs w:val="24"/>
        </w:rPr>
        <w:t>.</w:t>
      </w:r>
      <w:r w:rsidR="00CE201E" w:rsidRPr="00986F85">
        <w:rPr>
          <w:rFonts w:cs="Times New Roman"/>
          <w:szCs w:val="24"/>
        </w:rPr>
        <w:t xml:space="preserve"> (</w:t>
      </w:r>
      <w:r w:rsidR="00074D7B" w:rsidRPr="00986F85">
        <w:rPr>
          <w:rFonts w:cs="Times New Roman"/>
          <w:szCs w:val="24"/>
        </w:rPr>
        <w:t xml:space="preserve">A növekedési mutatók beszámítása végett, futtottunk egy még szűkebb körű vizsgálatot – lásd </w:t>
      </w:r>
      <w:r w:rsidR="00CE201E" w:rsidRPr="00986F85">
        <w:rPr>
          <w:rFonts w:cs="Times New Roman"/>
          <w:szCs w:val="24"/>
        </w:rPr>
        <w:t xml:space="preserve">a 2007. évi nyertesek kiszűrésével a </w:t>
      </w:r>
      <w:r w:rsidR="00342AB2" w:rsidRPr="00986F85">
        <w:rPr>
          <w:rFonts w:cs="Times New Roman"/>
          <w:szCs w:val="24"/>
        </w:rPr>
        <w:t xml:space="preserve">2008-2011 időszak nyerteseire is). </w:t>
      </w:r>
    </w:p>
    <w:p w14:paraId="47E5D408" w14:textId="77777777" w:rsidR="00342AB2" w:rsidRPr="00986F85" w:rsidRDefault="00342AB2" w:rsidP="00B04415">
      <w:pPr>
        <w:pStyle w:val="Szvegtrzs"/>
        <w:spacing w:after="0" w:line="360" w:lineRule="auto"/>
        <w:jc w:val="both"/>
        <w:rPr>
          <w:rFonts w:cs="Times New Roman"/>
          <w:szCs w:val="24"/>
        </w:rPr>
      </w:pPr>
    </w:p>
    <w:p w14:paraId="57041E02" w14:textId="77777777" w:rsidR="005317BA" w:rsidRPr="00986F85" w:rsidRDefault="00342AB2" w:rsidP="00B04415">
      <w:pPr>
        <w:pStyle w:val="Szvegtrzs"/>
        <w:spacing w:after="0" w:line="360" w:lineRule="auto"/>
        <w:jc w:val="both"/>
        <w:rPr>
          <w:rFonts w:cs="Times New Roman"/>
          <w:szCs w:val="24"/>
        </w:rPr>
      </w:pPr>
      <w:r w:rsidRPr="00986F85">
        <w:rPr>
          <w:rFonts w:cs="Times New Roman"/>
          <w:szCs w:val="24"/>
        </w:rPr>
        <w:t>A</w:t>
      </w:r>
      <w:r w:rsidR="00CE201E" w:rsidRPr="00986F85">
        <w:rPr>
          <w:rFonts w:cs="Times New Roman"/>
          <w:szCs w:val="24"/>
        </w:rPr>
        <w:t xml:space="preserve"> k</w:t>
      </w:r>
      <w:r w:rsidR="00A75BCC" w:rsidRPr="00986F85">
        <w:rPr>
          <w:rFonts w:cs="Times New Roman"/>
          <w:szCs w:val="24"/>
        </w:rPr>
        <w:t xml:space="preserve">ontroll-csoportos hatásvizsgálat </w:t>
      </w:r>
      <w:r w:rsidRPr="00986F85">
        <w:rPr>
          <w:rFonts w:cs="Times New Roman"/>
          <w:szCs w:val="24"/>
        </w:rPr>
        <w:t xml:space="preserve">csak az olyan, </w:t>
      </w:r>
      <w:r w:rsidR="00A75BCC" w:rsidRPr="00986F85">
        <w:rPr>
          <w:rFonts w:cs="Times New Roman"/>
          <w:szCs w:val="24"/>
        </w:rPr>
        <w:t xml:space="preserve">GOP 2.1.1. alatt támogatást kapott vállalkozások </w:t>
      </w:r>
      <w:r w:rsidRPr="00986F85">
        <w:rPr>
          <w:rFonts w:cs="Times New Roman"/>
          <w:szCs w:val="24"/>
        </w:rPr>
        <w:t xml:space="preserve">körére végezhető el, melyek megfelelnek az alábbi </w:t>
      </w:r>
      <w:r w:rsidR="008F1859" w:rsidRPr="00986F85">
        <w:rPr>
          <w:rFonts w:cs="Times New Roman"/>
          <w:szCs w:val="24"/>
        </w:rPr>
        <w:t xml:space="preserve">három </w:t>
      </w:r>
      <w:r w:rsidRPr="00986F85">
        <w:rPr>
          <w:rFonts w:cs="Times New Roman"/>
          <w:szCs w:val="24"/>
        </w:rPr>
        <w:t xml:space="preserve">feltételnek: </w:t>
      </w:r>
      <w:r w:rsidR="008F1859" w:rsidRPr="00986F85">
        <w:rPr>
          <w:rFonts w:cs="Times New Roman"/>
          <w:szCs w:val="24"/>
        </w:rPr>
        <w:t xml:space="preserve">(1) </w:t>
      </w:r>
      <w:r w:rsidR="00BC79A2" w:rsidRPr="00986F85">
        <w:rPr>
          <w:rFonts w:cs="Times New Roman"/>
          <w:szCs w:val="24"/>
        </w:rPr>
        <w:t xml:space="preserve">támogatást nyert és utolsó kifizetését is megkapta 2009. végéig, </w:t>
      </w:r>
      <w:r w:rsidR="008F1859" w:rsidRPr="00986F85">
        <w:rPr>
          <w:rFonts w:cs="Times New Roman"/>
          <w:szCs w:val="24"/>
        </w:rPr>
        <w:t xml:space="preserve">(2) </w:t>
      </w:r>
      <w:r w:rsidR="00BC79A2" w:rsidRPr="00986F85">
        <w:rPr>
          <w:rFonts w:cs="Times New Roman"/>
          <w:szCs w:val="24"/>
        </w:rPr>
        <w:t xml:space="preserve">100 fő alatti foglalkoztatotti létszámmal rendelkezik, </w:t>
      </w:r>
      <w:r w:rsidR="008F1859" w:rsidRPr="00986F85">
        <w:rPr>
          <w:rFonts w:cs="Times New Roman"/>
          <w:szCs w:val="24"/>
        </w:rPr>
        <w:t xml:space="preserve">(3) </w:t>
      </w:r>
      <w:r w:rsidR="00BC79A2" w:rsidRPr="00986F85">
        <w:rPr>
          <w:rFonts w:cs="Times New Roman"/>
          <w:szCs w:val="24"/>
        </w:rPr>
        <w:t xml:space="preserve">fő mérlegadatai hiánytalanul elérhetőek. </w:t>
      </w:r>
      <w:r w:rsidRPr="00986F85">
        <w:rPr>
          <w:rFonts w:cs="Times New Roman"/>
          <w:szCs w:val="24"/>
        </w:rPr>
        <w:t>A</w:t>
      </w:r>
      <w:r w:rsidR="00CE201E" w:rsidRPr="00986F85">
        <w:rPr>
          <w:rFonts w:cs="Times New Roman"/>
          <w:szCs w:val="24"/>
        </w:rPr>
        <w:t xml:space="preserve"> program előrehaladása (kifizetések és projektzárások gyorsasága), a vállalati mérlegadatok elérhetősége </w:t>
      </w:r>
      <w:r w:rsidRPr="00986F85">
        <w:rPr>
          <w:rFonts w:cs="Times New Roman"/>
          <w:szCs w:val="24"/>
        </w:rPr>
        <w:t>egyértelműen korlátozt</w:t>
      </w:r>
      <w:r w:rsidR="00DC5A5E" w:rsidRPr="00986F85">
        <w:rPr>
          <w:rFonts w:cs="Times New Roman"/>
          <w:szCs w:val="24"/>
        </w:rPr>
        <w:t xml:space="preserve">a a kezelt sokaság számosságát. Ezek alapján a GOP 2.1.1. A és a KMOP 1.2.1. A konstrukciók </w:t>
      </w:r>
      <w:r w:rsidR="009B110E" w:rsidRPr="00986F85">
        <w:rPr>
          <w:rFonts w:cs="Times New Roman"/>
          <w:szCs w:val="24"/>
        </w:rPr>
        <w:t>nyerteseit között is csak a 2007</w:t>
      </w:r>
      <w:r w:rsidR="00DC5A5E" w:rsidRPr="00986F85">
        <w:rPr>
          <w:rFonts w:cs="Times New Roman"/>
          <w:szCs w:val="24"/>
        </w:rPr>
        <w:t xml:space="preserve">. és 2009. évi </w:t>
      </w:r>
      <w:r w:rsidR="00DC5A5E" w:rsidRPr="00986F85">
        <w:rPr>
          <w:rFonts w:cs="Times New Roman"/>
          <w:szCs w:val="24"/>
        </w:rPr>
        <w:lastRenderedPageBreak/>
        <w:t xml:space="preserve">nyertesek és projektjüket záró vállalkozások </w:t>
      </w:r>
      <w:r w:rsidRPr="00986F85">
        <w:rPr>
          <w:rFonts w:cs="Times New Roman"/>
          <w:szCs w:val="24"/>
        </w:rPr>
        <w:t xml:space="preserve">jöhettek számításba. </w:t>
      </w:r>
      <w:r w:rsidR="00F5788E" w:rsidRPr="00986F85">
        <w:rPr>
          <w:rFonts w:cs="Times New Roman"/>
          <w:szCs w:val="24"/>
        </w:rPr>
        <w:t>(A vizsgálat konstrukciókról a részletes adatok a</w:t>
      </w:r>
      <w:r w:rsidRPr="00986F85">
        <w:rPr>
          <w:rFonts w:cs="Times New Roman"/>
          <w:szCs w:val="24"/>
        </w:rPr>
        <w:t>z 1. sz</w:t>
      </w:r>
      <w:r w:rsidR="00F5788E" w:rsidRPr="00986F85">
        <w:rPr>
          <w:rFonts w:cs="Times New Roman"/>
          <w:szCs w:val="24"/>
        </w:rPr>
        <w:t xml:space="preserve"> Függelékben találhatók.)</w:t>
      </w:r>
    </w:p>
    <w:p w14:paraId="54000A2B" w14:textId="77777777" w:rsidR="00F5788E" w:rsidRPr="00986F85" w:rsidRDefault="00F5788E" w:rsidP="00B04415">
      <w:pPr>
        <w:pStyle w:val="Szvegtrzs"/>
        <w:spacing w:after="0" w:line="360" w:lineRule="auto"/>
        <w:jc w:val="both"/>
        <w:rPr>
          <w:rFonts w:cs="Times New Roman"/>
          <w:szCs w:val="24"/>
        </w:rPr>
      </w:pPr>
    </w:p>
    <w:p w14:paraId="2092EC7D" w14:textId="77777777" w:rsidR="00447EB1" w:rsidRPr="00986F85" w:rsidRDefault="00505971" w:rsidP="00B04415">
      <w:pPr>
        <w:pStyle w:val="Cmsor2"/>
        <w:spacing w:before="0" w:after="0" w:line="360" w:lineRule="auto"/>
        <w:jc w:val="both"/>
        <w:rPr>
          <w:rFonts w:ascii="Myriad Pro" w:hAnsi="Myriad Pro"/>
          <w:szCs w:val="24"/>
        </w:rPr>
      </w:pPr>
      <w:bookmarkStart w:id="39" w:name="_Toc230854322"/>
      <w:r w:rsidRPr="00986F85">
        <w:rPr>
          <w:rFonts w:ascii="Myriad Pro" w:hAnsi="Myriad Pro"/>
          <w:szCs w:val="24"/>
        </w:rPr>
        <w:t>A TÁMOGATÁS CÉLZÁSA</w:t>
      </w:r>
      <w:bookmarkEnd w:id="39"/>
      <w:r w:rsidRPr="00986F85">
        <w:rPr>
          <w:rFonts w:ascii="Myriad Pro" w:hAnsi="Myriad Pro"/>
          <w:szCs w:val="24"/>
        </w:rPr>
        <w:t xml:space="preserve"> </w:t>
      </w:r>
    </w:p>
    <w:p w14:paraId="3F873B38" w14:textId="77777777" w:rsidR="00AA68A2" w:rsidRPr="00986F85" w:rsidRDefault="00AA68A2" w:rsidP="00B04415">
      <w:pPr>
        <w:pStyle w:val="Szvegtrzs"/>
        <w:spacing w:after="0" w:line="360" w:lineRule="auto"/>
        <w:jc w:val="both"/>
        <w:rPr>
          <w:rFonts w:cs="Times New Roman"/>
          <w:b/>
          <w:szCs w:val="24"/>
        </w:rPr>
      </w:pPr>
    </w:p>
    <w:p w14:paraId="41F7BBF2" w14:textId="77777777" w:rsidR="0076036B" w:rsidRPr="00986F85" w:rsidRDefault="00A45FCA" w:rsidP="00B04415">
      <w:pPr>
        <w:pStyle w:val="Szvegtrzs"/>
        <w:spacing w:after="0" w:line="360" w:lineRule="auto"/>
        <w:jc w:val="both"/>
        <w:rPr>
          <w:rFonts w:cs="Times New Roman"/>
          <w:b/>
          <w:szCs w:val="24"/>
        </w:rPr>
      </w:pPr>
      <w:r w:rsidRPr="00986F85">
        <w:rPr>
          <w:noProof/>
          <w:lang w:eastAsia="hu-HU"/>
        </w:rPr>
        <mc:AlternateContent>
          <mc:Choice Requires="wps">
            <w:drawing>
              <wp:anchor distT="0" distB="0" distL="114300" distR="114300" simplePos="0" relativeHeight="251657216" behindDoc="0" locked="0" layoutInCell="1" allowOverlap="1" wp14:anchorId="147E3FAF" wp14:editId="4A5DD6F1">
                <wp:simplePos x="0" y="0"/>
                <wp:positionH relativeFrom="column">
                  <wp:posOffset>-33020</wp:posOffset>
                </wp:positionH>
                <wp:positionV relativeFrom="paragraph">
                  <wp:posOffset>-3810</wp:posOffset>
                </wp:positionV>
                <wp:extent cx="5746115" cy="1214755"/>
                <wp:effectExtent l="0" t="0" r="0" b="4445"/>
                <wp:wrapSquare wrapText="bothSides"/>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115" cy="1214755"/>
                        </a:xfrm>
                        <a:prstGeom prst="rect">
                          <a:avLst/>
                        </a:prstGeom>
                        <a:solidFill>
                          <a:srgbClr val="D8D8D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06D7FA6" w14:textId="77777777" w:rsidR="00E433FC" w:rsidRPr="0067069F" w:rsidRDefault="00E433FC" w:rsidP="005F6AFC">
                            <w:pPr>
                              <w:snapToGrid w:val="0"/>
                              <w:spacing w:after="0" w:line="360" w:lineRule="auto"/>
                              <w:jc w:val="both"/>
                              <w:rPr>
                                <w:rFonts w:cs="Times New Roman"/>
                                <w:b/>
                                <w:i/>
                                <w:szCs w:val="24"/>
                              </w:rPr>
                            </w:pPr>
                            <w:r w:rsidRPr="000352E2">
                              <w:rPr>
                                <w:rFonts w:eastAsia="Times New Roman" w:cs="Times New Roman"/>
                                <w:b/>
                                <w:i/>
                                <w:szCs w:val="24"/>
                              </w:rPr>
                              <w:t xml:space="preserve">Kik jelentkeztek és kik nyertek az érintett GOP és KMOP kiírásokon 2007-2011 között? </w:t>
                            </w:r>
                          </w:p>
                          <w:p w14:paraId="53C6B881" w14:textId="77777777" w:rsidR="00E433FC" w:rsidRPr="0067069F" w:rsidRDefault="00E433FC" w:rsidP="005F6AFC">
                            <w:pPr>
                              <w:spacing w:after="0" w:line="360" w:lineRule="auto"/>
                              <w:jc w:val="both"/>
                              <w:rPr>
                                <w:rFonts w:cs="Times New Roman"/>
                                <w:b/>
                                <w:i/>
                                <w:szCs w:val="24"/>
                              </w:rPr>
                            </w:pPr>
                            <w:r w:rsidRPr="000352E2">
                              <w:rPr>
                                <w:rFonts w:cs="Times New Roman"/>
                                <w:b/>
                                <w:i/>
                                <w:szCs w:val="24"/>
                              </w:rPr>
                              <w:t xml:space="preserve">Mi jellemzi a </w:t>
                            </w:r>
                            <w:r>
                              <w:rPr>
                                <w:rFonts w:cs="Times New Roman"/>
                                <w:b/>
                                <w:i/>
                                <w:szCs w:val="24"/>
                              </w:rPr>
                              <w:t>nyertes pályázó vállalkozásokat</w:t>
                            </w:r>
                            <w:r w:rsidRPr="0067069F">
                              <w:rPr>
                                <w:rFonts w:cs="Times New Roman"/>
                                <w:b/>
                                <w:i/>
                                <w:szCs w:val="24"/>
                              </w:rPr>
                              <w:t>? Megfigyelhető-e a pályázati lehetőségek halmozása, a pályázati függőség?</w:t>
                            </w:r>
                          </w:p>
                          <w:p w14:paraId="09A1055B" w14:textId="77777777" w:rsidR="00E433FC" w:rsidRPr="005F6AFC" w:rsidRDefault="00E433FC" w:rsidP="005F6AFC">
                            <w:pPr>
                              <w:snapToGrid w:val="0"/>
                              <w:spacing w:after="0" w:line="360" w:lineRule="auto"/>
                              <w:jc w:val="both"/>
                              <w:rPr>
                                <w:rFonts w:ascii="Times New Roman" w:hAnsi="Times New Roma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E3FAF" id="Text Box 4" o:spid="_x0000_s1029" type="#_x0000_t202" style="position:absolute;left:0;text-align:left;margin-left:-2.6pt;margin-top:-.3pt;width:452.45pt;height:9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" fillcolor="#d8d8d8" stroked="f">
                <v:textbox inset=",7.2pt,,7.2pt">
                  <w:txbxContent>
                    <w:p w14:paraId="106D7FA6" w14:textId="77777777" w:rsidR="00E433FC" w:rsidRPr="0067069F" w:rsidRDefault="00E433FC" w:rsidP="005F6AFC">
                      <w:pPr>
                        <w:snapToGrid w:val="0"/>
                        <w:spacing w:after="0" w:line="360" w:lineRule="auto"/>
                        <w:jc w:val="both"/>
                        <w:rPr>
                          <w:rFonts w:cs="Times New Roman"/>
                          <w:b/>
                          <w:i/>
                          <w:szCs w:val="24"/>
                        </w:rPr>
                      </w:pPr>
                      <w:r w:rsidRPr="000352E2">
                        <w:rPr>
                          <w:rFonts w:eastAsia="Times New Roman" w:cs="Times New Roman"/>
                          <w:b/>
                          <w:i/>
                          <w:szCs w:val="24"/>
                        </w:rPr>
                        <w:t xml:space="preserve">Kik jelentkeztek és kik nyertek az érintett GOP és KMOP kiírásokon 2007-2011 között? </w:t>
                      </w:r>
                    </w:p>
                    <w:p w14:paraId="53C6B881" w14:textId="77777777" w:rsidR="00E433FC" w:rsidRPr="0067069F" w:rsidRDefault="00E433FC" w:rsidP="005F6AFC">
                      <w:pPr>
                        <w:spacing w:after="0" w:line="360" w:lineRule="auto"/>
                        <w:jc w:val="both"/>
                        <w:rPr>
                          <w:rFonts w:cs="Times New Roman"/>
                          <w:b/>
                          <w:i/>
                          <w:szCs w:val="24"/>
                        </w:rPr>
                      </w:pPr>
                      <w:r w:rsidRPr="000352E2">
                        <w:rPr>
                          <w:rFonts w:cs="Times New Roman"/>
                          <w:b/>
                          <w:i/>
                          <w:szCs w:val="24"/>
                        </w:rPr>
                        <w:t xml:space="preserve">Mi jellemzi a </w:t>
                      </w:r>
                      <w:r>
                        <w:rPr>
                          <w:rFonts w:cs="Times New Roman"/>
                          <w:b/>
                          <w:i/>
                          <w:szCs w:val="24"/>
                        </w:rPr>
                        <w:t>nyertes pályázó vállalkozásokat</w:t>
                      </w:r>
                      <w:r w:rsidRPr="0067069F">
                        <w:rPr>
                          <w:rFonts w:cs="Times New Roman"/>
                          <w:b/>
                          <w:i/>
                          <w:szCs w:val="24"/>
                        </w:rPr>
                        <w:t>? Megfigyelhető-e a pályázati lehetőségek halmozása, a pályázati függőség?</w:t>
                      </w:r>
                    </w:p>
                    <w:p w14:paraId="09A1055B" w14:textId="77777777" w:rsidR="00E433FC" w:rsidRPr="005F6AFC" w:rsidRDefault="00E433FC" w:rsidP="005F6AFC">
                      <w:pPr>
                        <w:snapToGrid w:val="0"/>
                        <w:spacing w:after="0" w:line="360" w:lineRule="auto"/>
                        <w:jc w:val="both"/>
                        <w:rPr>
                          <w:rFonts w:ascii="Times New Roman" w:hAnsi="Times New Roman"/>
                        </w:rPr>
                      </w:pPr>
                    </w:p>
                  </w:txbxContent>
                </v:textbox>
                <w10:wrap type="square"/>
              </v:shape>
            </w:pict>
          </mc:Fallback>
        </mc:AlternateContent>
      </w:r>
      <w:r w:rsidR="003E653C" w:rsidRPr="00986F85">
        <w:rPr>
          <w:rFonts w:cs="Times New Roman"/>
          <w:b/>
          <w:szCs w:val="24"/>
        </w:rPr>
        <w:t>Pályázási szokások</w:t>
      </w:r>
    </w:p>
    <w:p w14:paraId="57F1FC45" w14:textId="77777777" w:rsidR="00A901AA" w:rsidRPr="00986F85" w:rsidRDefault="0069042B" w:rsidP="00B04415">
      <w:pPr>
        <w:pStyle w:val="Szvegtrzs"/>
        <w:spacing w:after="0" w:line="360" w:lineRule="auto"/>
        <w:jc w:val="both"/>
        <w:rPr>
          <w:rFonts w:cs="Times New Roman"/>
          <w:szCs w:val="24"/>
        </w:rPr>
      </w:pPr>
      <w:r w:rsidRPr="00986F85">
        <w:rPr>
          <w:rFonts w:cs="Times New Roman"/>
          <w:szCs w:val="24"/>
        </w:rPr>
        <w:t xml:space="preserve">Pályázat függőségnek nevezzük azt, amikor egy vállalkozás nyertes támogatását és fejlesztési projektjének lezárását követően ismétlődően és rendszeresen pályázik, illetve nyert további támogatást. E jelenség </w:t>
      </w:r>
      <w:r w:rsidR="003E653C" w:rsidRPr="00986F85">
        <w:rPr>
          <w:rFonts w:cs="Times New Roman"/>
          <w:szCs w:val="24"/>
        </w:rPr>
        <w:t>elemzésének első lépéseként áttekintettük, hogy a GOP és KMOP érintett nyerteseinek körében milyen gyakori az egyes konstrukciók alatti ismételt pályázás</w:t>
      </w:r>
      <w:r w:rsidR="007F72F0" w:rsidRPr="00986F85">
        <w:rPr>
          <w:rFonts w:cs="Times New Roman"/>
          <w:szCs w:val="24"/>
        </w:rPr>
        <w:t xml:space="preserve"> a 2007-2011 közötti időszakban</w:t>
      </w:r>
      <w:r w:rsidR="003E653C" w:rsidRPr="00986F85">
        <w:rPr>
          <w:rFonts w:cs="Times New Roman"/>
          <w:szCs w:val="24"/>
        </w:rPr>
        <w:t xml:space="preserve">. </w:t>
      </w:r>
    </w:p>
    <w:p w14:paraId="7967B63C" w14:textId="77777777" w:rsidR="00A901AA" w:rsidRPr="00986F85" w:rsidRDefault="00A901AA" w:rsidP="00B04415">
      <w:pPr>
        <w:pStyle w:val="Szvegtrzs"/>
        <w:spacing w:after="0" w:line="360" w:lineRule="auto"/>
        <w:jc w:val="both"/>
        <w:rPr>
          <w:rFonts w:cs="Times New Roman"/>
          <w:szCs w:val="24"/>
        </w:rPr>
      </w:pPr>
    </w:p>
    <w:p w14:paraId="1AC70D77" w14:textId="77777777" w:rsidR="008F68C0" w:rsidRPr="00986F85" w:rsidRDefault="003E653C" w:rsidP="00B04415">
      <w:pPr>
        <w:pStyle w:val="Szvegtrzs"/>
        <w:spacing w:after="0" w:line="360" w:lineRule="auto"/>
        <w:jc w:val="both"/>
        <w:rPr>
          <w:rFonts w:cs="Times New Roman"/>
          <w:szCs w:val="24"/>
        </w:rPr>
      </w:pPr>
      <w:r w:rsidRPr="00986F85">
        <w:rPr>
          <w:rFonts w:cs="Times New Roman"/>
          <w:szCs w:val="24"/>
        </w:rPr>
        <w:t>Az alábbi táblázatok jól szemléltetik, hogy a</w:t>
      </w:r>
      <w:r w:rsidR="00205962" w:rsidRPr="00986F85">
        <w:rPr>
          <w:rFonts w:cs="Times New Roman"/>
          <w:szCs w:val="24"/>
        </w:rPr>
        <w:t>z egyszer</w:t>
      </w:r>
      <w:r w:rsidRPr="00986F85">
        <w:rPr>
          <w:rFonts w:cs="Times New Roman"/>
          <w:szCs w:val="24"/>
        </w:rPr>
        <w:t xml:space="preserve"> nyertes pályázók </w:t>
      </w:r>
      <w:r w:rsidR="00205962" w:rsidRPr="00986F85">
        <w:rPr>
          <w:rFonts w:cs="Times New Roman"/>
          <w:szCs w:val="24"/>
        </w:rPr>
        <w:t>számottevő arányban fordulnak újra a</w:t>
      </w:r>
      <w:r w:rsidR="00A901AA" w:rsidRPr="00986F85">
        <w:rPr>
          <w:rFonts w:cs="Times New Roman"/>
          <w:szCs w:val="24"/>
        </w:rPr>
        <w:t>z állami</w:t>
      </w:r>
      <w:r w:rsidR="00205962" w:rsidRPr="00986F85">
        <w:rPr>
          <w:rFonts w:cs="Times New Roman"/>
          <w:szCs w:val="24"/>
        </w:rPr>
        <w:t xml:space="preserve"> forrásgazdákhoz újabb támogatás reményében. </w:t>
      </w:r>
      <w:r w:rsidR="008F68C0" w:rsidRPr="00986F85">
        <w:rPr>
          <w:rFonts w:cs="Times New Roman"/>
          <w:szCs w:val="24"/>
        </w:rPr>
        <w:t xml:space="preserve">A minimum egyszer újrapályázó cégek aránya kiugróan magas a GOP-2.1.1. B és C konstrukciók esetében (55%), és a GOP átlagnál jóval alacsonyabb a KMOP kiírások esetében (23%). A GOP támogatásoktól való függőség legkevésbé valószínűsíthető a GOP 2.1.1. M kosntrukció nyertesei körében.  </w:t>
      </w:r>
    </w:p>
    <w:p w14:paraId="615C56D6" w14:textId="77777777" w:rsidR="00B13E73" w:rsidRPr="00986F85" w:rsidRDefault="00B13E73" w:rsidP="00B04415">
      <w:pPr>
        <w:pStyle w:val="Szvegtrzs"/>
        <w:spacing w:after="0" w:line="360" w:lineRule="auto"/>
        <w:jc w:val="both"/>
        <w:rPr>
          <w:rFonts w:cs="Times New Roman"/>
          <w:szCs w:val="24"/>
        </w:rPr>
      </w:pPr>
    </w:p>
    <w:p w14:paraId="2E7C29F5" w14:textId="77777777" w:rsidR="00BA54BF" w:rsidRPr="00986F85" w:rsidRDefault="009F2499" w:rsidP="00B04415">
      <w:pPr>
        <w:pStyle w:val="Szvegtrzs"/>
        <w:spacing w:after="0" w:line="360" w:lineRule="auto"/>
        <w:jc w:val="both"/>
        <w:rPr>
          <w:rFonts w:cs="Times New Roman"/>
          <w:szCs w:val="24"/>
        </w:rPr>
      </w:pPr>
      <w:r w:rsidRPr="00986F85">
        <w:rPr>
          <w:rFonts w:cs="Times New Roman"/>
          <w:szCs w:val="24"/>
        </w:rPr>
        <w:t xml:space="preserve">Ahogy az alábbi táblázatokban látható, minden egyes GOP 2.1.1. intézkedés alatti konstrukcióban számottevő a több pályázatot elnyert cégek száma. A GOP 2.1.1. A konstrukció nyertesei között </w:t>
      </w:r>
      <w:r w:rsidR="008B17EB" w:rsidRPr="00986F85">
        <w:rPr>
          <w:rFonts w:cs="Times New Roman"/>
          <w:szCs w:val="24"/>
        </w:rPr>
        <w:t>1274 olyan cég van (38</w:t>
      </w:r>
      <w:r w:rsidR="0006024C" w:rsidRPr="00986F85">
        <w:rPr>
          <w:rFonts w:cs="Times New Roman"/>
          <w:szCs w:val="24"/>
        </w:rPr>
        <w:t>%), mely egynél több; 115 olyan cég található (1</w:t>
      </w:r>
      <w:r w:rsidRPr="00986F85">
        <w:rPr>
          <w:rFonts w:cs="Times New Roman"/>
          <w:szCs w:val="24"/>
        </w:rPr>
        <w:t xml:space="preserve">%), mely akár háromnál több sikeres pályázattal rendelkezik.  </w:t>
      </w:r>
      <w:r w:rsidR="00BA54BF" w:rsidRPr="00986F85">
        <w:rPr>
          <w:rFonts w:cs="Times New Roman"/>
          <w:szCs w:val="24"/>
        </w:rPr>
        <w:t>Az A ko</w:t>
      </w:r>
      <w:r w:rsidR="0006024C" w:rsidRPr="00986F85">
        <w:rPr>
          <w:rFonts w:cs="Times New Roman"/>
          <w:szCs w:val="24"/>
        </w:rPr>
        <w:t>nstrukció alatt nyertes cégek 71</w:t>
      </w:r>
      <w:r w:rsidR="00BA54BF" w:rsidRPr="00986F85">
        <w:rPr>
          <w:rFonts w:cs="Times New Roman"/>
          <w:szCs w:val="24"/>
        </w:rPr>
        <w:t xml:space="preserve"> százaléka nyert csak </w:t>
      </w:r>
      <w:r w:rsidR="00084662" w:rsidRPr="00986F85">
        <w:rPr>
          <w:rFonts w:cs="Times New Roman"/>
          <w:szCs w:val="24"/>
        </w:rPr>
        <w:t xml:space="preserve">egy pályázatot a </w:t>
      </w:r>
      <w:r w:rsidR="00BA54BF" w:rsidRPr="00986F85">
        <w:rPr>
          <w:rFonts w:cs="Times New Roman"/>
          <w:szCs w:val="24"/>
        </w:rPr>
        <w:t>beavatkozás keretében</w:t>
      </w:r>
      <w:r w:rsidR="00084662" w:rsidRPr="00986F85">
        <w:rPr>
          <w:rFonts w:cs="Times New Roman"/>
          <w:szCs w:val="24"/>
        </w:rPr>
        <w:t xml:space="preserve">, és </w:t>
      </w:r>
      <w:r w:rsidR="00084662" w:rsidRPr="00986F85">
        <w:rPr>
          <w:rFonts w:cs="Times New Roman"/>
          <w:szCs w:val="24"/>
        </w:rPr>
        <w:lastRenderedPageBreak/>
        <w:t>emellett igen magas azon cégek száma / aránya, melyek csak a GOP 2.1.1. A keretében pályáztak és nyertek (összesen: 4225 cég</w:t>
      </w:r>
      <w:r w:rsidR="00ED6634" w:rsidRPr="00986F85">
        <w:rPr>
          <w:rFonts w:cs="Times New Roman"/>
          <w:szCs w:val="24"/>
        </w:rPr>
        <w:t>, ami a teljes nyertes létszám 95 százaléka)</w:t>
      </w:r>
      <w:r w:rsidR="00BA54BF" w:rsidRPr="00986F85">
        <w:rPr>
          <w:rFonts w:cs="Times New Roman"/>
          <w:szCs w:val="24"/>
        </w:rPr>
        <w:t>.</w:t>
      </w:r>
    </w:p>
    <w:p w14:paraId="6C626A27" w14:textId="77777777" w:rsidR="008F3C32" w:rsidRPr="00986F85" w:rsidRDefault="005657E8" w:rsidP="008F3C32">
      <w:pPr>
        <w:pStyle w:val="Kpalrs"/>
        <w:keepNext/>
        <w:jc w:val="center"/>
      </w:pPr>
      <w:fldSimple w:instr=" SEQ táblázat \* ARABIC ">
        <w:bookmarkStart w:id="40" w:name="_Toc230854354"/>
        <w:r w:rsidR="00255252" w:rsidRPr="00986F85">
          <w:rPr>
            <w:noProof/>
          </w:rPr>
          <w:t>9</w:t>
        </w:r>
      </w:fldSimple>
      <w:r w:rsidR="008F3C32" w:rsidRPr="00986F85">
        <w:t>. táblázat:</w:t>
      </w:r>
      <w:r w:rsidR="008F3C32" w:rsidRPr="00986F85">
        <w:rPr>
          <w:rFonts w:cs="Times New Roman"/>
        </w:rPr>
        <w:t xml:space="preserve"> A GOP2.1.1.</w:t>
      </w:r>
      <w:r w:rsidR="0081584A" w:rsidRPr="00986F85">
        <w:rPr>
          <w:rFonts w:cs="Times New Roman"/>
        </w:rPr>
        <w:t>A</w:t>
      </w:r>
      <w:r w:rsidR="008F3C32" w:rsidRPr="00986F85">
        <w:rPr>
          <w:rFonts w:cs="Times New Roman"/>
        </w:rPr>
        <w:t xml:space="preserve"> nyertesek pályázati halmozása, 2007-2011</w:t>
      </w:r>
      <w:bookmarkEnd w:id="40"/>
    </w:p>
    <w:tbl>
      <w:tblPr>
        <w:tblW w:w="9087" w:type="dxa"/>
        <w:tblInd w:w="93" w:type="dxa"/>
        <w:tblLayout w:type="fixed"/>
        <w:tblLook w:val="04A0" w:firstRow="1" w:lastRow="0" w:firstColumn="1" w:lastColumn="0" w:noHBand="0" w:noVBand="1"/>
      </w:tblPr>
      <w:tblGrid>
        <w:gridCol w:w="4740"/>
        <w:gridCol w:w="1480"/>
        <w:gridCol w:w="1592"/>
        <w:gridCol w:w="1275"/>
      </w:tblGrid>
      <w:tr w:rsidR="00A86E87" w:rsidRPr="00986F85" w14:paraId="77A0A5EE" w14:textId="77777777" w:rsidTr="005E6B61">
        <w:trPr>
          <w:trHeight w:val="560"/>
        </w:trPr>
        <w:tc>
          <w:tcPr>
            <w:tcW w:w="4740" w:type="dxa"/>
            <w:tcBorders>
              <w:top w:val="nil"/>
              <w:left w:val="nil"/>
              <w:bottom w:val="nil"/>
              <w:right w:val="nil"/>
            </w:tcBorders>
            <w:shd w:val="clear" w:color="000000" w:fill="C00000"/>
            <w:hideMark/>
          </w:tcPr>
          <w:p w14:paraId="168F4551" w14:textId="77777777" w:rsidR="005E6B61" w:rsidRPr="00986F85" w:rsidRDefault="005E6B61" w:rsidP="005E6B61">
            <w:pPr>
              <w:suppressAutoHyphens w:val="0"/>
              <w:spacing w:after="0" w:line="240" w:lineRule="auto"/>
              <w:rPr>
                <w:rFonts w:eastAsia="Times New Roman" w:cs="Times New Roman"/>
                <w:color w:val="FFFFFF"/>
                <w:sz w:val="22"/>
                <w:lang w:eastAsia="en-US"/>
              </w:rPr>
            </w:pPr>
            <w:r w:rsidRPr="00986F85">
              <w:rPr>
                <w:rFonts w:eastAsia="Times New Roman" w:cs="Times New Roman"/>
                <w:color w:val="FFFFFF"/>
                <w:sz w:val="22"/>
                <w:lang w:eastAsia="en-US"/>
              </w:rPr>
              <w:t xml:space="preserve">Egy cég által </w:t>
            </w:r>
          </w:p>
          <w:p w14:paraId="116304AD" w14:textId="77777777" w:rsidR="00A86E87" w:rsidRPr="00986F85" w:rsidRDefault="005E6B61" w:rsidP="005E6B61">
            <w:pPr>
              <w:suppressAutoHyphens w:val="0"/>
              <w:spacing w:after="0" w:line="240" w:lineRule="auto"/>
              <w:rPr>
                <w:rFonts w:eastAsia="Times New Roman" w:cs="Times New Roman"/>
                <w:color w:val="FFFFFF"/>
                <w:sz w:val="22"/>
                <w:lang w:eastAsia="en-US"/>
              </w:rPr>
            </w:pPr>
            <w:r w:rsidRPr="00986F85">
              <w:rPr>
                <w:rFonts w:eastAsia="Times New Roman" w:cs="Times New Roman"/>
                <w:color w:val="FFFFFF"/>
                <w:sz w:val="22"/>
                <w:lang w:eastAsia="en-US"/>
              </w:rPr>
              <w:t>elnyert p</w:t>
            </w:r>
            <w:r w:rsidR="00A86E87" w:rsidRPr="00986F85">
              <w:rPr>
                <w:rFonts w:eastAsia="Times New Roman" w:cs="Times New Roman"/>
                <w:color w:val="FFFFFF"/>
                <w:sz w:val="22"/>
                <w:lang w:eastAsia="en-US"/>
              </w:rPr>
              <w:t>ályázatok száma</w:t>
            </w:r>
          </w:p>
        </w:tc>
        <w:tc>
          <w:tcPr>
            <w:tcW w:w="1480" w:type="dxa"/>
            <w:tcBorders>
              <w:top w:val="nil"/>
              <w:left w:val="nil"/>
              <w:bottom w:val="nil"/>
              <w:right w:val="nil"/>
            </w:tcBorders>
            <w:shd w:val="clear" w:color="000000" w:fill="C00000"/>
            <w:vAlign w:val="center"/>
            <w:hideMark/>
          </w:tcPr>
          <w:p w14:paraId="1EB728EE" w14:textId="77777777" w:rsidR="005E6B61" w:rsidRPr="00986F85" w:rsidRDefault="005E6B61" w:rsidP="005E6B61">
            <w:pPr>
              <w:suppressAutoHyphens w:val="0"/>
              <w:spacing w:after="0" w:line="240" w:lineRule="auto"/>
              <w:jc w:val="center"/>
              <w:rPr>
                <w:rFonts w:eastAsia="Times New Roman" w:cs="Times New Roman"/>
                <w:color w:val="FFFFFF"/>
                <w:sz w:val="22"/>
                <w:lang w:val="en-US" w:eastAsia="en-US"/>
              </w:rPr>
            </w:pPr>
            <w:r w:rsidRPr="00986F85">
              <w:rPr>
                <w:rFonts w:eastAsia="Times New Roman" w:cs="Times New Roman"/>
                <w:color w:val="FFFFFF"/>
                <w:sz w:val="22"/>
                <w:lang w:val="en-US" w:eastAsia="en-US"/>
              </w:rPr>
              <w:t>Cégek</w:t>
            </w:r>
          </w:p>
          <w:p w14:paraId="73AA0242" w14:textId="77777777" w:rsidR="00A86E87" w:rsidRPr="00986F85" w:rsidRDefault="005E6B61" w:rsidP="005E6B61">
            <w:pPr>
              <w:suppressAutoHyphens w:val="0"/>
              <w:spacing w:after="0" w:line="240" w:lineRule="auto"/>
              <w:jc w:val="center"/>
              <w:rPr>
                <w:rFonts w:eastAsia="Times New Roman" w:cs="Times New Roman"/>
                <w:color w:val="FFFFFF"/>
                <w:sz w:val="22"/>
                <w:lang w:val="en-US" w:eastAsia="en-US"/>
              </w:rPr>
            </w:pPr>
            <w:r w:rsidRPr="00986F85">
              <w:rPr>
                <w:rFonts w:eastAsia="Times New Roman" w:cs="Times New Roman"/>
                <w:color w:val="FFFFFF"/>
                <w:sz w:val="22"/>
                <w:lang w:val="en-US" w:eastAsia="en-US"/>
              </w:rPr>
              <w:t>száma</w:t>
            </w:r>
          </w:p>
        </w:tc>
        <w:tc>
          <w:tcPr>
            <w:tcW w:w="1592" w:type="dxa"/>
            <w:tcBorders>
              <w:top w:val="nil"/>
              <w:left w:val="nil"/>
              <w:bottom w:val="nil"/>
              <w:right w:val="nil"/>
            </w:tcBorders>
            <w:shd w:val="clear" w:color="000000" w:fill="C00000"/>
            <w:vAlign w:val="center"/>
            <w:hideMark/>
          </w:tcPr>
          <w:p w14:paraId="5C2588F9" w14:textId="77777777" w:rsidR="00A86E87" w:rsidRPr="00986F85" w:rsidRDefault="00A86E87" w:rsidP="005E6B61">
            <w:pPr>
              <w:suppressAutoHyphens w:val="0"/>
              <w:spacing w:after="0" w:line="240" w:lineRule="auto"/>
              <w:jc w:val="center"/>
              <w:rPr>
                <w:rFonts w:eastAsia="Times New Roman" w:cs="Times New Roman"/>
                <w:color w:val="FFFFFF"/>
                <w:sz w:val="22"/>
                <w:lang w:val="en-US" w:eastAsia="en-US"/>
              </w:rPr>
            </w:pPr>
            <w:r w:rsidRPr="00986F85">
              <w:rPr>
                <w:rFonts w:eastAsia="Times New Roman" w:cs="Times New Roman"/>
                <w:color w:val="FFFFFF"/>
                <w:sz w:val="22"/>
                <w:lang w:val="en-US" w:eastAsia="en-US"/>
              </w:rPr>
              <w:t>%</w:t>
            </w:r>
          </w:p>
        </w:tc>
        <w:tc>
          <w:tcPr>
            <w:tcW w:w="1275" w:type="dxa"/>
            <w:tcBorders>
              <w:top w:val="nil"/>
              <w:left w:val="nil"/>
              <w:bottom w:val="nil"/>
              <w:right w:val="nil"/>
            </w:tcBorders>
            <w:shd w:val="clear" w:color="000000" w:fill="C00000"/>
            <w:vAlign w:val="center"/>
            <w:hideMark/>
          </w:tcPr>
          <w:p w14:paraId="2704A0FC" w14:textId="77777777" w:rsidR="00A86E87" w:rsidRPr="00986F85" w:rsidRDefault="00A86E87" w:rsidP="005E6B61">
            <w:pPr>
              <w:suppressAutoHyphens w:val="0"/>
              <w:spacing w:after="0" w:line="240" w:lineRule="auto"/>
              <w:jc w:val="center"/>
              <w:rPr>
                <w:rFonts w:eastAsia="Times New Roman" w:cs="Times New Roman"/>
                <w:color w:val="FFFFFF"/>
                <w:sz w:val="22"/>
                <w:lang w:val="en-US" w:eastAsia="en-US"/>
              </w:rPr>
            </w:pPr>
            <w:r w:rsidRPr="00986F85">
              <w:rPr>
                <w:rFonts w:eastAsia="Times New Roman" w:cs="Times New Roman"/>
                <w:color w:val="FFFFFF"/>
                <w:sz w:val="22"/>
                <w:lang w:val="en-US" w:eastAsia="en-US"/>
              </w:rPr>
              <w:t>Kum</w:t>
            </w:r>
            <w:r w:rsidR="0099060A" w:rsidRPr="00986F85">
              <w:rPr>
                <w:rFonts w:eastAsia="Times New Roman" w:cs="Times New Roman"/>
                <w:color w:val="FFFFFF"/>
                <w:sz w:val="22"/>
                <w:lang w:val="en-US" w:eastAsia="en-US"/>
              </w:rPr>
              <w:t>ulált arány</w:t>
            </w:r>
          </w:p>
        </w:tc>
      </w:tr>
      <w:tr w:rsidR="00A86E87" w:rsidRPr="00986F85" w14:paraId="02CE8039" w14:textId="77777777" w:rsidTr="00A86E87">
        <w:trPr>
          <w:trHeight w:val="280"/>
        </w:trPr>
        <w:tc>
          <w:tcPr>
            <w:tcW w:w="4740" w:type="dxa"/>
            <w:tcBorders>
              <w:top w:val="nil"/>
              <w:left w:val="nil"/>
              <w:bottom w:val="nil"/>
              <w:right w:val="nil"/>
            </w:tcBorders>
            <w:shd w:val="clear" w:color="auto" w:fill="auto"/>
            <w:noWrap/>
            <w:vAlign w:val="bottom"/>
            <w:hideMark/>
          </w:tcPr>
          <w:p w14:paraId="690A991D" w14:textId="77777777" w:rsidR="00A86E87" w:rsidRPr="00986F85" w:rsidRDefault="00A86E87" w:rsidP="00A86E87">
            <w:pPr>
              <w:suppressAutoHyphens w:val="0"/>
              <w:spacing w:after="0" w:line="240" w:lineRule="auto"/>
              <w:rPr>
                <w:rFonts w:eastAsia="Times New Roman" w:cs="Times New Roman"/>
                <w:color w:val="000000"/>
                <w:sz w:val="22"/>
                <w:lang w:val="en-US" w:eastAsia="en-US"/>
              </w:rPr>
            </w:pPr>
            <w:r w:rsidRPr="00986F85">
              <w:rPr>
                <w:rFonts w:eastAsia="Times New Roman" w:cs="Times New Roman"/>
                <w:color w:val="000000"/>
                <w:sz w:val="22"/>
                <w:lang w:val="en-US" w:eastAsia="en-US"/>
              </w:rPr>
              <w:t>1</w:t>
            </w:r>
          </w:p>
        </w:tc>
        <w:tc>
          <w:tcPr>
            <w:tcW w:w="1480" w:type="dxa"/>
            <w:tcBorders>
              <w:top w:val="nil"/>
              <w:left w:val="nil"/>
              <w:bottom w:val="nil"/>
              <w:right w:val="nil"/>
            </w:tcBorders>
            <w:shd w:val="clear" w:color="auto" w:fill="auto"/>
            <w:noWrap/>
            <w:vAlign w:val="bottom"/>
            <w:hideMark/>
          </w:tcPr>
          <w:p w14:paraId="56A0DEE7" w14:textId="77777777" w:rsidR="00A86E87" w:rsidRPr="00986F85" w:rsidRDefault="00A86E87" w:rsidP="00A86E87">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3156</w:t>
            </w:r>
          </w:p>
        </w:tc>
        <w:tc>
          <w:tcPr>
            <w:tcW w:w="1592" w:type="dxa"/>
            <w:tcBorders>
              <w:top w:val="nil"/>
              <w:left w:val="nil"/>
              <w:bottom w:val="nil"/>
              <w:right w:val="nil"/>
            </w:tcBorders>
            <w:shd w:val="clear" w:color="auto" w:fill="auto"/>
            <w:noWrap/>
            <w:vAlign w:val="bottom"/>
            <w:hideMark/>
          </w:tcPr>
          <w:p w14:paraId="749416F0" w14:textId="77777777" w:rsidR="00A86E87" w:rsidRPr="00986F85" w:rsidRDefault="00A86E87" w:rsidP="00A86E87">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71.24%</w:t>
            </w:r>
          </w:p>
        </w:tc>
        <w:tc>
          <w:tcPr>
            <w:tcW w:w="1275" w:type="dxa"/>
            <w:tcBorders>
              <w:top w:val="nil"/>
              <w:left w:val="nil"/>
              <w:bottom w:val="nil"/>
              <w:right w:val="nil"/>
            </w:tcBorders>
            <w:shd w:val="clear" w:color="auto" w:fill="auto"/>
            <w:noWrap/>
            <w:vAlign w:val="bottom"/>
            <w:hideMark/>
          </w:tcPr>
          <w:p w14:paraId="7040D8EA" w14:textId="77777777" w:rsidR="00A86E87" w:rsidRPr="00986F85" w:rsidRDefault="00A86E87" w:rsidP="00A86E87">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71.24%</w:t>
            </w:r>
          </w:p>
        </w:tc>
      </w:tr>
      <w:tr w:rsidR="00A86E87" w:rsidRPr="00986F85" w14:paraId="712B1B06" w14:textId="77777777" w:rsidTr="00A86E87">
        <w:trPr>
          <w:trHeight w:val="280"/>
        </w:trPr>
        <w:tc>
          <w:tcPr>
            <w:tcW w:w="4740" w:type="dxa"/>
            <w:tcBorders>
              <w:top w:val="nil"/>
              <w:left w:val="nil"/>
              <w:bottom w:val="nil"/>
              <w:right w:val="nil"/>
            </w:tcBorders>
            <w:shd w:val="clear" w:color="auto" w:fill="auto"/>
            <w:noWrap/>
            <w:vAlign w:val="bottom"/>
            <w:hideMark/>
          </w:tcPr>
          <w:p w14:paraId="4719BDE2" w14:textId="77777777" w:rsidR="00A86E87" w:rsidRPr="00986F85" w:rsidRDefault="00A86E87" w:rsidP="00A86E87">
            <w:pPr>
              <w:suppressAutoHyphens w:val="0"/>
              <w:spacing w:after="0" w:line="240" w:lineRule="auto"/>
              <w:rPr>
                <w:rFonts w:eastAsia="Times New Roman" w:cs="Times New Roman"/>
                <w:color w:val="000000"/>
                <w:sz w:val="22"/>
                <w:lang w:val="en-US" w:eastAsia="en-US"/>
              </w:rPr>
            </w:pPr>
            <w:r w:rsidRPr="00986F85">
              <w:rPr>
                <w:rFonts w:eastAsia="Times New Roman" w:cs="Times New Roman"/>
                <w:color w:val="000000"/>
                <w:sz w:val="22"/>
                <w:lang w:val="en-US" w:eastAsia="en-US"/>
              </w:rPr>
              <w:t>2</w:t>
            </w:r>
          </w:p>
        </w:tc>
        <w:tc>
          <w:tcPr>
            <w:tcW w:w="1480" w:type="dxa"/>
            <w:tcBorders>
              <w:top w:val="nil"/>
              <w:left w:val="nil"/>
              <w:bottom w:val="nil"/>
              <w:right w:val="nil"/>
            </w:tcBorders>
            <w:shd w:val="clear" w:color="auto" w:fill="auto"/>
            <w:noWrap/>
            <w:vAlign w:val="bottom"/>
            <w:hideMark/>
          </w:tcPr>
          <w:p w14:paraId="41966344" w14:textId="77777777" w:rsidR="00A86E87" w:rsidRPr="00986F85" w:rsidRDefault="00A86E87" w:rsidP="00A86E87">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886</w:t>
            </w:r>
          </w:p>
        </w:tc>
        <w:tc>
          <w:tcPr>
            <w:tcW w:w="1592" w:type="dxa"/>
            <w:tcBorders>
              <w:top w:val="nil"/>
              <w:left w:val="nil"/>
              <w:bottom w:val="nil"/>
              <w:right w:val="nil"/>
            </w:tcBorders>
            <w:shd w:val="clear" w:color="auto" w:fill="auto"/>
            <w:noWrap/>
            <w:vAlign w:val="bottom"/>
            <w:hideMark/>
          </w:tcPr>
          <w:p w14:paraId="416B0237" w14:textId="77777777" w:rsidR="00A86E87" w:rsidRPr="00986F85" w:rsidRDefault="00A86E87" w:rsidP="00A86E87">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20.00%</w:t>
            </w:r>
          </w:p>
        </w:tc>
        <w:tc>
          <w:tcPr>
            <w:tcW w:w="1275" w:type="dxa"/>
            <w:tcBorders>
              <w:top w:val="nil"/>
              <w:left w:val="nil"/>
              <w:bottom w:val="nil"/>
              <w:right w:val="nil"/>
            </w:tcBorders>
            <w:shd w:val="clear" w:color="auto" w:fill="auto"/>
            <w:noWrap/>
            <w:vAlign w:val="bottom"/>
            <w:hideMark/>
          </w:tcPr>
          <w:p w14:paraId="4140E201" w14:textId="77777777" w:rsidR="00A86E87" w:rsidRPr="00986F85" w:rsidRDefault="00A86E87" w:rsidP="00A86E87">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91.24%</w:t>
            </w:r>
          </w:p>
        </w:tc>
      </w:tr>
      <w:tr w:rsidR="00A86E87" w:rsidRPr="00986F85" w14:paraId="6C8A9751" w14:textId="77777777" w:rsidTr="00A86E87">
        <w:trPr>
          <w:trHeight w:val="280"/>
        </w:trPr>
        <w:tc>
          <w:tcPr>
            <w:tcW w:w="4740" w:type="dxa"/>
            <w:tcBorders>
              <w:top w:val="nil"/>
              <w:left w:val="nil"/>
              <w:bottom w:val="nil"/>
              <w:right w:val="nil"/>
            </w:tcBorders>
            <w:shd w:val="clear" w:color="auto" w:fill="auto"/>
            <w:noWrap/>
            <w:vAlign w:val="bottom"/>
            <w:hideMark/>
          </w:tcPr>
          <w:p w14:paraId="1DB8AD24" w14:textId="77777777" w:rsidR="00A86E87" w:rsidRPr="00986F85" w:rsidRDefault="00A86E87" w:rsidP="00A86E87">
            <w:pPr>
              <w:suppressAutoHyphens w:val="0"/>
              <w:spacing w:after="0" w:line="240" w:lineRule="auto"/>
              <w:rPr>
                <w:rFonts w:eastAsia="Times New Roman" w:cs="Times New Roman"/>
                <w:color w:val="000000"/>
                <w:sz w:val="22"/>
                <w:lang w:val="en-US" w:eastAsia="en-US"/>
              </w:rPr>
            </w:pPr>
            <w:r w:rsidRPr="00986F85">
              <w:rPr>
                <w:rFonts w:eastAsia="Times New Roman" w:cs="Times New Roman"/>
                <w:color w:val="000000"/>
                <w:sz w:val="22"/>
                <w:lang w:val="en-US" w:eastAsia="en-US"/>
              </w:rPr>
              <w:t>3</w:t>
            </w:r>
          </w:p>
        </w:tc>
        <w:tc>
          <w:tcPr>
            <w:tcW w:w="1480" w:type="dxa"/>
            <w:tcBorders>
              <w:top w:val="nil"/>
              <w:left w:val="nil"/>
              <w:bottom w:val="nil"/>
              <w:right w:val="nil"/>
            </w:tcBorders>
            <w:shd w:val="clear" w:color="auto" w:fill="auto"/>
            <w:noWrap/>
            <w:vAlign w:val="bottom"/>
            <w:hideMark/>
          </w:tcPr>
          <w:p w14:paraId="50D71093" w14:textId="77777777" w:rsidR="00A86E87" w:rsidRPr="00986F85" w:rsidRDefault="00A86E87" w:rsidP="00A86E87">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273</w:t>
            </w:r>
          </w:p>
        </w:tc>
        <w:tc>
          <w:tcPr>
            <w:tcW w:w="1592" w:type="dxa"/>
            <w:tcBorders>
              <w:top w:val="nil"/>
              <w:left w:val="nil"/>
              <w:bottom w:val="nil"/>
              <w:right w:val="nil"/>
            </w:tcBorders>
            <w:shd w:val="clear" w:color="auto" w:fill="auto"/>
            <w:noWrap/>
            <w:vAlign w:val="bottom"/>
            <w:hideMark/>
          </w:tcPr>
          <w:p w14:paraId="65A3B0B7" w14:textId="77777777" w:rsidR="00A86E87" w:rsidRPr="00986F85" w:rsidRDefault="00A86E87" w:rsidP="00A86E87">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6.16%</w:t>
            </w:r>
          </w:p>
        </w:tc>
        <w:tc>
          <w:tcPr>
            <w:tcW w:w="1275" w:type="dxa"/>
            <w:tcBorders>
              <w:top w:val="nil"/>
              <w:left w:val="nil"/>
              <w:bottom w:val="nil"/>
              <w:right w:val="nil"/>
            </w:tcBorders>
            <w:shd w:val="clear" w:color="auto" w:fill="auto"/>
            <w:noWrap/>
            <w:vAlign w:val="bottom"/>
            <w:hideMark/>
          </w:tcPr>
          <w:p w14:paraId="53BF4A1A" w14:textId="77777777" w:rsidR="00A86E87" w:rsidRPr="00986F85" w:rsidRDefault="00A86E87" w:rsidP="00A86E87">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97.40%</w:t>
            </w:r>
          </w:p>
        </w:tc>
      </w:tr>
      <w:tr w:rsidR="00A86E87" w:rsidRPr="00986F85" w14:paraId="36EE6F3C" w14:textId="77777777" w:rsidTr="00A86E87">
        <w:trPr>
          <w:trHeight w:val="280"/>
        </w:trPr>
        <w:tc>
          <w:tcPr>
            <w:tcW w:w="4740" w:type="dxa"/>
            <w:tcBorders>
              <w:top w:val="nil"/>
              <w:left w:val="nil"/>
              <w:bottom w:val="nil"/>
              <w:right w:val="nil"/>
            </w:tcBorders>
            <w:shd w:val="clear" w:color="auto" w:fill="auto"/>
            <w:noWrap/>
            <w:vAlign w:val="bottom"/>
            <w:hideMark/>
          </w:tcPr>
          <w:p w14:paraId="1BDBF065" w14:textId="77777777" w:rsidR="00A86E87" w:rsidRPr="00986F85" w:rsidRDefault="00A86E87" w:rsidP="00A86E87">
            <w:pPr>
              <w:suppressAutoHyphens w:val="0"/>
              <w:spacing w:after="0" w:line="240" w:lineRule="auto"/>
              <w:rPr>
                <w:rFonts w:eastAsia="Times New Roman" w:cs="Times New Roman"/>
                <w:color w:val="000000"/>
                <w:sz w:val="22"/>
                <w:lang w:val="en-US" w:eastAsia="en-US"/>
              </w:rPr>
            </w:pPr>
            <w:r w:rsidRPr="00986F85">
              <w:rPr>
                <w:rFonts w:eastAsia="Times New Roman" w:cs="Times New Roman"/>
                <w:color w:val="000000"/>
                <w:sz w:val="22"/>
                <w:lang w:val="en-US" w:eastAsia="en-US"/>
              </w:rPr>
              <w:t>4</w:t>
            </w:r>
          </w:p>
        </w:tc>
        <w:tc>
          <w:tcPr>
            <w:tcW w:w="1480" w:type="dxa"/>
            <w:tcBorders>
              <w:top w:val="nil"/>
              <w:left w:val="nil"/>
              <w:bottom w:val="nil"/>
              <w:right w:val="nil"/>
            </w:tcBorders>
            <w:shd w:val="clear" w:color="auto" w:fill="auto"/>
            <w:noWrap/>
            <w:vAlign w:val="bottom"/>
            <w:hideMark/>
          </w:tcPr>
          <w:p w14:paraId="5FA210CE" w14:textId="77777777" w:rsidR="00A86E87" w:rsidRPr="00986F85" w:rsidRDefault="00A86E87" w:rsidP="00A86E87">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82</w:t>
            </w:r>
          </w:p>
        </w:tc>
        <w:tc>
          <w:tcPr>
            <w:tcW w:w="1592" w:type="dxa"/>
            <w:tcBorders>
              <w:top w:val="nil"/>
              <w:left w:val="nil"/>
              <w:bottom w:val="nil"/>
              <w:right w:val="nil"/>
            </w:tcBorders>
            <w:shd w:val="clear" w:color="auto" w:fill="auto"/>
            <w:noWrap/>
            <w:vAlign w:val="bottom"/>
            <w:hideMark/>
          </w:tcPr>
          <w:p w14:paraId="676B9EED" w14:textId="77777777" w:rsidR="00A86E87" w:rsidRPr="00986F85" w:rsidRDefault="00A86E87" w:rsidP="00A86E87">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1.85%</w:t>
            </w:r>
          </w:p>
        </w:tc>
        <w:tc>
          <w:tcPr>
            <w:tcW w:w="1275" w:type="dxa"/>
            <w:tcBorders>
              <w:top w:val="nil"/>
              <w:left w:val="nil"/>
              <w:bottom w:val="nil"/>
              <w:right w:val="nil"/>
            </w:tcBorders>
            <w:shd w:val="clear" w:color="auto" w:fill="auto"/>
            <w:noWrap/>
            <w:vAlign w:val="bottom"/>
            <w:hideMark/>
          </w:tcPr>
          <w:p w14:paraId="26BCE01D" w14:textId="77777777" w:rsidR="00A86E87" w:rsidRPr="00986F85" w:rsidRDefault="00A86E87" w:rsidP="00A86E87">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99.26%</w:t>
            </w:r>
          </w:p>
        </w:tc>
      </w:tr>
      <w:tr w:rsidR="00A86E87" w:rsidRPr="00986F85" w14:paraId="259F64C3" w14:textId="77777777" w:rsidTr="00A86E87">
        <w:trPr>
          <w:trHeight w:val="280"/>
        </w:trPr>
        <w:tc>
          <w:tcPr>
            <w:tcW w:w="4740" w:type="dxa"/>
            <w:tcBorders>
              <w:top w:val="nil"/>
              <w:left w:val="nil"/>
              <w:bottom w:val="nil"/>
              <w:right w:val="nil"/>
            </w:tcBorders>
            <w:shd w:val="clear" w:color="auto" w:fill="auto"/>
            <w:noWrap/>
            <w:vAlign w:val="bottom"/>
            <w:hideMark/>
          </w:tcPr>
          <w:p w14:paraId="742E1B33" w14:textId="77777777" w:rsidR="00A86E87" w:rsidRPr="00986F85" w:rsidRDefault="00A86E87" w:rsidP="00A86E87">
            <w:pPr>
              <w:suppressAutoHyphens w:val="0"/>
              <w:spacing w:after="0" w:line="240" w:lineRule="auto"/>
              <w:rPr>
                <w:rFonts w:eastAsia="Times New Roman" w:cs="Times New Roman"/>
                <w:color w:val="000000"/>
                <w:sz w:val="22"/>
                <w:lang w:val="en-US" w:eastAsia="en-US"/>
              </w:rPr>
            </w:pPr>
            <w:r w:rsidRPr="00986F85">
              <w:rPr>
                <w:rFonts w:eastAsia="Times New Roman" w:cs="Times New Roman"/>
                <w:color w:val="000000"/>
                <w:sz w:val="22"/>
                <w:lang w:val="en-US" w:eastAsia="en-US"/>
              </w:rPr>
              <w:t>5</w:t>
            </w:r>
          </w:p>
        </w:tc>
        <w:tc>
          <w:tcPr>
            <w:tcW w:w="1480" w:type="dxa"/>
            <w:tcBorders>
              <w:top w:val="nil"/>
              <w:left w:val="nil"/>
              <w:bottom w:val="nil"/>
              <w:right w:val="nil"/>
            </w:tcBorders>
            <w:shd w:val="clear" w:color="auto" w:fill="auto"/>
            <w:noWrap/>
            <w:vAlign w:val="bottom"/>
            <w:hideMark/>
          </w:tcPr>
          <w:p w14:paraId="27D65B88" w14:textId="77777777" w:rsidR="00A86E87" w:rsidRPr="00986F85" w:rsidRDefault="00A86E87" w:rsidP="00A86E87">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22</w:t>
            </w:r>
          </w:p>
        </w:tc>
        <w:tc>
          <w:tcPr>
            <w:tcW w:w="1592" w:type="dxa"/>
            <w:tcBorders>
              <w:top w:val="nil"/>
              <w:left w:val="nil"/>
              <w:bottom w:val="nil"/>
              <w:right w:val="nil"/>
            </w:tcBorders>
            <w:shd w:val="clear" w:color="auto" w:fill="auto"/>
            <w:noWrap/>
            <w:vAlign w:val="bottom"/>
            <w:hideMark/>
          </w:tcPr>
          <w:p w14:paraId="65822860" w14:textId="77777777" w:rsidR="00A86E87" w:rsidRPr="00986F85" w:rsidRDefault="00A86E87" w:rsidP="00A86E87">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0.50%</w:t>
            </w:r>
          </w:p>
        </w:tc>
        <w:tc>
          <w:tcPr>
            <w:tcW w:w="1275" w:type="dxa"/>
            <w:tcBorders>
              <w:top w:val="nil"/>
              <w:left w:val="nil"/>
              <w:bottom w:val="nil"/>
              <w:right w:val="nil"/>
            </w:tcBorders>
            <w:shd w:val="clear" w:color="auto" w:fill="auto"/>
            <w:noWrap/>
            <w:vAlign w:val="bottom"/>
            <w:hideMark/>
          </w:tcPr>
          <w:p w14:paraId="4D53DF03" w14:textId="77777777" w:rsidR="00A86E87" w:rsidRPr="00986F85" w:rsidRDefault="00A86E87" w:rsidP="00A86E87">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99.75%</w:t>
            </w:r>
          </w:p>
        </w:tc>
      </w:tr>
      <w:tr w:rsidR="00A86E87" w:rsidRPr="00986F85" w14:paraId="7FA2CE38" w14:textId="77777777" w:rsidTr="00A86E87">
        <w:trPr>
          <w:trHeight w:val="280"/>
        </w:trPr>
        <w:tc>
          <w:tcPr>
            <w:tcW w:w="4740" w:type="dxa"/>
            <w:tcBorders>
              <w:top w:val="nil"/>
              <w:left w:val="nil"/>
              <w:bottom w:val="nil"/>
              <w:right w:val="nil"/>
            </w:tcBorders>
            <w:shd w:val="clear" w:color="auto" w:fill="auto"/>
            <w:noWrap/>
            <w:vAlign w:val="bottom"/>
            <w:hideMark/>
          </w:tcPr>
          <w:p w14:paraId="6EE94B2D" w14:textId="77777777" w:rsidR="00A86E87" w:rsidRPr="00986F85" w:rsidRDefault="00A86E87" w:rsidP="00A86E87">
            <w:pPr>
              <w:suppressAutoHyphens w:val="0"/>
              <w:spacing w:after="0" w:line="240" w:lineRule="auto"/>
              <w:rPr>
                <w:rFonts w:eastAsia="Times New Roman" w:cs="Times New Roman"/>
                <w:color w:val="000000"/>
                <w:sz w:val="22"/>
                <w:lang w:val="en-US" w:eastAsia="en-US"/>
              </w:rPr>
            </w:pPr>
            <w:r w:rsidRPr="00986F85">
              <w:rPr>
                <w:rFonts w:eastAsia="Times New Roman" w:cs="Times New Roman"/>
                <w:color w:val="000000"/>
                <w:sz w:val="22"/>
                <w:lang w:val="en-US" w:eastAsia="en-US"/>
              </w:rPr>
              <w:t>6</w:t>
            </w:r>
          </w:p>
        </w:tc>
        <w:tc>
          <w:tcPr>
            <w:tcW w:w="1480" w:type="dxa"/>
            <w:tcBorders>
              <w:top w:val="nil"/>
              <w:left w:val="nil"/>
              <w:bottom w:val="nil"/>
              <w:right w:val="nil"/>
            </w:tcBorders>
            <w:shd w:val="clear" w:color="auto" w:fill="auto"/>
            <w:noWrap/>
            <w:vAlign w:val="bottom"/>
            <w:hideMark/>
          </w:tcPr>
          <w:p w14:paraId="06F60259" w14:textId="77777777" w:rsidR="00A86E87" w:rsidRPr="00986F85" w:rsidRDefault="00A86E87" w:rsidP="00A86E87">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9</w:t>
            </w:r>
          </w:p>
        </w:tc>
        <w:tc>
          <w:tcPr>
            <w:tcW w:w="1592" w:type="dxa"/>
            <w:tcBorders>
              <w:top w:val="nil"/>
              <w:left w:val="nil"/>
              <w:bottom w:val="nil"/>
              <w:right w:val="nil"/>
            </w:tcBorders>
            <w:shd w:val="clear" w:color="auto" w:fill="auto"/>
            <w:noWrap/>
            <w:vAlign w:val="bottom"/>
            <w:hideMark/>
          </w:tcPr>
          <w:p w14:paraId="26C4D3B2" w14:textId="77777777" w:rsidR="00A86E87" w:rsidRPr="00986F85" w:rsidRDefault="00A86E87" w:rsidP="00A86E87">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0.20%</w:t>
            </w:r>
          </w:p>
        </w:tc>
        <w:tc>
          <w:tcPr>
            <w:tcW w:w="1275" w:type="dxa"/>
            <w:tcBorders>
              <w:top w:val="nil"/>
              <w:left w:val="nil"/>
              <w:bottom w:val="nil"/>
              <w:right w:val="nil"/>
            </w:tcBorders>
            <w:shd w:val="clear" w:color="auto" w:fill="auto"/>
            <w:noWrap/>
            <w:vAlign w:val="bottom"/>
            <w:hideMark/>
          </w:tcPr>
          <w:p w14:paraId="67FA1274" w14:textId="77777777" w:rsidR="00A86E87" w:rsidRPr="00986F85" w:rsidRDefault="00A86E87" w:rsidP="00A86E87">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99.95%</w:t>
            </w:r>
          </w:p>
        </w:tc>
      </w:tr>
      <w:tr w:rsidR="00A86E87" w:rsidRPr="00986F85" w14:paraId="77FC5215" w14:textId="77777777" w:rsidTr="00A86E87">
        <w:trPr>
          <w:trHeight w:val="280"/>
        </w:trPr>
        <w:tc>
          <w:tcPr>
            <w:tcW w:w="4740" w:type="dxa"/>
            <w:tcBorders>
              <w:top w:val="nil"/>
              <w:left w:val="nil"/>
              <w:bottom w:val="nil"/>
              <w:right w:val="nil"/>
            </w:tcBorders>
            <w:shd w:val="clear" w:color="auto" w:fill="auto"/>
            <w:noWrap/>
            <w:vAlign w:val="bottom"/>
            <w:hideMark/>
          </w:tcPr>
          <w:p w14:paraId="23CE31A2" w14:textId="77777777" w:rsidR="00A86E87" w:rsidRPr="00986F85" w:rsidRDefault="00A86E87" w:rsidP="00A86E87">
            <w:pPr>
              <w:suppressAutoHyphens w:val="0"/>
              <w:spacing w:after="0" w:line="240" w:lineRule="auto"/>
              <w:rPr>
                <w:rFonts w:eastAsia="Times New Roman" w:cs="Times New Roman"/>
                <w:color w:val="000000"/>
                <w:sz w:val="22"/>
                <w:lang w:val="en-US" w:eastAsia="en-US"/>
              </w:rPr>
            </w:pPr>
            <w:r w:rsidRPr="00986F85">
              <w:rPr>
                <w:rFonts w:eastAsia="Times New Roman" w:cs="Times New Roman"/>
                <w:color w:val="000000"/>
                <w:sz w:val="22"/>
                <w:lang w:val="en-US" w:eastAsia="en-US"/>
              </w:rPr>
              <w:t>7</w:t>
            </w:r>
          </w:p>
        </w:tc>
        <w:tc>
          <w:tcPr>
            <w:tcW w:w="1480" w:type="dxa"/>
            <w:tcBorders>
              <w:top w:val="nil"/>
              <w:left w:val="nil"/>
              <w:bottom w:val="nil"/>
              <w:right w:val="nil"/>
            </w:tcBorders>
            <w:shd w:val="clear" w:color="auto" w:fill="auto"/>
            <w:noWrap/>
            <w:vAlign w:val="bottom"/>
            <w:hideMark/>
          </w:tcPr>
          <w:p w14:paraId="3852CDEC" w14:textId="77777777" w:rsidR="00A86E87" w:rsidRPr="00986F85" w:rsidRDefault="00A86E87" w:rsidP="00A86E87">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1</w:t>
            </w:r>
          </w:p>
        </w:tc>
        <w:tc>
          <w:tcPr>
            <w:tcW w:w="1592" w:type="dxa"/>
            <w:tcBorders>
              <w:top w:val="nil"/>
              <w:left w:val="nil"/>
              <w:bottom w:val="nil"/>
              <w:right w:val="nil"/>
            </w:tcBorders>
            <w:shd w:val="clear" w:color="auto" w:fill="auto"/>
            <w:noWrap/>
            <w:vAlign w:val="bottom"/>
            <w:hideMark/>
          </w:tcPr>
          <w:p w14:paraId="5BB2A7CE" w14:textId="77777777" w:rsidR="00A86E87" w:rsidRPr="00986F85" w:rsidRDefault="00A86E87" w:rsidP="00A86E87">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0.02%</w:t>
            </w:r>
          </w:p>
        </w:tc>
        <w:tc>
          <w:tcPr>
            <w:tcW w:w="1275" w:type="dxa"/>
            <w:tcBorders>
              <w:top w:val="nil"/>
              <w:left w:val="nil"/>
              <w:bottom w:val="nil"/>
              <w:right w:val="nil"/>
            </w:tcBorders>
            <w:shd w:val="clear" w:color="auto" w:fill="auto"/>
            <w:noWrap/>
            <w:vAlign w:val="bottom"/>
            <w:hideMark/>
          </w:tcPr>
          <w:p w14:paraId="6FDC7834" w14:textId="77777777" w:rsidR="00A86E87" w:rsidRPr="00986F85" w:rsidRDefault="00A86E87" w:rsidP="00A86E87">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99.98%</w:t>
            </w:r>
          </w:p>
        </w:tc>
      </w:tr>
      <w:tr w:rsidR="00A86E87" w:rsidRPr="00986F85" w14:paraId="0DBE0E69" w14:textId="77777777" w:rsidTr="00A86E87">
        <w:trPr>
          <w:trHeight w:val="280"/>
        </w:trPr>
        <w:tc>
          <w:tcPr>
            <w:tcW w:w="4740" w:type="dxa"/>
            <w:tcBorders>
              <w:top w:val="nil"/>
              <w:left w:val="nil"/>
              <w:bottom w:val="single" w:sz="4" w:space="0" w:color="auto"/>
              <w:right w:val="nil"/>
            </w:tcBorders>
            <w:shd w:val="clear" w:color="auto" w:fill="auto"/>
            <w:noWrap/>
            <w:vAlign w:val="bottom"/>
            <w:hideMark/>
          </w:tcPr>
          <w:p w14:paraId="25E5DEC0" w14:textId="77777777" w:rsidR="00A86E87" w:rsidRPr="00986F85" w:rsidRDefault="00A86E87" w:rsidP="00A86E87">
            <w:pPr>
              <w:suppressAutoHyphens w:val="0"/>
              <w:spacing w:after="0" w:line="240" w:lineRule="auto"/>
              <w:rPr>
                <w:rFonts w:eastAsia="Times New Roman" w:cs="Times New Roman"/>
                <w:color w:val="000000"/>
                <w:sz w:val="22"/>
                <w:lang w:val="en-US" w:eastAsia="en-US"/>
              </w:rPr>
            </w:pPr>
            <w:r w:rsidRPr="00986F85">
              <w:rPr>
                <w:rFonts w:eastAsia="Times New Roman" w:cs="Times New Roman"/>
                <w:color w:val="000000"/>
                <w:sz w:val="22"/>
                <w:lang w:val="en-US" w:eastAsia="en-US"/>
              </w:rPr>
              <w:t>8</w:t>
            </w:r>
          </w:p>
        </w:tc>
        <w:tc>
          <w:tcPr>
            <w:tcW w:w="1480" w:type="dxa"/>
            <w:tcBorders>
              <w:top w:val="nil"/>
              <w:left w:val="nil"/>
              <w:bottom w:val="single" w:sz="4" w:space="0" w:color="auto"/>
              <w:right w:val="nil"/>
            </w:tcBorders>
            <w:shd w:val="clear" w:color="auto" w:fill="auto"/>
            <w:noWrap/>
            <w:vAlign w:val="bottom"/>
            <w:hideMark/>
          </w:tcPr>
          <w:p w14:paraId="7E9F2D9C" w14:textId="77777777" w:rsidR="00A86E87" w:rsidRPr="00986F85" w:rsidRDefault="00A86E87" w:rsidP="00A86E87">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1</w:t>
            </w:r>
          </w:p>
        </w:tc>
        <w:tc>
          <w:tcPr>
            <w:tcW w:w="1592" w:type="dxa"/>
            <w:tcBorders>
              <w:top w:val="nil"/>
              <w:left w:val="nil"/>
              <w:bottom w:val="single" w:sz="4" w:space="0" w:color="auto"/>
              <w:right w:val="nil"/>
            </w:tcBorders>
            <w:shd w:val="clear" w:color="auto" w:fill="auto"/>
            <w:noWrap/>
            <w:vAlign w:val="bottom"/>
            <w:hideMark/>
          </w:tcPr>
          <w:p w14:paraId="3BA5ACEA" w14:textId="77777777" w:rsidR="00A86E87" w:rsidRPr="00986F85" w:rsidRDefault="00A86E87" w:rsidP="00A86E87">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0.02%</w:t>
            </w:r>
          </w:p>
        </w:tc>
        <w:tc>
          <w:tcPr>
            <w:tcW w:w="1275" w:type="dxa"/>
            <w:tcBorders>
              <w:top w:val="nil"/>
              <w:left w:val="nil"/>
              <w:bottom w:val="single" w:sz="4" w:space="0" w:color="auto"/>
              <w:right w:val="nil"/>
            </w:tcBorders>
            <w:shd w:val="clear" w:color="auto" w:fill="auto"/>
            <w:noWrap/>
            <w:vAlign w:val="bottom"/>
            <w:hideMark/>
          </w:tcPr>
          <w:p w14:paraId="5DE74E92" w14:textId="77777777" w:rsidR="00A86E87" w:rsidRPr="00986F85" w:rsidRDefault="00A86E87" w:rsidP="00A86E87">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100.00%</w:t>
            </w:r>
          </w:p>
        </w:tc>
      </w:tr>
      <w:tr w:rsidR="00A86E87" w:rsidRPr="00986F85" w14:paraId="6F763164" w14:textId="77777777" w:rsidTr="00A86E87">
        <w:trPr>
          <w:trHeight w:val="280"/>
        </w:trPr>
        <w:tc>
          <w:tcPr>
            <w:tcW w:w="4740" w:type="dxa"/>
            <w:tcBorders>
              <w:top w:val="nil"/>
              <w:left w:val="nil"/>
              <w:bottom w:val="nil"/>
              <w:right w:val="nil"/>
            </w:tcBorders>
            <w:shd w:val="clear" w:color="auto" w:fill="auto"/>
            <w:noWrap/>
            <w:vAlign w:val="bottom"/>
            <w:hideMark/>
          </w:tcPr>
          <w:p w14:paraId="4F3B7DAD" w14:textId="77777777" w:rsidR="00A86E87" w:rsidRPr="00986F85" w:rsidRDefault="00A86E87" w:rsidP="00A86E87">
            <w:pPr>
              <w:suppressAutoHyphens w:val="0"/>
              <w:spacing w:after="0" w:line="240" w:lineRule="auto"/>
              <w:rPr>
                <w:rFonts w:eastAsia="Times New Roman" w:cs="Times New Roman"/>
                <w:color w:val="000000"/>
                <w:sz w:val="22"/>
                <w:lang w:val="en-US" w:eastAsia="en-US"/>
              </w:rPr>
            </w:pPr>
            <w:r w:rsidRPr="00986F85">
              <w:rPr>
                <w:rFonts w:eastAsia="Times New Roman" w:cs="Times New Roman"/>
                <w:color w:val="000000"/>
                <w:sz w:val="22"/>
                <w:lang w:val="en-US" w:eastAsia="en-US"/>
              </w:rPr>
              <w:t>Összesen (cég):</w:t>
            </w:r>
          </w:p>
        </w:tc>
        <w:tc>
          <w:tcPr>
            <w:tcW w:w="1480" w:type="dxa"/>
            <w:tcBorders>
              <w:top w:val="nil"/>
              <w:left w:val="nil"/>
              <w:bottom w:val="nil"/>
              <w:right w:val="nil"/>
            </w:tcBorders>
            <w:shd w:val="clear" w:color="auto" w:fill="auto"/>
            <w:noWrap/>
            <w:vAlign w:val="bottom"/>
            <w:hideMark/>
          </w:tcPr>
          <w:p w14:paraId="38514425" w14:textId="77777777" w:rsidR="00A86E87" w:rsidRPr="00986F85" w:rsidRDefault="00A86E87" w:rsidP="00A86E87">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4430</w:t>
            </w:r>
          </w:p>
        </w:tc>
        <w:tc>
          <w:tcPr>
            <w:tcW w:w="1592" w:type="dxa"/>
            <w:tcBorders>
              <w:top w:val="nil"/>
              <w:left w:val="nil"/>
              <w:bottom w:val="nil"/>
              <w:right w:val="nil"/>
            </w:tcBorders>
            <w:shd w:val="clear" w:color="auto" w:fill="auto"/>
            <w:noWrap/>
            <w:vAlign w:val="bottom"/>
            <w:hideMark/>
          </w:tcPr>
          <w:p w14:paraId="20B0014E" w14:textId="77777777" w:rsidR="00A86E87" w:rsidRPr="00986F85" w:rsidRDefault="00A86E87" w:rsidP="00A86E87">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100%</w:t>
            </w:r>
          </w:p>
        </w:tc>
        <w:tc>
          <w:tcPr>
            <w:tcW w:w="1275" w:type="dxa"/>
            <w:tcBorders>
              <w:top w:val="nil"/>
              <w:left w:val="nil"/>
              <w:bottom w:val="nil"/>
              <w:right w:val="nil"/>
            </w:tcBorders>
            <w:shd w:val="clear" w:color="auto" w:fill="auto"/>
            <w:noWrap/>
            <w:vAlign w:val="bottom"/>
            <w:hideMark/>
          </w:tcPr>
          <w:p w14:paraId="1B2EDA37" w14:textId="77777777" w:rsidR="00A86E87" w:rsidRPr="00986F85" w:rsidRDefault="00A86E87" w:rsidP="00A86E87">
            <w:pPr>
              <w:suppressAutoHyphens w:val="0"/>
              <w:spacing w:after="0" w:line="240" w:lineRule="auto"/>
              <w:rPr>
                <w:rFonts w:eastAsia="Times New Roman" w:cs="Times New Roman"/>
                <w:color w:val="000000"/>
                <w:sz w:val="22"/>
                <w:lang w:val="en-US" w:eastAsia="en-US"/>
              </w:rPr>
            </w:pPr>
          </w:p>
        </w:tc>
      </w:tr>
    </w:tbl>
    <w:p w14:paraId="2451B920" w14:textId="77777777" w:rsidR="0081584A" w:rsidRPr="00986F85" w:rsidRDefault="00A901AA" w:rsidP="006C6329">
      <w:pPr>
        <w:pStyle w:val="Kpalrs"/>
        <w:keepNext/>
        <w:jc w:val="center"/>
        <w:rPr>
          <w:rFonts w:cs="Times New Roman"/>
        </w:rPr>
      </w:pPr>
      <w:r w:rsidRPr="00986F85">
        <w:rPr>
          <w:rFonts w:cs="Times New Roman"/>
        </w:rPr>
        <w:t>Forrás: EMIR</w:t>
      </w:r>
      <w:r w:rsidR="00E81CDF" w:rsidRPr="00986F85">
        <w:rPr>
          <w:rFonts w:cs="Times New Roman"/>
        </w:rPr>
        <w:t xml:space="preserve"> adatbázis</w:t>
      </w:r>
    </w:p>
    <w:p w14:paraId="6E37B466" w14:textId="77777777" w:rsidR="00A901AA" w:rsidRPr="00986F85" w:rsidRDefault="00A901AA" w:rsidP="00A901AA">
      <w:pPr>
        <w:pStyle w:val="Kpalrs"/>
        <w:keepNext/>
        <w:jc w:val="both"/>
        <w:rPr>
          <w:rFonts w:cs="Times New Roman"/>
        </w:rPr>
      </w:pPr>
      <w:r w:rsidRPr="00986F85">
        <w:rPr>
          <w:rFonts w:cs="Times New Roman"/>
        </w:rPr>
        <w:t xml:space="preserve">Megjegyzés: </w:t>
      </w:r>
      <w:r w:rsidR="000803F8" w:rsidRPr="00986F85">
        <w:rPr>
          <w:rFonts w:cs="Times New Roman"/>
        </w:rPr>
        <w:t>A kimutatás a teljes GOP2.1.1.A nyertesek körére készült az EMIR-ből lekért 2011. év évi adatok alapján.</w:t>
      </w:r>
    </w:p>
    <w:p w14:paraId="6A109A99" w14:textId="77777777" w:rsidR="006C6329" w:rsidRPr="00986F85" w:rsidRDefault="006C6329" w:rsidP="006C6329">
      <w:pPr>
        <w:pStyle w:val="Kpalrs"/>
        <w:keepNext/>
        <w:jc w:val="center"/>
        <w:rPr>
          <w:rFonts w:cs="Times New Roman"/>
        </w:rPr>
      </w:pPr>
    </w:p>
    <w:p w14:paraId="1A07CF01" w14:textId="77777777" w:rsidR="008F3C32" w:rsidRPr="00986F85" w:rsidRDefault="005657E8" w:rsidP="00B043F7">
      <w:pPr>
        <w:pStyle w:val="Kpalrs"/>
        <w:keepNext/>
        <w:jc w:val="center"/>
      </w:pPr>
      <w:fldSimple w:instr=" SEQ táblázat \* ARABIC ">
        <w:bookmarkStart w:id="41" w:name="_Toc230854355"/>
        <w:r w:rsidR="00255252" w:rsidRPr="00986F85">
          <w:rPr>
            <w:noProof/>
          </w:rPr>
          <w:t>10</w:t>
        </w:r>
      </w:fldSimple>
      <w:r w:rsidR="008F3C32" w:rsidRPr="00986F85">
        <w:t>. táblázat:</w:t>
      </w:r>
      <w:r w:rsidR="00B043F7" w:rsidRPr="00986F85">
        <w:t xml:space="preserve"> : A GOP2.1.1.B és C nyertesek pályázati halmozása, 2007-2011</w:t>
      </w:r>
      <w:bookmarkEnd w:id="41"/>
    </w:p>
    <w:tbl>
      <w:tblPr>
        <w:tblpPr w:leftFromText="180" w:rightFromText="180" w:vertAnchor="text" w:tblpXSpec="center" w:tblpY="1"/>
        <w:tblOverlap w:val="never"/>
        <w:tblW w:w="0" w:type="auto"/>
        <w:tblLook w:val="04A0" w:firstRow="1" w:lastRow="0" w:firstColumn="1" w:lastColumn="0" w:noHBand="0" w:noVBand="1"/>
      </w:tblPr>
      <w:tblGrid>
        <w:gridCol w:w="1305"/>
        <w:gridCol w:w="3396"/>
        <w:gridCol w:w="1676"/>
      </w:tblGrid>
      <w:tr w:rsidR="008F3C32" w:rsidRPr="00986F85" w14:paraId="74AF6E23" w14:textId="77777777" w:rsidTr="00B043F7">
        <w:trPr>
          <w:trHeight w:val="488"/>
        </w:trPr>
        <w:tc>
          <w:tcPr>
            <w:tcW w:w="0" w:type="auto"/>
            <w:tcBorders>
              <w:top w:val="nil"/>
              <w:left w:val="nil"/>
              <w:bottom w:val="single" w:sz="4" w:space="0" w:color="auto"/>
              <w:right w:val="nil"/>
            </w:tcBorders>
            <w:shd w:val="clear" w:color="auto" w:fill="B10000"/>
            <w:hideMark/>
          </w:tcPr>
          <w:p w14:paraId="389D10A9" w14:textId="77777777" w:rsidR="008F3C32" w:rsidRPr="00986F85" w:rsidRDefault="008F3C32" w:rsidP="008C3B8F">
            <w:pPr>
              <w:suppressAutoHyphens w:val="0"/>
              <w:spacing w:after="0" w:line="360" w:lineRule="auto"/>
              <w:jc w:val="both"/>
              <w:rPr>
                <w:rFonts w:eastAsia="Times New Roman" w:cs="Times New Roman"/>
                <w:color w:val="FFFFFF"/>
                <w:sz w:val="20"/>
                <w:szCs w:val="20"/>
                <w:lang w:val="en-US" w:eastAsia="en-US"/>
              </w:rPr>
            </w:pPr>
            <w:r w:rsidRPr="00986F85">
              <w:rPr>
                <w:rFonts w:eastAsia="Times New Roman" w:cs="Times New Roman"/>
                <w:color w:val="FFFFFF"/>
                <w:sz w:val="20"/>
                <w:szCs w:val="20"/>
                <w:lang w:val="en-US" w:eastAsia="en-US"/>
              </w:rPr>
              <w:t>Cégek száma</w:t>
            </w:r>
          </w:p>
        </w:tc>
        <w:tc>
          <w:tcPr>
            <w:tcW w:w="0" w:type="auto"/>
            <w:tcBorders>
              <w:top w:val="nil"/>
              <w:left w:val="nil"/>
              <w:bottom w:val="single" w:sz="4" w:space="0" w:color="auto"/>
              <w:right w:val="nil"/>
            </w:tcBorders>
            <w:shd w:val="clear" w:color="auto" w:fill="B10000"/>
            <w:hideMark/>
          </w:tcPr>
          <w:p w14:paraId="7C94FF2E" w14:textId="77777777" w:rsidR="008F3C32" w:rsidRPr="00986F85" w:rsidRDefault="008F3C32" w:rsidP="008C3B8F">
            <w:pPr>
              <w:suppressAutoHyphens w:val="0"/>
              <w:spacing w:after="0" w:line="360" w:lineRule="auto"/>
              <w:jc w:val="both"/>
              <w:rPr>
                <w:rFonts w:eastAsia="Times New Roman" w:cs="Times New Roman"/>
                <w:color w:val="FFFFFF"/>
                <w:sz w:val="20"/>
                <w:szCs w:val="20"/>
                <w:lang w:val="en-US" w:eastAsia="en-US"/>
              </w:rPr>
            </w:pPr>
            <w:r w:rsidRPr="00986F85">
              <w:rPr>
                <w:rFonts w:eastAsia="Times New Roman" w:cs="Times New Roman"/>
                <w:color w:val="FFFFFF"/>
                <w:sz w:val="20"/>
                <w:szCs w:val="20"/>
                <w:lang w:val="en-US" w:eastAsia="en-US"/>
              </w:rPr>
              <w:t>Egy cég által elnyert pályázatok száma</w:t>
            </w:r>
          </w:p>
        </w:tc>
        <w:tc>
          <w:tcPr>
            <w:tcW w:w="0" w:type="auto"/>
            <w:tcBorders>
              <w:top w:val="nil"/>
              <w:left w:val="nil"/>
              <w:bottom w:val="single" w:sz="4" w:space="0" w:color="auto"/>
              <w:right w:val="nil"/>
            </w:tcBorders>
            <w:shd w:val="clear" w:color="auto" w:fill="B10000"/>
            <w:hideMark/>
          </w:tcPr>
          <w:p w14:paraId="7B0E751A" w14:textId="77777777" w:rsidR="008F3C32" w:rsidRPr="00986F85" w:rsidRDefault="008F3C32" w:rsidP="008C3B8F">
            <w:pPr>
              <w:suppressAutoHyphens w:val="0"/>
              <w:spacing w:after="0" w:line="360" w:lineRule="auto"/>
              <w:jc w:val="both"/>
              <w:rPr>
                <w:rFonts w:eastAsia="Times New Roman" w:cs="Times New Roman"/>
                <w:color w:val="FFFFFF"/>
                <w:sz w:val="20"/>
                <w:szCs w:val="20"/>
                <w:lang w:val="en-US" w:eastAsia="en-US"/>
              </w:rPr>
            </w:pPr>
            <w:r w:rsidRPr="00986F85">
              <w:rPr>
                <w:rFonts w:eastAsia="Times New Roman" w:cs="Times New Roman"/>
                <w:color w:val="FFFFFF"/>
                <w:sz w:val="20"/>
                <w:szCs w:val="20"/>
                <w:lang w:val="en-US" w:eastAsia="en-US"/>
              </w:rPr>
              <w:t>Pályázatok száma</w:t>
            </w:r>
          </w:p>
        </w:tc>
      </w:tr>
      <w:tr w:rsidR="008F3C32" w:rsidRPr="00986F85" w14:paraId="35FAC137" w14:textId="77777777" w:rsidTr="008F3C32">
        <w:trPr>
          <w:trHeight w:val="280"/>
        </w:trPr>
        <w:tc>
          <w:tcPr>
            <w:tcW w:w="0" w:type="auto"/>
            <w:tcBorders>
              <w:top w:val="nil"/>
              <w:left w:val="nil"/>
              <w:bottom w:val="nil"/>
              <w:right w:val="nil"/>
            </w:tcBorders>
            <w:shd w:val="clear" w:color="auto" w:fill="auto"/>
            <w:noWrap/>
            <w:vAlign w:val="bottom"/>
            <w:hideMark/>
          </w:tcPr>
          <w:p w14:paraId="0921331F" w14:textId="77777777" w:rsidR="008F3C32" w:rsidRPr="00986F85" w:rsidRDefault="008F3C32" w:rsidP="008C3B8F">
            <w:pPr>
              <w:suppressAutoHyphens w:val="0"/>
              <w:spacing w:after="0" w:line="360" w:lineRule="auto"/>
              <w:jc w:val="both"/>
              <w:rPr>
                <w:rFonts w:eastAsia="Times New Roman" w:cs="Times New Roman"/>
                <w:color w:val="000000"/>
                <w:sz w:val="20"/>
                <w:szCs w:val="20"/>
                <w:lang w:val="en-US" w:eastAsia="en-US"/>
              </w:rPr>
            </w:pPr>
            <w:r w:rsidRPr="00986F85">
              <w:rPr>
                <w:rFonts w:eastAsia="Times New Roman" w:cs="Times New Roman"/>
                <w:color w:val="000000"/>
                <w:sz w:val="20"/>
                <w:szCs w:val="20"/>
                <w:lang w:val="en-US" w:eastAsia="en-US"/>
              </w:rPr>
              <w:t>108</w:t>
            </w:r>
          </w:p>
        </w:tc>
        <w:tc>
          <w:tcPr>
            <w:tcW w:w="0" w:type="auto"/>
            <w:tcBorders>
              <w:top w:val="nil"/>
              <w:left w:val="nil"/>
              <w:bottom w:val="nil"/>
              <w:right w:val="nil"/>
            </w:tcBorders>
            <w:shd w:val="clear" w:color="auto" w:fill="auto"/>
            <w:noWrap/>
            <w:vAlign w:val="bottom"/>
            <w:hideMark/>
          </w:tcPr>
          <w:p w14:paraId="59B2F038" w14:textId="77777777" w:rsidR="008F3C32" w:rsidRPr="00986F85" w:rsidRDefault="008F3C32" w:rsidP="008C3B8F">
            <w:pPr>
              <w:suppressAutoHyphens w:val="0"/>
              <w:spacing w:after="0" w:line="360" w:lineRule="auto"/>
              <w:jc w:val="both"/>
              <w:rPr>
                <w:rFonts w:eastAsia="Times New Roman" w:cs="Times New Roman"/>
                <w:color w:val="000000"/>
                <w:sz w:val="20"/>
                <w:szCs w:val="20"/>
                <w:lang w:val="en-US" w:eastAsia="en-US"/>
              </w:rPr>
            </w:pPr>
            <w:r w:rsidRPr="00986F85">
              <w:rPr>
                <w:rFonts w:eastAsia="Times New Roman" w:cs="Times New Roman"/>
                <w:color w:val="000000"/>
                <w:sz w:val="20"/>
                <w:szCs w:val="20"/>
                <w:lang w:val="en-US" w:eastAsia="en-US"/>
              </w:rPr>
              <w:t>1</w:t>
            </w:r>
          </w:p>
        </w:tc>
        <w:tc>
          <w:tcPr>
            <w:tcW w:w="0" w:type="auto"/>
            <w:tcBorders>
              <w:top w:val="nil"/>
              <w:left w:val="nil"/>
              <w:bottom w:val="nil"/>
              <w:right w:val="nil"/>
            </w:tcBorders>
            <w:shd w:val="clear" w:color="auto" w:fill="auto"/>
            <w:noWrap/>
            <w:vAlign w:val="bottom"/>
            <w:hideMark/>
          </w:tcPr>
          <w:p w14:paraId="40B68AE1" w14:textId="77777777" w:rsidR="008F3C32" w:rsidRPr="00986F85" w:rsidRDefault="008F3C32" w:rsidP="008C3B8F">
            <w:pPr>
              <w:suppressAutoHyphens w:val="0"/>
              <w:spacing w:after="0" w:line="360" w:lineRule="auto"/>
              <w:jc w:val="both"/>
              <w:rPr>
                <w:rFonts w:eastAsia="Times New Roman" w:cs="Times New Roman"/>
                <w:color w:val="000000"/>
                <w:sz w:val="20"/>
                <w:szCs w:val="20"/>
                <w:lang w:val="en-US" w:eastAsia="en-US"/>
              </w:rPr>
            </w:pPr>
            <w:r w:rsidRPr="00986F85">
              <w:rPr>
                <w:rFonts w:eastAsia="Times New Roman" w:cs="Times New Roman"/>
                <w:color w:val="000000"/>
                <w:sz w:val="20"/>
                <w:szCs w:val="20"/>
                <w:lang w:val="en-US" w:eastAsia="en-US"/>
              </w:rPr>
              <w:t>108</w:t>
            </w:r>
          </w:p>
        </w:tc>
      </w:tr>
      <w:tr w:rsidR="008F3C32" w:rsidRPr="00986F85" w14:paraId="631D738D" w14:textId="77777777" w:rsidTr="008F3C32">
        <w:trPr>
          <w:trHeight w:val="280"/>
        </w:trPr>
        <w:tc>
          <w:tcPr>
            <w:tcW w:w="0" w:type="auto"/>
            <w:tcBorders>
              <w:top w:val="nil"/>
              <w:left w:val="nil"/>
              <w:bottom w:val="nil"/>
              <w:right w:val="nil"/>
            </w:tcBorders>
            <w:shd w:val="clear" w:color="auto" w:fill="auto"/>
            <w:noWrap/>
            <w:vAlign w:val="bottom"/>
            <w:hideMark/>
          </w:tcPr>
          <w:p w14:paraId="6FD32EE6" w14:textId="77777777" w:rsidR="008F3C32" w:rsidRPr="00986F85" w:rsidRDefault="008F3C32" w:rsidP="008C3B8F">
            <w:pPr>
              <w:suppressAutoHyphens w:val="0"/>
              <w:spacing w:after="0" w:line="360" w:lineRule="auto"/>
              <w:jc w:val="both"/>
              <w:rPr>
                <w:rFonts w:eastAsia="Times New Roman" w:cs="Times New Roman"/>
                <w:color w:val="000000"/>
                <w:sz w:val="20"/>
                <w:szCs w:val="20"/>
                <w:lang w:val="en-US" w:eastAsia="en-US"/>
              </w:rPr>
            </w:pPr>
            <w:r w:rsidRPr="00986F85">
              <w:rPr>
                <w:rFonts w:eastAsia="Times New Roman" w:cs="Times New Roman"/>
                <w:color w:val="000000"/>
                <w:sz w:val="20"/>
                <w:szCs w:val="20"/>
                <w:lang w:val="en-US" w:eastAsia="en-US"/>
              </w:rPr>
              <w:t>59</w:t>
            </w:r>
          </w:p>
        </w:tc>
        <w:tc>
          <w:tcPr>
            <w:tcW w:w="0" w:type="auto"/>
            <w:tcBorders>
              <w:top w:val="nil"/>
              <w:left w:val="nil"/>
              <w:bottom w:val="nil"/>
              <w:right w:val="nil"/>
            </w:tcBorders>
            <w:shd w:val="clear" w:color="auto" w:fill="auto"/>
            <w:noWrap/>
            <w:vAlign w:val="bottom"/>
            <w:hideMark/>
          </w:tcPr>
          <w:p w14:paraId="13BB182E" w14:textId="77777777" w:rsidR="008F3C32" w:rsidRPr="00986F85" w:rsidRDefault="008F3C32" w:rsidP="008C3B8F">
            <w:pPr>
              <w:suppressAutoHyphens w:val="0"/>
              <w:spacing w:after="0" w:line="360" w:lineRule="auto"/>
              <w:jc w:val="both"/>
              <w:rPr>
                <w:rFonts w:eastAsia="Times New Roman" w:cs="Times New Roman"/>
                <w:color w:val="000000"/>
                <w:sz w:val="20"/>
                <w:szCs w:val="20"/>
                <w:lang w:val="en-US" w:eastAsia="en-US"/>
              </w:rPr>
            </w:pPr>
            <w:r w:rsidRPr="00986F85">
              <w:rPr>
                <w:rFonts w:eastAsia="Times New Roman" w:cs="Times New Roman"/>
                <w:color w:val="000000"/>
                <w:sz w:val="20"/>
                <w:szCs w:val="20"/>
                <w:lang w:val="en-US" w:eastAsia="en-US"/>
              </w:rPr>
              <w:t>2</w:t>
            </w:r>
          </w:p>
        </w:tc>
        <w:tc>
          <w:tcPr>
            <w:tcW w:w="0" w:type="auto"/>
            <w:tcBorders>
              <w:top w:val="nil"/>
              <w:left w:val="nil"/>
              <w:bottom w:val="nil"/>
              <w:right w:val="nil"/>
            </w:tcBorders>
            <w:shd w:val="clear" w:color="auto" w:fill="auto"/>
            <w:noWrap/>
            <w:vAlign w:val="bottom"/>
            <w:hideMark/>
          </w:tcPr>
          <w:p w14:paraId="0B9B6279" w14:textId="77777777" w:rsidR="008F3C32" w:rsidRPr="00986F85" w:rsidRDefault="008F3C32" w:rsidP="008C3B8F">
            <w:pPr>
              <w:suppressAutoHyphens w:val="0"/>
              <w:spacing w:after="0" w:line="360" w:lineRule="auto"/>
              <w:jc w:val="both"/>
              <w:rPr>
                <w:rFonts w:eastAsia="Times New Roman" w:cs="Times New Roman"/>
                <w:color w:val="000000"/>
                <w:sz w:val="20"/>
                <w:szCs w:val="20"/>
                <w:lang w:val="en-US" w:eastAsia="en-US"/>
              </w:rPr>
            </w:pPr>
            <w:r w:rsidRPr="00986F85">
              <w:rPr>
                <w:rFonts w:eastAsia="Times New Roman" w:cs="Times New Roman"/>
                <w:color w:val="000000"/>
                <w:sz w:val="20"/>
                <w:szCs w:val="20"/>
                <w:lang w:val="en-US" w:eastAsia="en-US"/>
              </w:rPr>
              <w:t>118</w:t>
            </w:r>
          </w:p>
        </w:tc>
      </w:tr>
      <w:tr w:rsidR="008F3C32" w:rsidRPr="00986F85" w14:paraId="5D20369D" w14:textId="77777777" w:rsidTr="008F3C32">
        <w:trPr>
          <w:trHeight w:val="280"/>
        </w:trPr>
        <w:tc>
          <w:tcPr>
            <w:tcW w:w="0" w:type="auto"/>
            <w:tcBorders>
              <w:top w:val="nil"/>
              <w:left w:val="nil"/>
              <w:bottom w:val="nil"/>
              <w:right w:val="nil"/>
            </w:tcBorders>
            <w:shd w:val="clear" w:color="auto" w:fill="auto"/>
            <w:noWrap/>
            <w:vAlign w:val="bottom"/>
            <w:hideMark/>
          </w:tcPr>
          <w:p w14:paraId="7BE6DFE1" w14:textId="77777777" w:rsidR="008F3C32" w:rsidRPr="00986F85" w:rsidRDefault="008F3C32" w:rsidP="008C3B8F">
            <w:pPr>
              <w:suppressAutoHyphens w:val="0"/>
              <w:spacing w:after="0" w:line="360" w:lineRule="auto"/>
              <w:jc w:val="both"/>
              <w:rPr>
                <w:rFonts w:eastAsia="Times New Roman" w:cs="Times New Roman"/>
                <w:color w:val="000000"/>
                <w:sz w:val="20"/>
                <w:szCs w:val="20"/>
                <w:lang w:val="en-US" w:eastAsia="en-US"/>
              </w:rPr>
            </w:pPr>
            <w:r w:rsidRPr="00986F85">
              <w:rPr>
                <w:rFonts w:eastAsia="Times New Roman" w:cs="Times New Roman"/>
                <w:color w:val="000000"/>
                <w:sz w:val="20"/>
                <w:szCs w:val="20"/>
                <w:lang w:val="en-US" w:eastAsia="en-US"/>
              </w:rPr>
              <w:t>42</w:t>
            </w:r>
          </w:p>
        </w:tc>
        <w:tc>
          <w:tcPr>
            <w:tcW w:w="0" w:type="auto"/>
            <w:tcBorders>
              <w:top w:val="nil"/>
              <w:left w:val="nil"/>
              <w:bottom w:val="nil"/>
              <w:right w:val="nil"/>
            </w:tcBorders>
            <w:shd w:val="clear" w:color="auto" w:fill="auto"/>
            <w:noWrap/>
            <w:vAlign w:val="bottom"/>
            <w:hideMark/>
          </w:tcPr>
          <w:p w14:paraId="6327BE03" w14:textId="77777777" w:rsidR="008F3C32" w:rsidRPr="00986F85" w:rsidRDefault="008F3C32" w:rsidP="008C3B8F">
            <w:pPr>
              <w:suppressAutoHyphens w:val="0"/>
              <w:spacing w:after="0" w:line="360" w:lineRule="auto"/>
              <w:jc w:val="both"/>
              <w:rPr>
                <w:rFonts w:eastAsia="Times New Roman" w:cs="Times New Roman"/>
                <w:color w:val="000000"/>
                <w:sz w:val="20"/>
                <w:szCs w:val="20"/>
                <w:lang w:val="en-US" w:eastAsia="en-US"/>
              </w:rPr>
            </w:pPr>
            <w:r w:rsidRPr="00986F85">
              <w:rPr>
                <w:rFonts w:eastAsia="Times New Roman" w:cs="Times New Roman"/>
                <w:color w:val="000000"/>
                <w:sz w:val="20"/>
                <w:szCs w:val="20"/>
                <w:lang w:val="en-US" w:eastAsia="en-US"/>
              </w:rPr>
              <w:t>3</w:t>
            </w:r>
          </w:p>
        </w:tc>
        <w:tc>
          <w:tcPr>
            <w:tcW w:w="0" w:type="auto"/>
            <w:tcBorders>
              <w:top w:val="nil"/>
              <w:left w:val="nil"/>
              <w:bottom w:val="nil"/>
              <w:right w:val="nil"/>
            </w:tcBorders>
            <w:shd w:val="clear" w:color="auto" w:fill="auto"/>
            <w:noWrap/>
            <w:vAlign w:val="bottom"/>
            <w:hideMark/>
          </w:tcPr>
          <w:p w14:paraId="06B15BED" w14:textId="77777777" w:rsidR="008F3C32" w:rsidRPr="00986F85" w:rsidRDefault="008F3C32" w:rsidP="008C3B8F">
            <w:pPr>
              <w:suppressAutoHyphens w:val="0"/>
              <w:spacing w:after="0" w:line="360" w:lineRule="auto"/>
              <w:jc w:val="both"/>
              <w:rPr>
                <w:rFonts w:eastAsia="Times New Roman" w:cs="Times New Roman"/>
                <w:color w:val="000000"/>
                <w:sz w:val="20"/>
                <w:szCs w:val="20"/>
                <w:lang w:val="en-US" w:eastAsia="en-US"/>
              </w:rPr>
            </w:pPr>
            <w:r w:rsidRPr="00986F85">
              <w:rPr>
                <w:rFonts w:eastAsia="Times New Roman" w:cs="Times New Roman"/>
                <w:color w:val="000000"/>
                <w:sz w:val="20"/>
                <w:szCs w:val="20"/>
                <w:lang w:val="en-US" w:eastAsia="en-US"/>
              </w:rPr>
              <w:t>126</w:t>
            </w:r>
          </w:p>
        </w:tc>
      </w:tr>
      <w:tr w:rsidR="008F3C32" w:rsidRPr="00986F85" w14:paraId="041FE01E" w14:textId="77777777" w:rsidTr="008F3C32">
        <w:trPr>
          <w:trHeight w:val="280"/>
        </w:trPr>
        <w:tc>
          <w:tcPr>
            <w:tcW w:w="0" w:type="auto"/>
            <w:tcBorders>
              <w:top w:val="nil"/>
              <w:left w:val="nil"/>
              <w:bottom w:val="nil"/>
              <w:right w:val="nil"/>
            </w:tcBorders>
            <w:shd w:val="clear" w:color="auto" w:fill="auto"/>
            <w:noWrap/>
            <w:vAlign w:val="bottom"/>
            <w:hideMark/>
          </w:tcPr>
          <w:p w14:paraId="37DC029F" w14:textId="77777777" w:rsidR="008F3C32" w:rsidRPr="00986F85" w:rsidRDefault="008F3C32" w:rsidP="008C3B8F">
            <w:pPr>
              <w:suppressAutoHyphens w:val="0"/>
              <w:spacing w:after="0" w:line="360" w:lineRule="auto"/>
              <w:jc w:val="both"/>
              <w:rPr>
                <w:rFonts w:eastAsia="Times New Roman" w:cs="Times New Roman"/>
                <w:color w:val="000000"/>
                <w:sz w:val="20"/>
                <w:szCs w:val="20"/>
                <w:lang w:val="en-US" w:eastAsia="en-US"/>
              </w:rPr>
            </w:pPr>
            <w:r w:rsidRPr="00986F85">
              <w:rPr>
                <w:rFonts w:eastAsia="Times New Roman" w:cs="Times New Roman"/>
                <w:color w:val="000000"/>
                <w:sz w:val="20"/>
                <w:szCs w:val="20"/>
                <w:lang w:val="en-US" w:eastAsia="en-US"/>
              </w:rPr>
              <w:t>22</w:t>
            </w:r>
          </w:p>
        </w:tc>
        <w:tc>
          <w:tcPr>
            <w:tcW w:w="0" w:type="auto"/>
            <w:tcBorders>
              <w:top w:val="nil"/>
              <w:left w:val="nil"/>
              <w:bottom w:val="nil"/>
              <w:right w:val="nil"/>
            </w:tcBorders>
            <w:shd w:val="clear" w:color="auto" w:fill="auto"/>
            <w:noWrap/>
            <w:vAlign w:val="bottom"/>
            <w:hideMark/>
          </w:tcPr>
          <w:p w14:paraId="0E5D6295" w14:textId="77777777" w:rsidR="008F3C32" w:rsidRPr="00986F85" w:rsidRDefault="008F3C32" w:rsidP="008C3B8F">
            <w:pPr>
              <w:suppressAutoHyphens w:val="0"/>
              <w:spacing w:after="0" w:line="360" w:lineRule="auto"/>
              <w:jc w:val="both"/>
              <w:rPr>
                <w:rFonts w:eastAsia="Times New Roman" w:cs="Times New Roman"/>
                <w:color w:val="000000"/>
                <w:sz w:val="20"/>
                <w:szCs w:val="20"/>
                <w:lang w:val="en-US" w:eastAsia="en-US"/>
              </w:rPr>
            </w:pPr>
            <w:r w:rsidRPr="00986F85">
              <w:rPr>
                <w:rFonts w:eastAsia="Times New Roman" w:cs="Times New Roman"/>
                <w:color w:val="000000"/>
                <w:sz w:val="20"/>
                <w:szCs w:val="20"/>
                <w:lang w:val="en-US" w:eastAsia="en-US"/>
              </w:rPr>
              <w:t>4</w:t>
            </w:r>
          </w:p>
        </w:tc>
        <w:tc>
          <w:tcPr>
            <w:tcW w:w="0" w:type="auto"/>
            <w:tcBorders>
              <w:top w:val="nil"/>
              <w:left w:val="nil"/>
              <w:bottom w:val="nil"/>
              <w:right w:val="nil"/>
            </w:tcBorders>
            <w:shd w:val="clear" w:color="auto" w:fill="auto"/>
            <w:noWrap/>
            <w:vAlign w:val="bottom"/>
            <w:hideMark/>
          </w:tcPr>
          <w:p w14:paraId="2F9BB949" w14:textId="77777777" w:rsidR="008F3C32" w:rsidRPr="00986F85" w:rsidRDefault="008F3C32" w:rsidP="008C3B8F">
            <w:pPr>
              <w:suppressAutoHyphens w:val="0"/>
              <w:spacing w:after="0" w:line="360" w:lineRule="auto"/>
              <w:jc w:val="both"/>
              <w:rPr>
                <w:rFonts w:eastAsia="Times New Roman" w:cs="Times New Roman"/>
                <w:color w:val="000000"/>
                <w:sz w:val="20"/>
                <w:szCs w:val="20"/>
                <w:lang w:val="en-US" w:eastAsia="en-US"/>
              </w:rPr>
            </w:pPr>
            <w:r w:rsidRPr="00986F85">
              <w:rPr>
                <w:rFonts w:eastAsia="Times New Roman" w:cs="Times New Roman"/>
                <w:color w:val="000000"/>
                <w:sz w:val="20"/>
                <w:szCs w:val="20"/>
                <w:lang w:val="en-US" w:eastAsia="en-US"/>
              </w:rPr>
              <w:t>88</w:t>
            </w:r>
          </w:p>
        </w:tc>
      </w:tr>
      <w:tr w:rsidR="008F3C32" w:rsidRPr="00986F85" w14:paraId="4BB2FBF0" w14:textId="77777777" w:rsidTr="008F3C32">
        <w:trPr>
          <w:trHeight w:val="280"/>
        </w:trPr>
        <w:tc>
          <w:tcPr>
            <w:tcW w:w="0" w:type="auto"/>
            <w:tcBorders>
              <w:top w:val="nil"/>
              <w:left w:val="nil"/>
              <w:bottom w:val="nil"/>
              <w:right w:val="nil"/>
            </w:tcBorders>
            <w:shd w:val="clear" w:color="auto" w:fill="auto"/>
            <w:noWrap/>
            <w:vAlign w:val="bottom"/>
            <w:hideMark/>
          </w:tcPr>
          <w:p w14:paraId="55E59406" w14:textId="77777777" w:rsidR="008F3C32" w:rsidRPr="00986F85" w:rsidRDefault="008F3C32" w:rsidP="008C3B8F">
            <w:pPr>
              <w:suppressAutoHyphens w:val="0"/>
              <w:spacing w:after="0" w:line="360" w:lineRule="auto"/>
              <w:jc w:val="both"/>
              <w:rPr>
                <w:rFonts w:eastAsia="Times New Roman" w:cs="Times New Roman"/>
                <w:color w:val="000000"/>
                <w:sz w:val="20"/>
                <w:szCs w:val="20"/>
                <w:lang w:val="en-US" w:eastAsia="en-US"/>
              </w:rPr>
            </w:pPr>
            <w:r w:rsidRPr="00986F85">
              <w:rPr>
                <w:rFonts w:eastAsia="Times New Roman" w:cs="Times New Roman"/>
                <w:color w:val="000000"/>
                <w:sz w:val="20"/>
                <w:szCs w:val="20"/>
                <w:lang w:val="en-US" w:eastAsia="en-US"/>
              </w:rPr>
              <w:t>5</w:t>
            </w:r>
          </w:p>
        </w:tc>
        <w:tc>
          <w:tcPr>
            <w:tcW w:w="0" w:type="auto"/>
            <w:tcBorders>
              <w:top w:val="nil"/>
              <w:left w:val="nil"/>
              <w:bottom w:val="nil"/>
              <w:right w:val="nil"/>
            </w:tcBorders>
            <w:shd w:val="clear" w:color="auto" w:fill="auto"/>
            <w:noWrap/>
            <w:vAlign w:val="bottom"/>
            <w:hideMark/>
          </w:tcPr>
          <w:p w14:paraId="636C7BB3" w14:textId="77777777" w:rsidR="008F3C32" w:rsidRPr="00986F85" w:rsidRDefault="008F3C32" w:rsidP="008C3B8F">
            <w:pPr>
              <w:suppressAutoHyphens w:val="0"/>
              <w:spacing w:after="0" w:line="360" w:lineRule="auto"/>
              <w:jc w:val="both"/>
              <w:rPr>
                <w:rFonts w:eastAsia="Times New Roman" w:cs="Times New Roman"/>
                <w:color w:val="000000"/>
                <w:sz w:val="20"/>
                <w:szCs w:val="20"/>
                <w:lang w:val="en-US" w:eastAsia="en-US"/>
              </w:rPr>
            </w:pPr>
            <w:r w:rsidRPr="00986F85">
              <w:rPr>
                <w:rFonts w:eastAsia="Times New Roman" w:cs="Times New Roman"/>
                <w:color w:val="000000"/>
                <w:sz w:val="20"/>
                <w:szCs w:val="20"/>
                <w:lang w:val="en-US" w:eastAsia="en-US"/>
              </w:rPr>
              <w:t>5</w:t>
            </w:r>
          </w:p>
        </w:tc>
        <w:tc>
          <w:tcPr>
            <w:tcW w:w="0" w:type="auto"/>
            <w:tcBorders>
              <w:top w:val="nil"/>
              <w:left w:val="nil"/>
              <w:bottom w:val="nil"/>
              <w:right w:val="nil"/>
            </w:tcBorders>
            <w:shd w:val="clear" w:color="auto" w:fill="auto"/>
            <w:noWrap/>
            <w:vAlign w:val="bottom"/>
            <w:hideMark/>
          </w:tcPr>
          <w:p w14:paraId="53D273D8" w14:textId="77777777" w:rsidR="008F3C32" w:rsidRPr="00986F85" w:rsidRDefault="008F3C32" w:rsidP="008C3B8F">
            <w:pPr>
              <w:suppressAutoHyphens w:val="0"/>
              <w:spacing w:after="0" w:line="360" w:lineRule="auto"/>
              <w:jc w:val="both"/>
              <w:rPr>
                <w:rFonts w:eastAsia="Times New Roman" w:cs="Times New Roman"/>
                <w:color w:val="000000"/>
                <w:sz w:val="20"/>
                <w:szCs w:val="20"/>
                <w:lang w:val="en-US" w:eastAsia="en-US"/>
              </w:rPr>
            </w:pPr>
            <w:r w:rsidRPr="00986F85">
              <w:rPr>
                <w:rFonts w:eastAsia="Times New Roman" w:cs="Times New Roman"/>
                <w:color w:val="000000"/>
                <w:sz w:val="20"/>
                <w:szCs w:val="20"/>
                <w:lang w:val="en-US" w:eastAsia="en-US"/>
              </w:rPr>
              <w:t>25</w:t>
            </w:r>
          </w:p>
        </w:tc>
      </w:tr>
      <w:tr w:rsidR="008F3C32" w:rsidRPr="00986F85" w14:paraId="4149AB97" w14:textId="77777777" w:rsidTr="008F3C32">
        <w:trPr>
          <w:trHeight w:val="280"/>
        </w:trPr>
        <w:tc>
          <w:tcPr>
            <w:tcW w:w="0" w:type="auto"/>
            <w:tcBorders>
              <w:top w:val="nil"/>
              <w:left w:val="nil"/>
              <w:bottom w:val="nil"/>
              <w:right w:val="nil"/>
            </w:tcBorders>
            <w:shd w:val="clear" w:color="auto" w:fill="auto"/>
            <w:noWrap/>
            <w:vAlign w:val="bottom"/>
            <w:hideMark/>
          </w:tcPr>
          <w:p w14:paraId="2C77F131" w14:textId="77777777" w:rsidR="008F3C32" w:rsidRPr="00986F85" w:rsidRDefault="008F3C32" w:rsidP="008C3B8F">
            <w:pPr>
              <w:suppressAutoHyphens w:val="0"/>
              <w:spacing w:after="0" w:line="360" w:lineRule="auto"/>
              <w:jc w:val="both"/>
              <w:rPr>
                <w:rFonts w:eastAsia="Times New Roman" w:cs="Times New Roman"/>
                <w:color w:val="000000"/>
                <w:sz w:val="20"/>
                <w:szCs w:val="20"/>
                <w:lang w:val="en-US" w:eastAsia="en-US"/>
              </w:rPr>
            </w:pPr>
            <w:r w:rsidRPr="00986F85">
              <w:rPr>
                <w:rFonts w:eastAsia="Times New Roman" w:cs="Times New Roman"/>
                <w:color w:val="000000"/>
                <w:sz w:val="20"/>
                <w:szCs w:val="20"/>
                <w:lang w:val="en-US" w:eastAsia="en-US"/>
              </w:rPr>
              <w:t>4</w:t>
            </w:r>
          </w:p>
        </w:tc>
        <w:tc>
          <w:tcPr>
            <w:tcW w:w="0" w:type="auto"/>
            <w:tcBorders>
              <w:top w:val="nil"/>
              <w:left w:val="nil"/>
              <w:bottom w:val="nil"/>
              <w:right w:val="nil"/>
            </w:tcBorders>
            <w:shd w:val="clear" w:color="auto" w:fill="auto"/>
            <w:noWrap/>
            <w:vAlign w:val="bottom"/>
            <w:hideMark/>
          </w:tcPr>
          <w:p w14:paraId="106CB7D3" w14:textId="77777777" w:rsidR="008F3C32" w:rsidRPr="00986F85" w:rsidRDefault="008F3C32" w:rsidP="008C3B8F">
            <w:pPr>
              <w:suppressAutoHyphens w:val="0"/>
              <w:spacing w:after="0" w:line="360" w:lineRule="auto"/>
              <w:jc w:val="both"/>
              <w:rPr>
                <w:rFonts w:eastAsia="Times New Roman" w:cs="Times New Roman"/>
                <w:color w:val="000000"/>
                <w:sz w:val="20"/>
                <w:szCs w:val="20"/>
                <w:lang w:val="en-US" w:eastAsia="en-US"/>
              </w:rPr>
            </w:pPr>
            <w:r w:rsidRPr="00986F85">
              <w:rPr>
                <w:rFonts w:eastAsia="Times New Roman" w:cs="Times New Roman"/>
                <w:color w:val="000000"/>
                <w:sz w:val="20"/>
                <w:szCs w:val="20"/>
                <w:lang w:val="en-US" w:eastAsia="en-US"/>
              </w:rPr>
              <w:t>6</w:t>
            </w:r>
          </w:p>
        </w:tc>
        <w:tc>
          <w:tcPr>
            <w:tcW w:w="0" w:type="auto"/>
            <w:tcBorders>
              <w:top w:val="nil"/>
              <w:left w:val="nil"/>
              <w:bottom w:val="nil"/>
              <w:right w:val="nil"/>
            </w:tcBorders>
            <w:shd w:val="clear" w:color="auto" w:fill="auto"/>
            <w:noWrap/>
            <w:vAlign w:val="bottom"/>
            <w:hideMark/>
          </w:tcPr>
          <w:p w14:paraId="35D4D705" w14:textId="77777777" w:rsidR="008F3C32" w:rsidRPr="00986F85" w:rsidRDefault="008F3C32" w:rsidP="008C3B8F">
            <w:pPr>
              <w:suppressAutoHyphens w:val="0"/>
              <w:spacing w:after="0" w:line="360" w:lineRule="auto"/>
              <w:jc w:val="both"/>
              <w:rPr>
                <w:rFonts w:eastAsia="Times New Roman" w:cs="Times New Roman"/>
                <w:color w:val="000000"/>
                <w:sz w:val="20"/>
                <w:szCs w:val="20"/>
                <w:lang w:val="en-US" w:eastAsia="en-US"/>
              </w:rPr>
            </w:pPr>
            <w:r w:rsidRPr="00986F85">
              <w:rPr>
                <w:rFonts w:eastAsia="Times New Roman" w:cs="Times New Roman"/>
                <w:color w:val="000000"/>
                <w:sz w:val="20"/>
                <w:szCs w:val="20"/>
                <w:lang w:val="en-US" w:eastAsia="en-US"/>
              </w:rPr>
              <w:t>24</w:t>
            </w:r>
          </w:p>
        </w:tc>
      </w:tr>
      <w:tr w:rsidR="008F3C32" w:rsidRPr="00986F85" w14:paraId="1C2A9848" w14:textId="77777777" w:rsidTr="008F3C32">
        <w:trPr>
          <w:trHeight w:val="280"/>
        </w:trPr>
        <w:tc>
          <w:tcPr>
            <w:tcW w:w="0" w:type="auto"/>
            <w:tcBorders>
              <w:top w:val="nil"/>
              <w:left w:val="nil"/>
              <w:bottom w:val="nil"/>
              <w:right w:val="nil"/>
            </w:tcBorders>
            <w:shd w:val="clear" w:color="auto" w:fill="auto"/>
            <w:noWrap/>
            <w:vAlign w:val="bottom"/>
            <w:hideMark/>
          </w:tcPr>
          <w:p w14:paraId="4248925A" w14:textId="77777777" w:rsidR="008F3C32" w:rsidRPr="00986F85" w:rsidRDefault="008F3C32" w:rsidP="008C3B8F">
            <w:pPr>
              <w:suppressAutoHyphens w:val="0"/>
              <w:spacing w:after="0" w:line="360" w:lineRule="auto"/>
              <w:jc w:val="both"/>
              <w:rPr>
                <w:rFonts w:eastAsia="Times New Roman" w:cs="Times New Roman"/>
                <w:color w:val="000000"/>
                <w:sz w:val="20"/>
                <w:szCs w:val="20"/>
                <w:lang w:val="en-US" w:eastAsia="en-US"/>
              </w:rPr>
            </w:pPr>
            <w:r w:rsidRPr="00986F85">
              <w:rPr>
                <w:rFonts w:eastAsia="Times New Roman" w:cs="Times New Roman"/>
                <w:color w:val="000000"/>
                <w:sz w:val="20"/>
                <w:szCs w:val="20"/>
                <w:lang w:val="en-US" w:eastAsia="en-US"/>
              </w:rPr>
              <w:t>2</w:t>
            </w:r>
          </w:p>
        </w:tc>
        <w:tc>
          <w:tcPr>
            <w:tcW w:w="0" w:type="auto"/>
            <w:tcBorders>
              <w:top w:val="nil"/>
              <w:left w:val="nil"/>
              <w:bottom w:val="nil"/>
              <w:right w:val="nil"/>
            </w:tcBorders>
            <w:shd w:val="clear" w:color="auto" w:fill="auto"/>
            <w:noWrap/>
            <w:vAlign w:val="bottom"/>
            <w:hideMark/>
          </w:tcPr>
          <w:p w14:paraId="75236002" w14:textId="77777777" w:rsidR="008F3C32" w:rsidRPr="00986F85" w:rsidRDefault="008F3C32" w:rsidP="008C3B8F">
            <w:pPr>
              <w:suppressAutoHyphens w:val="0"/>
              <w:spacing w:after="0" w:line="360" w:lineRule="auto"/>
              <w:jc w:val="both"/>
              <w:rPr>
                <w:rFonts w:eastAsia="Times New Roman" w:cs="Times New Roman"/>
                <w:color w:val="000000"/>
                <w:sz w:val="20"/>
                <w:szCs w:val="20"/>
                <w:lang w:val="en-US" w:eastAsia="en-US"/>
              </w:rPr>
            </w:pPr>
            <w:r w:rsidRPr="00986F85">
              <w:rPr>
                <w:rFonts w:eastAsia="Times New Roman" w:cs="Times New Roman"/>
                <w:color w:val="000000"/>
                <w:sz w:val="20"/>
                <w:szCs w:val="20"/>
                <w:lang w:val="en-US" w:eastAsia="en-US"/>
              </w:rPr>
              <w:t>7</w:t>
            </w:r>
          </w:p>
        </w:tc>
        <w:tc>
          <w:tcPr>
            <w:tcW w:w="0" w:type="auto"/>
            <w:tcBorders>
              <w:top w:val="nil"/>
              <w:left w:val="nil"/>
              <w:bottom w:val="nil"/>
              <w:right w:val="nil"/>
            </w:tcBorders>
            <w:shd w:val="clear" w:color="auto" w:fill="auto"/>
            <w:noWrap/>
            <w:vAlign w:val="bottom"/>
            <w:hideMark/>
          </w:tcPr>
          <w:p w14:paraId="69271A58" w14:textId="77777777" w:rsidR="008F3C32" w:rsidRPr="00986F85" w:rsidRDefault="008F3C32" w:rsidP="008C3B8F">
            <w:pPr>
              <w:suppressAutoHyphens w:val="0"/>
              <w:spacing w:after="0" w:line="360" w:lineRule="auto"/>
              <w:jc w:val="both"/>
              <w:rPr>
                <w:rFonts w:eastAsia="Times New Roman" w:cs="Times New Roman"/>
                <w:color w:val="000000"/>
                <w:sz w:val="20"/>
                <w:szCs w:val="20"/>
                <w:lang w:val="en-US" w:eastAsia="en-US"/>
              </w:rPr>
            </w:pPr>
            <w:r w:rsidRPr="00986F85">
              <w:rPr>
                <w:rFonts w:eastAsia="Times New Roman" w:cs="Times New Roman"/>
                <w:color w:val="000000"/>
                <w:sz w:val="20"/>
                <w:szCs w:val="20"/>
                <w:lang w:val="en-US" w:eastAsia="en-US"/>
              </w:rPr>
              <w:t>14</w:t>
            </w:r>
          </w:p>
        </w:tc>
      </w:tr>
      <w:tr w:rsidR="008F3C32" w:rsidRPr="00986F85" w14:paraId="56F35BE9" w14:textId="77777777" w:rsidTr="008F3C32">
        <w:trPr>
          <w:trHeight w:val="280"/>
        </w:trPr>
        <w:tc>
          <w:tcPr>
            <w:tcW w:w="0" w:type="auto"/>
            <w:tcBorders>
              <w:top w:val="nil"/>
              <w:left w:val="nil"/>
              <w:bottom w:val="single" w:sz="4" w:space="0" w:color="auto"/>
              <w:right w:val="nil"/>
            </w:tcBorders>
            <w:shd w:val="clear" w:color="auto" w:fill="auto"/>
            <w:noWrap/>
            <w:vAlign w:val="bottom"/>
            <w:hideMark/>
          </w:tcPr>
          <w:p w14:paraId="2920D4BB" w14:textId="77777777" w:rsidR="008F3C32" w:rsidRPr="00986F85" w:rsidRDefault="008F3C32" w:rsidP="008C3B8F">
            <w:pPr>
              <w:suppressAutoHyphens w:val="0"/>
              <w:spacing w:after="0" w:line="360" w:lineRule="auto"/>
              <w:jc w:val="both"/>
              <w:rPr>
                <w:rFonts w:eastAsia="Times New Roman" w:cs="Times New Roman"/>
                <w:color w:val="000000"/>
                <w:sz w:val="20"/>
                <w:szCs w:val="20"/>
                <w:lang w:val="en-US" w:eastAsia="en-US"/>
              </w:rPr>
            </w:pPr>
            <w:r w:rsidRPr="00986F85">
              <w:rPr>
                <w:rFonts w:eastAsia="Times New Roman" w:cs="Times New Roman"/>
                <w:color w:val="000000"/>
                <w:sz w:val="20"/>
                <w:szCs w:val="20"/>
                <w:lang w:val="en-US" w:eastAsia="en-US"/>
              </w:rPr>
              <w:t>1</w:t>
            </w:r>
          </w:p>
        </w:tc>
        <w:tc>
          <w:tcPr>
            <w:tcW w:w="0" w:type="auto"/>
            <w:tcBorders>
              <w:top w:val="nil"/>
              <w:left w:val="nil"/>
              <w:bottom w:val="single" w:sz="4" w:space="0" w:color="auto"/>
              <w:right w:val="nil"/>
            </w:tcBorders>
            <w:shd w:val="clear" w:color="auto" w:fill="auto"/>
            <w:noWrap/>
            <w:vAlign w:val="bottom"/>
            <w:hideMark/>
          </w:tcPr>
          <w:p w14:paraId="6B8DC3DA" w14:textId="77777777" w:rsidR="008F3C32" w:rsidRPr="00986F85" w:rsidRDefault="008F3C32" w:rsidP="008C3B8F">
            <w:pPr>
              <w:suppressAutoHyphens w:val="0"/>
              <w:spacing w:after="0" w:line="360" w:lineRule="auto"/>
              <w:jc w:val="both"/>
              <w:rPr>
                <w:rFonts w:eastAsia="Times New Roman" w:cs="Times New Roman"/>
                <w:color w:val="000000"/>
                <w:sz w:val="20"/>
                <w:szCs w:val="20"/>
                <w:lang w:val="en-US" w:eastAsia="en-US"/>
              </w:rPr>
            </w:pPr>
            <w:r w:rsidRPr="00986F85">
              <w:rPr>
                <w:rFonts w:eastAsia="Times New Roman" w:cs="Times New Roman"/>
                <w:color w:val="000000"/>
                <w:sz w:val="20"/>
                <w:szCs w:val="20"/>
                <w:lang w:val="en-US" w:eastAsia="en-US"/>
              </w:rPr>
              <w:t>8</w:t>
            </w:r>
          </w:p>
        </w:tc>
        <w:tc>
          <w:tcPr>
            <w:tcW w:w="0" w:type="auto"/>
            <w:tcBorders>
              <w:top w:val="nil"/>
              <w:left w:val="nil"/>
              <w:bottom w:val="single" w:sz="4" w:space="0" w:color="auto"/>
              <w:right w:val="nil"/>
            </w:tcBorders>
            <w:shd w:val="clear" w:color="auto" w:fill="auto"/>
            <w:noWrap/>
            <w:vAlign w:val="bottom"/>
            <w:hideMark/>
          </w:tcPr>
          <w:p w14:paraId="389F6BB2" w14:textId="77777777" w:rsidR="008F3C32" w:rsidRPr="00986F85" w:rsidRDefault="008F3C32" w:rsidP="008C3B8F">
            <w:pPr>
              <w:suppressAutoHyphens w:val="0"/>
              <w:spacing w:after="0" w:line="360" w:lineRule="auto"/>
              <w:jc w:val="both"/>
              <w:rPr>
                <w:rFonts w:eastAsia="Times New Roman" w:cs="Times New Roman"/>
                <w:color w:val="000000"/>
                <w:sz w:val="20"/>
                <w:szCs w:val="20"/>
                <w:lang w:val="en-US" w:eastAsia="en-US"/>
              </w:rPr>
            </w:pPr>
            <w:r w:rsidRPr="00986F85">
              <w:rPr>
                <w:rFonts w:eastAsia="Times New Roman" w:cs="Times New Roman"/>
                <w:color w:val="000000"/>
                <w:sz w:val="20"/>
                <w:szCs w:val="20"/>
                <w:lang w:val="en-US" w:eastAsia="en-US"/>
              </w:rPr>
              <w:t>8</w:t>
            </w:r>
          </w:p>
        </w:tc>
      </w:tr>
      <w:tr w:rsidR="008F3C32" w:rsidRPr="00986F85" w14:paraId="431564C8" w14:textId="77777777" w:rsidTr="008F3C32">
        <w:trPr>
          <w:trHeight w:val="280"/>
        </w:trPr>
        <w:tc>
          <w:tcPr>
            <w:tcW w:w="0" w:type="auto"/>
            <w:tcBorders>
              <w:top w:val="nil"/>
              <w:left w:val="nil"/>
              <w:bottom w:val="nil"/>
              <w:right w:val="nil"/>
            </w:tcBorders>
            <w:shd w:val="clear" w:color="auto" w:fill="auto"/>
            <w:noWrap/>
            <w:vAlign w:val="bottom"/>
            <w:hideMark/>
          </w:tcPr>
          <w:p w14:paraId="5119E817" w14:textId="77777777" w:rsidR="008F3C32" w:rsidRPr="00986F85" w:rsidRDefault="008F3C32" w:rsidP="008C3B8F">
            <w:pPr>
              <w:suppressAutoHyphens w:val="0"/>
              <w:spacing w:after="0" w:line="360" w:lineRule="auto"/>
              <w:jc w:val="both"/>
              <w:rPr>
                <w:rFonts w:eastAsia="Times New Roman" w:cs="Times New Roman"/>
                <w:color w:val="000000"/>
                <w:sz w:val="20"/>
                <w:szCs w:val="20"/>
                <w:lang w:val="en-US" w:eastAsia="en-US"/>
              </w:rPr>
            </w:pPr>
            <w:r w:rsidRPr="00986F85">
              <w:rPr>
                <w:rFonts w:eastAsia="Times New Roman" w:cs="Times New Roman"/>
                <w:color w:val="000000"/>
                <w:sz w:val="20"/>
                <w:szCs w:val="20"/>
                <w:lang w:val="en-US" w:eastAsia="en-US"/>
              </w:rPr>
              <w:t>243</w:t>
            </w:r>
          </w:p>
        </w:tc>
        <w:tc>
          <w:tcPr>
            <w:tcW w:w="0" w:type="auto"/>
            <w:tcBorders>
              <w:top w:val="nil"/>
              <w:left w:val="nil"/>
              <w:bottom w:val="nil"/>
              <w:right w:val="nil"/>
            </w:tcBorders>
            <w:shd w:val="clear" w:color="auto" w:fill="auto"/>
            <w:noWrap/>
            <w:vAlign w:val="bottom"/>
            <w:hideMark/>
          </w:tcPr>
          <w:p w14:paraId="69E98A27" w14:textId="77777777" w:rsidR="008F3C32" w:rsidRPr="00986F85" w:rsidRDefault="008F3C32" w:rsidP="008C3B8F">
            <w:pPr>
              <w:suppressAutoHyphens w:val="0"/>
              <w:spacing w:after="0" w:line="360" w:lineRule="auto"/>
              <w:jc w:val="both"/>
              <w:rPr>
                <w:rFonts w:eastAsia="Times New Roman" w:cs="Times New Roman"/>
                <w:color w:val="000000"/>
                <w:sz w:val="20"/>
                <w:szCs w:val="20"/>
                <w:lang w:val="en-US" w:eastAsia="en-US"/>
              </w:rPr>
            </w:pPr>
          </w:p>
        </w:tc>
        <w:tc>
          <w:tcPr>
            <w:tcW w:w="0" w:type="auto"/>
            <w:tcBorders>
              <w:top w:val="nil"/>
              <w:left w:val="nil"/>
              <w:bottom w:val="nil"/>
              <w:right w:val="nil"/>
            </w:tcBorders>
            <w:shd w:val="clear" w:color="auto" w:fill="auto"/>
            <w:noWrap/>
            <w:vAlign w:val="bottom"/>
            <w:hideMark/>
          </w:tcPr>
          <w:p w14:paraId="3F65E52A" w14:textId="77777777" w:rsidR="008F3C32" w:rsidRPr="00986F85" w:rsidRDefault="008F3C32" w:rsidP="008C3B8F">
            <w:pPr>
              <w:suppressAutoHyphens w:val="0"/>
              <w:spacing w:after="0" w:line="360" w:lineRule="auto"/>
              <w:jc w:val="both"/>
              <w:rPr>
                <w:rFonts w:eastAsia="Times New Roman" w:cs="Times New Roman"/>
                <w:color w:val="000000"/>
                <w:sz w:val="20"/>
                <w:szCs w:val="20"/>
                <w:lang w:val="en-US" w:eastAsia="en-US"/>
              </w:rPr>
            </w:pPr>
            <w:r w:rsidRPr="00986F85">
              <w:rPr>
                <w:rFonts w:eastAsia="Times New Roman" w:cs="Times New Roman"/>
                <w:color w:val="000000"/>
                <w:sz w:val="20"/>
                <w:szCs w:val="20"/>
                <w:lang w:val="en-US" w:eastAsia="en-US"/>
              </w:rPr>
              <w:t>511</w:t>
            </w:r>
          </w:p>
        </w:tc>
      </w:tr>
    </w:tbl>
    <w:p w14:paraId="26C83568" w14:textId="77777777" w:rsidR="008F3C32" w:rsidRPr="00986F85" w:rsidRDefault="008F3C32" w:rsidP="00B04415">
      <w:pPr>
        <w:spacing w:after="0" w:line="360" w:lineRule="auto"/>
        <w:jc w:val="both"/>
        <w:rPr>
          <w:rFonts w:cs="Times New Roman"/>
          <w:szCs w:val="24"/>
        </w:rPr>
      </w:pPr>
    </w:p>
    <w:p w14:paraId="69B5AE12" w14:textId="77777777" w:rsidR="006C6329" w:rsidRPr="00986F85" w:rsidRDefault="006C6329" w:rsidP="005146AC">
      <w:pPr>
        <w:pStyle w:val="Kpalrs"/>
        <w:keepNext/>
        <w:jc w:val="center"/>
        <w:rPr>
          <w:rFonts w:cs="Times New Roman"/>
        </w:rPr>
      </w:pPr>
    </w:p>
    <w:p w14:paraId="79E3D9D4" w14:textId="77777777" w:rsidR="006C6329" w:rsidRPr="00986F85" w:rsidRDefault="006C6329" w:rsidP="005146AC">
      <w:pPr>
        <w:pStyle w:val="Kpalrs"/>
        <w:keepNext/>
        <w:jc w:val="center"/>
        <w:rPr>
          <w:rFonts w:cs="Times New Roman"/>
        </w:rPr>
      </w:pPr>
    </w:p>
    <w:p w14:paraId="35288C6F" w14:textId="77777777" w:rsidR="006C6329" w:rsidRPr="00986F85" w:rsidRDefault="006C6329" w:rsidP="005146AC">
      <w:pPr>
        <w:pStyle w:val="Kpalrs"/>
        <w:keepNext/>
        <w:jc w:val="center"/>
        <w:rPr>
          <w:rFonts w:cs="Times New Roman"/>
        </w:rPr>
      </w:pPr>
    </w:p>
    <w:p w14:paraId="6FA03FE2" w14:textId="77777777" w:rsidR="006C6329" w:rsidRPr="00986F85" w:rsidRDefault="006C6329" w:rsidP="000803F8">
      <w:pPr>
        <w:pStyle w:val="Kpalrs"/>
        <w:keepNext/>
        <w:rPr>
          <w:rFonts w:cs="Times New Roman"/>
        </w:rPr>
      </w:pPr>
    </w:p>
    <w:p w14:paraId="71BFBED4" w14:textId="77777777" w:rsidR="00B13E73" w:rsidRPr="00986F85" w:rsidRDefault="00B13E73" w:rsidP="005146AC">
      <w:pPr>
        <w:pStyle w:val="Kpalrs"/>
        <w:keepNext/>
        <w:jc w:val="center"/>
        <w:rPr>
          <w:rFonts w:cs="Times New Roman"/>
        </w:rPr>
      </w:pPr>
    </w:p>
    <w:p w14:paraId="6408C36C" w14:textId="77777777" w:rsidR="00B13E73" w:rsidRPr="00986F85" w:rsidRDefault="00B13E73" w:rsidP="005146AC">
      <w:pPr>
        <w:pStyle w:val="Kpalrs"/>
        <w:keepNext/>
        <w:jc w:val="center"/>
        <w:rPr>
          <w:rFonts w:cs="Times New Roman"/>
        </w:rPr>
      </w:pPr>
    </w:p>
    <w:p w14:paraId="3F3E028A" w14:textId="77777777" w:rsidR="00B13E73" w:rsidRPr="00986F85" w:rsidRDefault="00B13E73" w:rsidP="005146AC">
      <w:pPr>
        <w:pStyle w:val="Kpalrs"/>
        <w:keepNext/>
        <w:jc w:val="center"/>
        <w:rPr>
          <w:rFonts w:cs="Times New Roman"/>
        </w:rPr>
      </w:pPr>
    </w:p>
    <w:p w14:paraId="48F44F16" w14:textId="77777777" w:rsidR="00B043F7" w:rsidRPr="00986F85" w:rsidRDefault="00B043F7" w:rsidP="005146AC">
      <w:pPr>
        <w:pStyle w:val="Kpalrs"/>
        <w:keepNext/>
        <w:jc w:val="center"/>
        <w:rPr>
          <w:rFonts w:cs="Times New Roman"/>
        </w:rPr>
      </w:pPr>
      <w:r w:rsidRPr="00986F85">
        <w:rPr>
          <w:rFonts w:cs="Times New Roman"/>
        </w:rPr>
        <w:t>Forrás: EMIR adatbázis</w:t>
      </w:r>
    </w:p>
    <w:p w14:paraId="5F8AC87F" w14:textId="77777777" w:rsidR="000803F8" w:rsidRPr="00986F85" w:rsidRDefault="000803F8" w:rsidP="000803F8">
      <w:pPr>
        <w:pStyle w:val="Kpalrs"/>
        <w:keepNext/>
        <w:jc w:val="both"/>
        <w:rPr>
          <w:rFonts w:cs="Times New Roman"/>
        </w:rPr>
      </w:pPr>
      <w:r w:rsidRPr="00986F85">
        <w:rPr>
          <w:rFonts w:cs="Times New Roman"/>
        </w:rPr>
        <w:t>Megjegyzés: A kimutatás a teljes GOP2.1.1. B és C nyertesek körére készült az EMIR-ből lekért 2011. év évi adatok alapján.</w:t>
      </w:r>
    </w:p>
    <w:p w14:paraId="6A3A913E" w14:textId="77777777" w:rsidR="000803F8" w:rsidRPr="00986F85" w:rsidRDefault="000803F8" w:rsidP="003B5185">
      <w:pPr>
        <w:pStyle w:val="Kpalrs"/>
        <w:keepNext/>
        <w:jc w:val="center"/>
        <w:rPr>
          <w:rFonts w:cs="Times New Roman"/>
        </w:rPr>
      </w:pPr>
    </w:p>
    <w:p w14:paraId="63E2E0F2" w14:textId="77777777" w:rsidR="003B5185" w:rsidRPr="00986F85" w:rsidRDefault="005657E8" w:rsidP="003B5185">
      <w:pPr>
        <w:pStyle w:val="Kpalrs"/>
        <w:keepNext/>
        <w:jc w:val="center"/>
        <w:rPr>
          <w:rFonts w:cs="Times New Roman"/>
        </w:rPr>
      </w:pPr>
      <w:fldSimple w:instr=" SEQ táblázat \* ARABIC ">
        <w:bookmarkStart w:id="42" w:name="_Toc230854356"/>
        <w:r w:rsidR="00255252" w:rsidRPr="00986F85">
          <w:rPr>
            <w:noProof/>
          </w:rPr>
          <w:t>11</w:t>
        </w:r>
      </w:fldSimple>
      <w:r w:rsidR="008F3C32" w:rsidRPr="00986F85">
        <w:t>. táblázat:</w:t>
      </w:r>
      <w:r w:rsidR="003B5185" w:rsidRPr="00986F85">
        <w:t xml:space="preserve"> :</w:t>
      </w:r>
      <w:r w:rsidR="00612BA8" w:rsidRPr="00986F85">
        <w:t xml:space="preserve"> A GOP2.1.1.A és a KMOP1.2.1</w:t>
      </w:r>
      <w:r w:rsidR="003B5185" w:rsidRPr="00986F85">
        <w:t>. A nyertesek pályázati halmozása, 2007-2011</w:t>
      </w:r>
      <w:bookmarkEnd w:id="42"/>
    </w:p>
    <w:tbl>
      <w:tblPr>
        <w:tblW w:w="8804" w:type="dxa"/>
        <w:tblInd w:w="93" w:type="dxa"/>
        <w:tblLayout w:type="fixed"/>
        <w:tblLook w:val="04A0" w:firstRow="1" w:lastRow="0" w:firstColumn="1" w:lastColumn="0" w:noHBand="0" w:noVBand="1"/>
      </w:tblPr>
      <w:tblGrid>
        <w:gridCol w:w="3276"/>
        <w:gridCol w:w="2976"/>
        <w:gridCol w:w="1276"/>
        <w:gridCol w:w="1276"/>
      </w:tblGrid>
      <w:tr w:rsidR="0099060A" w:rsidRPr="00986F85" w14:paraId="256470A5" w14:textId="77777777" w:rsidTr="00561330">
        <w:trPr>
          <w:trHeight w:val="280"/>
        </w:trPr>
        <w:tc>
          <w:tcPr>
            <w:tcW w:w="3276" w:type="dxa"/>
            <w:tcBorders>
              <w:top w:val="nil"/>
              <w:left w:val="nil"/>
              <w:bottom w:val="nil"/>
              <w:right w:val="nil"/>
            </w:tcBorders>
            <w:shd w:val="clear" w:color="auto" w:fill="B10000"/>
            <w:noWrap/>
            <w:vAlign w:val="bottom"/>
            <w:hideMark/>
          </w:tcPr>
          <w:p w14:paraId="11DC938F" w14:textId="77777777" w:rsidR="0099060A" w:rsidRPr="00986F85" w:rsidRDefault="0099060A" w:rsidP="0099060A">
            <w:pPr>
              <w:suppressAutoHyphens w:val="0"/>
              <w:spacing w:after="0" w:line="240" w:lineRule="auto"/>
              <w:rPr>
                <w:rFonts w:eastAsia="Times New Roman" w:cs="Times New Roman"/>
                <w:color w:val="FFFFFF"/>
                <w:sz w:val="22"/>
                <w:lang w:val="en-US" w:eastAsia="en-US"/>
              </w:rPr>
            </w:pPr>
            <w:r w:rsidRPr="00986F85">
              <w:rPr>
                <w:rFonts w:eastAsia="Times New Roman" w:cs="Times New Roman"/>
                <w:color w:val="FFFFFF"/>
                <w:sz w:val="22"/>
                <w:lang w:val="en-US" w:eastAsia="en-US"/>
              </w:rPr>
              <w:t>Pályázatok száma</w:t>
            </w:r>
          </w:p>
        </w:tc>
        <w:tc>
          <w:tcPr>
            <w:tcW w:w="2976" w:type="dxa"/>
            <w:tcBorders>
              <w:top w:val="nil"/>
              <w:left w:val="nil"/>
              <w:bottom w:val="nil"/>
              <w:right w:val="nil"/>
            </w:tcBorders>
            <w:shd w:val="clear" w:color="auto" w:fill="B10000"/>
            <w:noWrap/>
            <w:vAlign w:val="bottom"/>
            <w:hideMark/>
          </w:tcPr>
          <w:p w14:paraId="5615A126" w14:textId="77777777" w:rsidR="0099060A" w:rsidRPr="00986F85" w:rsidRDefault="0099060A" w:rsidP="00561330">
            <w:pPr>
              <w:suppressAutoHyphens w:val="0"/>
              <w:spacing w:after="0" w:line="240" w:lineRule="auto"/>
              <w:jc w:val="right"/>
              <w:rPr>
                <w:rFonts w:eastAsia="Times New Roman" w:cs="Times New Roman"/>
                <w:color w:val="FFFFFF"/>
                <w:sz w:val="22"/>
                <w:lang w:val="en-US" w:eastAsia="en-US"/>
              </w:rPr>
            </w:pPr>
            <w:r w:rsidRPr="00986F85">
              <w:rPr>
                <w:rFonts w:eastAsia="Times New Roman" w:cs="Times New Roman"/>
                <w:color w:val="FFFFFF"/>
                <w:sz w:val="22"/>
                <w:lang w:val="en-US" w:eastAsia="en-US"/>
              </w:rPr>
              <w:t>Gyakoriság (cégek)</w:t>
            </w:r>
          </w:p>
        </w:tc>
        <w:tc>
          <w:tcPr>
            <w:tcW w:w="1276" w:type="dxa"/>
            <w:tcBorders>
              <w:top w:val="nil"/>
              <w:left w:val="nil"/>
              <w:bottom w:val="nil"/>
              <w:right w:val="nil"/>
            </w:tcBorders>
            <w:shd w:val="clear" w:color="auto" w:fill="B10000"/>
            <w:noWrap/>
            <w:vAlign w:val="bottom"/>
            <w:hideMark/>
          </w:tcPr>
          <w:p w14:paraId="16D42498" w14:textId="77777777" w:rsidR="0099060A" w:rsidRPr="00986F85" w:rsidRDefault="0099060A" w:rsidP="00561330">
            <w:pPr>
              <w:suppressAutoHyphens w:val="0"/>
              <w:spacing w:after="0" w:line="240" w:lineRule="auto"/>
              <w:jc w:val="right"/>
              <w:rPr>
                <w:rFonts w:eastAsia="Times New Roman" w:cs="Times New Roman"/>
                <w:color w:val="FFFFFF"/>
                <w:sz w:val="22"/>
                <w:lang w:val="en-US" w:eastAsia="en-US"/>
              </w:rPr>
            </w:pPr>
            <w:r w:rsidRPr="00986F85">
              <w:rPr>
                <w:rFonts w:eastAsia="Times New Roman" w:cs="Times New Roman"/>
                <w:color w:val="FFFFFF"/>
                <w:sz w:val="22"/>
                <w:lang w:val="en-US" w:eastAsia="en-US"/>
              </w:rPr>
              <w:t>%</w:t>
            </w:r>
          </w:p>
        </w:tc>
        <w:tc>
          <w:tcPr>
            <w:tcW w:w="1276" w:type="dxa"/>
            <w:tcBorders>
              <w:top w:val="nil"/>
              <w:left w:val="nil"/>
              <w:bottom w:val="nil"/>
              <w:right w:val="nil"/>
            </w:tcBorders>
            <w:shd w:val="clear" w:color="auto" w:fill="B10000"/>
            <w:noWrap/>
            <w:vAlign w:val="bottom"/>
            <w:hideMark/>
          </w:tcPr>
          <w:p w14:paraId="638CA35F" w14:textId="77777777" w:rsidR="0099060A" w:rsidRPr="00986F85" w:rsidRDefault="0099060A" w:rsidP="00561330">
            <w:pPr>
              <w:suppressAutoHyphens w:val="0"/>
              <w:spacing w:after="0" w:line="240" w:lineRule="auto"/>
              <w:jc w:val="right"/>
              <w:rPr>
                <w:rFonts w:eastAsia="Times New Roman" w:cs="Times New Roman"/>
                <w:color w:val="FFFFFF"/>
                <w:sz w:val="22"/>
                <w:lang w:val="en-US" w:eastAsia="en-US"/>
              </w:rPr>
            </w:pPr>
            <w:r w:rsidRPr="00986F85">
              <w:rPr>
                <w:rFonts w:eastAsia="Times New Roman" w:cs="Times New Roman"/>
                <w:color w:val="FFFFFF"/>
                <w:sz w:val="22"/>
                <w:lang w:val="en-US" w:eastAsia="en-US"/>
              </w:rPr>
              <w:t>Kumulált arány</w:t>
            </w:r>
          </w:p>
        </w:tc>
      </w:tr>
      <w:tr w:rsidR="00561330" w:rsidRPr="00986F85" w14:paraId="4556C269" w14:textId="77777777" w:rsidTr="00561330">
        <w:trPr>
          <w:trHeight w:val="280"/>
        </w:trPr>
        <w:tc>
          <w:tcPr>
            <w:tcW w:w="3276" w:type="dxa"/>
            <w:tcBorders>
              <w:top w:val="nil"/>
              <w:left w:val="nil"/>
              <w:bottom w:val="nil"/>
              <w:right w:val="nil"/>
            </w:tcBorders>
            <w:shd w:val="clear" w:color="auto" w:fill="auto"/>
            <w:noWrap/>
            <w:vAlign w:val="bottom"/>
            <w:hideMark/>
          </w:tcPr>
          <w:p w14:paraId="19422A75" w14:textId="77777777" w:rsidR="0099060A" w:rsidRPr="00986F85" w:rsidRDefault="0099060A" w:rsidP="0099060A">
            <w:pPr>
              <w:suppressAutoHyphens w:val="0"/>
              <w:spacing w:after="0" w:line="240" w:lineRule="auto"/>
              <w:rPr>
                <w:rFonts w:eastAsia="Times New Roman" w:cs="Times New Roman"/>
                <w:color w:val="000000"/>
                <w:sz w:val="22"/>
                <w:lang w:val="en-US" w:eastAsia="en-US"/>
              </w:rPr>
            </w:pPr>
            <w:r w:rsidRPr="00986F85">
              <w:rPr>
                <w:rFonts w:eastAsia="Times New Roman" w:cs="Times New Roman"/>
                <w:color w:val="000000"/>
                <w:sz w:val="22"/>
                <w:lang w:val="en-US" w:eastAsia="en-US"/>
              </w:rPr>
              <w:t>1</w:t>
            </w:r>
          </w:p>
        </w:tc>
        <w:tc>
          <w:tcPr>
            <w:tcW w:w="2976" w:type="dxa"/>
            <w:tcBorders>
              <w:top w:val="nil"/>
              <w:left w:val="nil"/>
              <w:bottom w:val="nil"/>
              <w:right w:val="nil"/>
            </w:tcBorders>
            <w:shd w:val="clear" w:color="auto" w:fill="auto"/>
            <w:noWrap/>
            <w:vAlign w:val="bottom"/>
            <w:hideMark/>
          </w:tcPr>
          <w:p w14:paraId="1A638D0B" w14:textId="77777777" w:rsidR="0099060A" w:rsidRPr="00986F85" w:rsidRDefault="0099060A" w:rsidP="00561330">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4707</w:t>
            </w:r>
          </w:p>
        </w:tc>
        <w:tc>
          <w:tcPr>
            <w:tcW w:w="1276" w:type="dxa"/>
            <w:tcBorders>
              <w:top w:val="nil"/>
              <w:left w:val="nil"/>
              <w:bottom w:val="nil"/>
              <w:right w:val="nil"/>
            </w:tcBorders>
            <w:shd w:val="clear" w:color="auto" w:fill="auto"/>
            <w:noWrap/>
            <w:vAlign w:val="bottom"/>
            <w:hideMark/>
          </w:tcPr>
          <w:p w14:paraId="78269DDC" w14:textId="77777777" w:rsidR="0099060A" w:rsidRPr="00986F85" w:rsidRDefault="0099060A" w:rsidP="00561330">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75.49%</w:t>
            </w:r>
          </w:p>
        </w:tc>
        <w:tc>
          <w:tcPr>
            <w:tcW w:w="1276" w:type="dxa"/>
            <w:tcBorders>
              <w:top w:val="nil"/>
              <w:left w:val="nil"/>
              <w:bottom w:val="nil"/>
              <w:right w:val="nil"/>
            </w:tcBorders>
            <w:shd w:val="clear" w:color="auto" w:fill="auto"/>
            <w:noWrap/>
            <w:vAlign w:val="bottom"/>
            <w:hideMark/>
          </w:tcPr>
          <w:p w14:paraId="7C82E9F8" w14:textId="77777777" w:rsidR="0099060A" w:rsidRPr="00986F85" w:rsidRDefault="0099060A" w:rsidP="00561330">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75.49%</w:t>
            </w:r>
          </w:p>
        </w:tc>
      </w:tr>
      <w:tr w:rsidR="00561330" w:rsidRPr="00986F85" w14:paraId="628C71B2" w14:textId="77777777" w:rsidTr="00561330">
        <w:trPr>
          <w:trHeight w:val="280"/>
        </w:trPr>
        <w:tc>
          <w:tcPr>
            <w:tcW w:w="3276" w:type="dxa"/>
            <w:tcBorders>
              <w:top w:val="nil"/>
              <w:left w:val="nil"/>
              <w:bottom w:val="nil"/>
              <w:right w:val="nil"/>
            </w:tcBorders>
            <w:shd w:val="clear" w:color="auto" w:fill="auto"/>
            <w:noWrap/>
            <w:vAlign w:val="bottom"/>
            <w:hideMark/>
          </w:tcPr>
          <w:p w14:paraId="2C6CFE9A" w14:textId="77777777" w:rsidR="0099060A" w:rsidRPr="00986F85" w:rsidRDefault="0099060A" w:rsidP="0099060A">
            <w:pPr>
              <w:suppressAutoHyphens w:val="0"/>
              <w:spacing w:after="0" w:line="240" w:lineRule="auto"/>
              <w:rPr>
                <w:rFonts w:eastAsia="Times New Roman" w:cs="Times New Roman"/>
                <w:color w:val="000000"/>
                <w:sz w:val="22"/>
                <w:lang w:val="en-US" w:eastAsia="en-US"/>
              </w:rPr>
            </w:pPr>
            <w:r w:rsidRPr="00986F85">
              <w:rPr>
                <w:rFonts w:eastAsia="Times New Roman" w:cs="Times New Roman"/>
                <w:color w:val="000000"/>
                <w:sz w:val="22"/>
                <w:lang w:val="en-US" w:eastAsia="en-US"/>
              </w:rPr>
              <w:t>2</w:t>
            </w:r>
          </w:p>
        </w:tc>
        <w:tc>
          <w:tcPr>
            <w:tcW w:w="2976" w:type="dxa"/>
            <w:tcBorders>
              <w:top w:val="nil"/>
              <w:left w:val="nil"/>
              <w:bottom w:val="nil"/>
              <w:right w:val="nil"/>
            </w:tcBorders>
            <w:shd w:val="clear" w:color="auto" w:fill="auto"/>
            <w:noWrap/>
            <w:vAlign w:val="bottom"/>
            <w:hideMark/>
          </w:tcPr>
          <w:p w14:paraId="6C702638" w14:textId="77777777" w:rsidR="0099060A" w:rsidRPr="00986F85" w:rsidRDefault="0099060A" w:rsidP="00561330">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1086</w:t>
            </w:r>
          </w:p>
        </w:tc>
        <w:tc>
          <w:tcPr>
            <w:tcW w:w="1276" w:type="dxa"/>
            <w:tcBorders>
              <w:top w:val="nil"/>
              <w:left w:val="nil"/>
              <w:bottom w:val="nil"/>
              <w:right w:val="nil"/>
            </w:tcBorders>
            <w:shd w:val="clear" w:color="auto" w:fill="auto"/>
            <w:noWrap/>
            <w:vAlign w:val="bottom"/>
            <w:hideMark/>
          </w:tcPr>
          <w:p w14:paraId="25772F1A" w14:textId="77777777" w:rsidR="0099060A" w:rsidRPr="00986F85" w:rsidRDefault="0099060A" w:rsidP="00561330">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17.42%</w:t>
            </w:r>
          </w:p>
        </w:tc>
        <w:tc>
          <w:tcPr>
            <w:tcW w:w="1276" w:type="dxa"/>
            <w:tcBorders>
              <w:top w:val="nil"/>
              <w:left w:val="nil"/>
              <w:bottom w:val="nil"/>
              <w:right w:val="nil"/>
            </w:tcBorders>
            <w:shd w:val="clear" w:color="auto" w:fill="auto"/>
            <w:noWrap/>
            <w:vAlign w:val="bottom"/>
            <w:hideMark/>
          </w:tcPr>
          <w:p w14:paraId="6856BC8E" w14:textId="77777777" w:rsidR="0099060A" w:rsidRPr="00986F85" w:rsidRDefault="0099060A" w:rsidP="00561330">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92.91%</w:t>
            </w:r>
          </w:p>
        </w:tc>
      </w:tr>
      <w:tr w:rsidR="00561330" w:rsidRPr="00986F85" w14:paraId="65943495" w14:textId="77777777" w:rsidTr="00561330">
        <w:trPr>
          <w:trHeight w:val="280"/>
        </w:trPr>
        <w:tc>
          <w:tcPr>
            <w:tcW w:w="3276" w:type="dxa"/>
            <w:tcBorders>
              <w:top w:val="nil"/>
              <w:left w:val="nil"/>
              <w:bottom w:val="nil"/>
              <w:right w:val="nil"/>
            </w:tcBorders>
            <w:shd w:val="clear" w:color="auto" w:fill="auto"/>
            <w:noWrap/>
            <w:vAlign w:val="bottom"/>
            <w:hideMark/>
          </w:tcPr>
          <w:p w14:paraId="40F298E6" w14:textId="77777777" w:rsidR="0099060A" w:rsidRPr="00986F85" w:rsidRDefault="0099060A" w:rsidP="0099060A">
            <w:pPr>
              <w:suppressAutoHyphens w:val="0"/>
              <w:spacing w:after="0" w:line="240" w:lineRule="auto"/>
              <w:rPr>
                <w:rFonts w:eastAsia="Times New Roman" w:cs="Times New Roman"/>
                <w:color w:val="000000"/>
                <w:sz w:val="22"/>
                <w:lang w:val="en-US" w:eastAsia="en-US"/>
              </w:rPr>
            </w:pPr>
            <w:r w:rsidRPr="00986F85">
              <w:rPr>
                <w:rFonts w:eastAsia="Times New Roman" w:cs="Times New Roman"/>
                <w:color w:val="000000"/>
                <w:sz w:val="22"/>
                <w:lang w:val="en-US" w:eastAsia="en-US"/>
              </w:rPr>
              <w:t>3</w:t>
            </w:r>
          </w:p>
        </w:tc>
        <w:tc>
          <w:tcPr>
            <w:tcW w:w="2976" w:type="dxa"/>
            <w:tcBorders>
              <w:top w:val="nil"/>
              <w:left w:val="nil"/>
              <w:bottom w:val="nil"/>
              <w:right w:val="nil"/>
            </w:tcBorders>
            <w:shd w:val="clear" w:color="auto" w:fill="auto"/>
            <w:noWrap/>
            <w:vAlign w:val="bottom"/>
            <w:hideMark/>
          </w:tcPr>
          <w:p w14:paraId="35E08439" w14:textId="77777777" w:rsidR="0099060A" w:rsidRPr="00986F85" w:rsidRDefault="0099060A" w:rsidP="00561330">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319</w:t>
            </w:r>
          </w:p>
        </w:tc>
        <w:tc>
          <w:tcPr>
            <w:tcW w:w="1276" w:type="dxa"/>
            <w:tcBorders>
              <w:top w:val="nil"/>
              <w:left w:val="nil"/>
              <w:bottom w:val="nil"/>
              <w:right w:val="nil"/>
            </w:tcBorders>
            <w:shd w:val="clear" w:color="auto" w:fill="auto"/>
            <w:noWrap/>
            <w:vAlign w:val="bottom"/>
            <w:hideMark/>
          </w:tcPr>
          <w:p w14:paraId="013D624A" w14:textId="77777777" w:rsidR="0099060A" w:rsidRPr="00986F85" w:rsidRDefault="0099060A" w:rsidP="00561330">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5.12%</w:t>
            </w:r>
          </w:p>
        </w:tc>
        <w:tc>
          <w:tcPr>
            <w:tcW w:w="1276" w:type="dxa"/>
            <w:tcBorders>
              <w:top w:val="nil"/>
              <w:left w:val="nil"/>
              <w:bottom w:val="nil"/>
              <w:right w:val="nil"/>
            </w:tcBorders>
            <w:shd w:val="clear" w:color="auto" w:fill="auto"/>
            <w:noWrap/>
            <w:vAlign w:val="bottom"/>
            <w:hideMark/>
          </w:tcPr>
          <w:p w14:paraId="2AF073B8" w14:textId="77777777" w:rsidR="0099060A" w:rsidRPr="00986F85" w:rsidRDefault="0099060A" w:rsidP="00561330">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98.03%</w:t>
            </w:r>
          </w:p>
        </w:tc>
      </w:tr>
      <w:tr w:rsidR="00561330" w:rsidRPr="00986F85" w14:paraId="6D7EE83A" w14:textId="77777777" w:rsidTr="00561330">
        <w:trPr>
          <w:trHeight w:val="280"/>
        </w:trPr>
        <w:tc>
          <w:tcPr>
            <w:tcW w:w="3276" w:type="dxa"/>
            <w:tcBorders>
              <w:top w:val="nil"/>
              <w:left w:val="nil"/>
              <w:bottom w:val="nil"/>
              <w:right w:val="nil"/>
            </w:tcBorders>
            <w:shd w:val="clear" w:color="auto" w:fill="auto"/>
            <w:noWrap/>
            <w:vAlign w:val="bottom"/>
            <w:hideMark/>
          </w:tcPr>
          <w:p w14:paraId="01B21C33" w14:textId="77777777" w:rsidR="0099060A" w:rsidRPr="00986F85" w:rsidRDefault="0099060A" w:rsidP="0099060A">
            <w:pPr>
              <w:suppressAutoHyphens w:val="0"/>
              <w:spacing w:after="0" w:line="240" w:lineRule="auto"/>
              <w:rPr>
                <w:rFonts w:eastAsia="Times New Roman" w:cs="Times New Roman"/>
                <w:color w:val="000000"/>
                <w:sz w:val="22"/>
                <w:lang w:val="en-US" w:eastAsia="en-US"/>
              </w:rPr>
            </w:pPr>
            <w:r w:rsidRPr="00986F85">
              <w:rPr>
                <w:rFonts w:eastAsia="Times New Roman" w:cs="Times New Roman"/>
                <w:color w:val="000000"/>
                <w:sz w:val="22"/>
                <w:lang w:val="en-US" w:eastAsia="en-US"/>
              </w:rPr>
              <w:t>4</w:t>
            </w:r>
          </w:p>
        </w:tc>
        <w:tc>
          <w:tcPr>
            <w:tcW w:w="2976" w:type="dxa"/>
            <w:tcBorders>
              <w:top w:val="nil"/>
              <w:left w:val="nil"/>
              <w:bottom w:val="nil"/>
              <w:right w:val="nil"/>
            </w:tcBorders>
            <w:shd w:val="clear" w:color="auto" w:fill="auto"/>
            <w:noWrap/>
            <w:vAlign w:val="bottom"/>
            <w:hideMark/>
          </w:tcPr>
          <w:p w14:paraId="28F08714" w14:textId="77777777" w:rsidR="0099060A" w:rsidRPr="00986F85" w:rsidRDefault="0099060A" w:rsidP="00561330">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89</w:t>
            </w:r>
          </w:p>
        </w:tc>
        <w:tc>
          <w:tcPr>
            <w:tcW w:w="1276" w:type="dxa"/>
            <w:tcBorders>
              <w:top w:val="nil"/>
              <w:left w:val="nil"/>
              <w:bottom w:val="nil"/>
              <w:right w:val="nil"/>
            </w:tcBorders>
            <w:shd w:val="clear" w:color="auto" w:fill="auto"/>
            <w:noWrap/>
            <w:vAlign w:val="bottom"/>
            <w:hideMark/>
          </w:tcPr>
          <w:p w14:paraId="2E7AC6BD" w14:textId="77777777" w:rsidR="0099060A" w:rsidRPr="00986F85" w:rsidRDefault="0099060A" w:rsidP="00561330">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1.43%</w:t>
            </w:r>
          </w:p>
        </w:tc>
        <w:tc>
          <w:tcPr>
            <w:tcW w:w="1276" w:type="dxa"/>
            <w:tcBorders>
              <w:top w:val="nil"/>
              <w:left w:val="nil"/>
              <w:bottom w:val="nil"/>
              <w:right w:val="nil"/>
            </w:tcBorders>
            <w:shd w:val="clear" w:color="auto" w:fill="auto"/>
            <w:noWrap/>
            <w:vAlign w:val="bottom"/>
            <w:hideMark/>
          </w:tcPr>
          <w:p w14:paraId="3726FB2E" w14:textId="77777777" w:rsidR="0099060A" w:rsidRPr="00986F85" w:rsidRDefault="0099060A" w:rsidP="00561330">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99.45%</w:t>
            </w:r>
          </w:p>
        </w:tc>
      </w:tr>
      <w:tr w:rsidR="00561330" w:rsidRPr="00986F85" w14:paraId="241CEE21" w14:textId="77777777" w:rsidTr="00561330">
        <w:trPr>
          <w:trHeight w:val="280"/>
        </w:trPr>
        <w:tc>
          <w:tcPr>
            <w:tcW w:w="3276" w:type="dxa"/>
            <w:tcBorders>
              <w:top w:val="nil"/>
              <w:left w:val="nil"/>
              <w:bottom w:val="nil"/>
              <w:right w:val="nil"/>
            </w:tcBorders>
            <w:shd w:val="clear" w:color="auto" w:fill="auto"/>
            <w:noWrap/>
            <w:vAlign w:val="bottom"/>
            <w:hideMark/>
          </w:tcPr>
          <w:p w14:paraId="389FF514" w14:textId="77777777" w:rsidR="0099060A" w:rsidRPr="00986F85" w:rsidRDefault="0099060A" w:rsidP="0099060A">
            <w:pPr>
              <w:suppressAutoHyphens w:val="0"/>
              <w:spacing w:after="0" w:line="240" w:lineRule="auto"/>
              <w:rPr>
                <w:rFonts w:eastAsia="Times New Roman" w:cs="Times New Roman"/>
                <w:color w:val="000000"/>
                <w:sz w:val="22"/>
                <w:lang w:val="en-US" w:eastAsia="en-US"/>
              </w:rPr>
            </w:pPr>
            <w:r w:rsidRPr="00986F85">
              <w:rPr>
                <w:rFonts w:eastAsia="Times New Roman" w:cs="Times New Roman"/>
                <w:color w:val="000000"/>
                <w:sz w:val="22"/>
                <w:lang w:val="en-US" w:eastAsia="en-US"/>
              </w:rPr>
              <w:t>5</w:t>
            </w:r>
          </w:p>
        </w:tc>
        <w:tc>
          <w:tcPr>
            <w:tcW w:w="2976" w:type="dxa"/>
            <w:tcBorders>
              <w:top w:val="nil"/>
              <w:left w:val="nil"/>
              <w:bottom w:val="nil"/>
              <w:right w:val="nil"/>
            </w:tcBorders>
            <w:shd w:val="clear" w:color="auto" w:fill="auto"/>
            <w:noWrap/>
            <w:vAlign w:val="bottom"/>
            <w:hideMark/>
          </w:tcPr>
          <w:p w14:paraId="6B89CB6B" w14:textId="77777777" w:rsidR="0099060A" w:rsidRPr="00986F85" w:rsidRDefault="0099060A" w:rsidP="00561330">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23</w:t>
            </w:r>
          </w:p>
        </w:tc>
        <w:tc>
          <w:tcPr>
            <w:tcW w:w="1276" w:type="dxa"/>
            <w:tcBorders>
              <w:top w:val="nil"/>
              <w:left w:val="nil"/>
              <w:bottom w:val="nil"/>
              <w:right w:val="nil"/>
            </w:tcBorders>
            <w:shd w:val="clear" w:color="auto" w:fill="auto"/>
            <w:noWrap/>
            <w:vAlign w:val="bottom"/>
            <w:hideMark/>
          </w:tcPr>
          <w:p w14:paraId="204DA8D5" w14:textId="77777777" w:rsidR="0099060A" w:rsidRPr="00986F85" w:rsidRDefault="0099060A" w:rsidP="00561330">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0.37%</w:t>
            </w:r>
          </w:p>
        </w:tc>
        <w:tc>
          <w:tcPr>
            <w:tcW w:w="1276" w:type="dxa"/>
            <w:tcBorders>
              <w:top w:val="nil"/>
              <w:left w:val="nil"/>
              <w:bottom w:val="nil"/>
              <w:right w:val="nil"/>
            </w:tcBorders>
            <w:shd w:val="clear" w:color="auto" w:fill="auto"/>
            <w:noWrap/>
            <w:vAlign w:val="bottom"/>
            <w:hideMark/>
          </w:tcPr>
          <w:p w14:paraId="5E52A8A7" w14:textId="77777777" w:rsidR="0099060A" w:rsidRPr="00986F85" w:rsidRDefault="0099060A" w:rsidP="00561330">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99.82%</w:t>
            </w:r>
          </w:p>
        </w:tc>
      </w:tr>
      <w:tr w:rsidR="00561330" w:rsidRPr="00986F85" w14:paraId="47304757" w14:textId="77777777" w:rsidTr="00561330">
        <w:trPr>
          <w:trHeight w:val="280"/>
        </w:trPr>
        <w:tc>
          <w:tcPr>
            <w:tcW w:w="3276" w:type="dxa"/>
            <w:tcBorders>
              <w:top w:val="nil"/>
              <w:left w:val="nil"/>
              <w:bottom w:val="nil"/>
              <w:right w:val="nil"/>
            </w:tcBorders>
            <w:shd w:val="clear" w:color="auto" w:fill="auto"/>
            <w:noWrap/>
            <w:vAlign w:val="bottom"/>
            <w:hideMark/>
          </w:tcPr>
          <w:p w14:paraId="04E82B34" w14:textId="77777777" w:rsidR="0099060A" w:rsidRPr="00986F85" w:rsidRDefault="0099060A" w:rsidP="0099060A">
            <w:pPr>
              <w:suppressAutoHyphens w:val="0"/>
              <w:spacing w:after="0" w:line="240" w:lineRule="auto"/>
              <w:rPr>
                <w:rFonts w:eastAsia="Times New Roman" w:cs="Times New Roman"/>
                <w:color w:val="000000"/>
                <w:sz w:val="22"/>
                <w:lang w:val="en-US" w:eastAsia="en-US"/>
              </w:rPr>
            </w:pPr>
            <w:r w:rsidRPr="00986F85">
              <w:rPr>
                <w:rFonts w:eastAsia="Times New Roman" w:cs="Times New Roman"/>
                <w:color w:val="000000"/>
                <w:sz w:val="22"/>
                <w:lang w:val="en-US" w:eastAsia="en-US"/>
              </w:rPr>
              <w:t>6</w:t>
            </w:r>
          </w:p>
        </w:tc>
        <w:tc>
          <w:tcPr>
            <w:tcW w:w="2976" w:type="dxa"/>
            <w:tcBorders>
              <w:top w:val="nil"/>
              <w:left w:val="nil"/>
              <w:bottom w:val="nil"/>
              <w:right w:val="nil"/>
            </w:tcBorders>
            <w:shd w:val="clear" w:color="auto" w:fill="auto"/>
            <w:noWrap/>
            <w:vAlign w:val="bottom"/>
            <w:hideMark/>
          </w:tcPr>
          <w:p w14:paraId="59CE1ABE" w14:textId="77777777" w:rsidR="0099060A" w:rsidRPr="00986F85" w:rsidRDefault="0099060A" w:rsidP="00561330">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9</w:t>
            </w:r>
          </w:p>
        </w:tc>
        <w:tc>
          <w:tcPr>
            <w:tcW w:w="1276" w:type="dxa"/>
            <w:tcBorders>
              <w:top w:val="nil"/>
              <w:left w:val="nil"/>
              <w:bottom w:val="nil"/>
              <w:right w:val="nil"/>
            </w:tcBorders>
            <w:shd w:val="clear" w:color="auto" w:fill="auto"/>
            <w:noWrap/>
            <w:vAlign w:val="bottom"/>
            <w:hideMark/>
          </w:tcPr>
          <w:p w14:paraId="52E4D559" w14:textId="77777777" w:rsidR="0099060A" w:rsidRPr="00986F85" w:rsidRDefault="0099060A" w:rsidP="00561330">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0.14%</w:t>
            </w:r>
          </w:p>
        </w:tc>
        <w:tc>
          <w:tcPr>
            <w:tcW w:w="1276" w:type="dxa"/>
            <w:tcBorders>
              <w:top w:val="nil"/>
              <w:left w:val="nil"/>
              <w:bottom w:val="nil"/>
              <w:right w:val="nil"/>
            </w:tcBorders>
            <w:shd w:val="clear" w:color="auto" w:fill="auto"/>
            <w:noWrap/>
            <w:vAlign w:val="bottom"/>
            <w:hideMark/>
          </w:tcPr>
          <w:p w14:paraId="2FD98782" w14:textId="77777777" w:rsidR="0099060A" w:rsidRPr="00986F85" w:rsidRDefault="0099060A" w:rsidP="00561330">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99.97%</w:t>
            </w:r>
          </w:p>
        </w:tc>
      </w:tr>
      <w:tr w:rsidR="00561330" w:rsidRPr="00986F85" w14:paraId="146D219F" w14:textId="77777777" w:rsidTr="00561330">
        <w:trPr>
          <w:trHeight w:val="280"/>
        </w:trPr>
        <w:tc>
          <w:tcPr>
            <w:tcW w:w="3276" w:type="dxa"/>
            <w:tcBorders>
              <w:top w:val="nil"/>
              <w:left w:val="nil"/>
              <w:bottom w:val="nil"/>
              <w:right w:val="nil"/>
            </w:tcBorders>
            <w:shd w:val="clear" w:color="auto" w:fill="auto"/>
            <w:noWrap/>
            <w:vAlign w:val="bottom"/>
            <w:hideMark/>
          </w:tcPr>
          <w:p w14:paraId="222DA887" w14:textId="77777777" w:rsidR="0099060A" w:rsidRPr="00986F85" w:rsidRDefault="0099060A" w:rsidP="0099060A">
            <w:pPr>
              <w:suppressAutoHyphens w:val="0"/>
              <w:spacing w:after="0" w:line="240" w:lineRule="auto"/>
              <w:rPr>
                <w:rFonts w:eastAsia="Times New Roman" w:cs="Times New Roman"/>
                <w:color w:val="000000"/>
                <w:sz w:val="22"/>
                <w:lang w:val="en-US" w:eastAsia="en-US"/>
              </w:rPr>
            </w:pPr>
            <w:r w:rsidRPr="00986F85">
              <w:rPr>
                <w:rFonts w:eastAsia="Times New Roman" w:cs="Times New Roman"/>
                <w:color w:val="000000"/>
                <w:sz w:val="22"/>
                <w:lang w:val="en-US" w:eastAsia="en-US"/>
              </w:rPr>
              <w:t>7</w:t>
            </w:r>
          </w:p>
        </w:tc>
        <w:tc>
          <w:tcPr>
            <w:tcW w:w="2976" w:type="dxa"/>
            <w:tcBorders>
              <w:top w:val="nil"/>
              <w:left w:val="nil"/>
              <w:bottom w:val="nil"/>
              <w:right w:val="nil"/>
            </w:tcBorders>
            <w:shd w:val="clear" w:color="auto" w:fill="auto"/>
            <w:noWrap/>
            <w:vAlign w:val="bottom"/>
            <w:hideMark/>
          </w:tcPr>
          <w:p w14:paraId="4CA7074D" w14:textId="77777777" w:rsidR="0099060A" w:rsidRPr="00986F85" w:rsidRDefault="0099060A" w:rsidP="00561330">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1</w:t>
            </w:r>
          </w:p>
        </w:tc>
        <w:tc>
          <w:tcPr>
            <w:tcW w:w="1276" w:type="dxa"/>
            <w:tcBorders>
              <w:top w:val="nil"/>
              <w:left w:val="nil"/>
              <w:bottom w:val="nil"/>
              <w:right w:val="nil"/>
            </w:tcBorders>
            <w:shd w:val="clear" w:color="auto" w:fill="auto"/>
            <w:noWrap/>
            <w:vAlign w:val="bottom"/>
            <w:hideMark/>
          </w:tcPr>
          <w:p w14:paraId="3ED00105" w14:textId="77777777" w:rsidR="0099060A" w:rsidRPr="00986F85" w:rsidRDefault="0099060A" w:rsidP="00561330">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0.02%</w:t>
            </w:r>
          </w:p>
        </w:tc>
        <w:tc>
          <w:tcPr>
            <w:tcW w:w="1276" w:type="dxa"/>
            <w:tcBorders>
              <w:top w:val="nil"/>
              <w:left w:val="nil"/>
              <w:bottom w:val="nil"/>
              <w:right w:val="nil"/>
            </w:tcBorders>
            <w:shd w:val="clear" w:color="auto" w:fill="auto"/>
            <w:noWrap/>
            <w:vAlign w:val="bottom"/>
            <w:hideMark/>
          </w:tcPr>
          <w:p w14:paraId="4CC3F3CF" w14:textId="77777777" w:rsidR="0099060A" w:rsidRPr="00986F85" w:rsidRDefault="0099060A" w:rsidP="00561330">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99.98%</w:t>
            </w:r>
          </w:p>
        </w:tc>
      </w:tr>
      <w:tr w:rsidR="00561330" w:rsidRPr="00986F85" w14:paraId="239218C9" w14:textId="77777777" w:rsidTr="00561330">
        <w:trPr>
          <w:trHeight w:val="280"/>
        </w:trPr>
        <w:tc>
          <w:tcPr>
            <w:tcW w:w="3276" w:type="dxa"/>
            <w:tcBorders>
              <w:top w:val="nil"/>
              <w:left w:val="nil"/>
              <w:bottom w:val="nil"/>
              <w:right w:val="nil"/>
            </w:tcBorders>
            <w:shd w:val="clear" w:color="auto" w:fill="auto"/>
            <w:noWrap/>
            <w:vAlign w:val="bottom"/>
            <w:hideMark/>
          </w:tcPr>
          <w:p w14:paraId="39AF86F0" w14:textId="77777777" w:rsidR="0099060A" w:rsidRPr="00986F85" w:rsidRDefault="0099060A" w:rsidP="0099060A">
            <w:pPr>
              <w:suppressAutoHyphens w:val="0"/>
              <w:spacing w:after="0" w:line="240" w:lineRule="auto"/>
              <w:rPr>
                <w:rFonts w:eastAsia="Times New Roman" w:cs="Times New Roman"/>
                <w:color w:val="000000"/>
                <w:sz w:val="22"/>
                <w:lang w:val="en-US" w:eastAsia="en-US"/>
              </w:rPr>
            </w:pPr>
            <w:r w:rsidRPr="00986F85">
              <w:rPr>
                <w:rFonts w:eastAsia="Times New Roman" w:cs="Times New Roman"/>
                <w:color w:val="000000"/>
                <w:sz w:val="22"/>
                <w:lang w:val="en-US" w:eastAsia="en-US"/>
              </w:rPr>
              <w:t>8</w:t>
            </w:r>
          </w:p>
        </w:tc>
        <w:tc>
          <w:tcPr>
            <w:tcW w:w="2976" w:type="dxa"/>
            <w:tcBorders>
              <w:top w:val="nil"/>
              <w:left w:val="nil"/>
              <w:bottom w:val="nil"/>
              <w:right w:val="nil"/>
            </w:tcBorders>
            <w:shd w:val="clear" w:color="auto" w:fill="auto"/>
            <w:noWrap/>
            <w:vAlign w:val="bottom"/>
            <w:hideMark/>
          </w:tcPr>
          <w:p w14:paraId="1DD8652E" w14:textId="77777777" w:rsidR="0099060A" w:rsidRPr="00986F85" w:rsidRDefault="0099060A" w:rsidP="00561330">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1</w:t>
            </w:r>
          </w:p>
        </w:tc>
        <w:tc>
          <w:tcPr>
            <w:tcW w:w="1276" w:type="dxa"/>
            <w:tcBorders>
              <w:top w:val="nil"/>
              <w:left w:val="nil"/>
              <w:bottom w:val="nil"/>
              <w:right w:val="nil"/>
            </w:tcBorders>
            <w:shd w:val="clear" w:color="auto" w:fill="auto"/>
            <w:noWrap/>
            <w:vAlign w:val="bottom"/>
            <w:hideMark/>
          </w:tcPr>
          <w:p w14:paraId="11AE4DD6" w14:textId="77777777" w:rsidR="0099060A" w:rsidRPr="00986F85" w:rsidRDefault="0099060A" w:rsidP="00561330">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0.02%</w:t>
            </w:r>
          </w:p>
        </w:tc>
        <w:tc>
          <w:tcPr>
            <w:tcW w:w="1276" w:type="dxa"/>
            <w:tcBorders>
              <w:top w:val="nil"/>
              <w:left w:val="nil"/>
              <w:bottom w:val="nil"/>
              <w:right w:val="nil"/>
            </w:tcBorders>
            <w:shd w:val="clear" w:color="auto" w:fill="auto"/>
            <w:noWrap/>
            <w:vAlign w:val="bottom"/>
            <w:hideMark/>
          </w:tcPr>
          <w:p w14:paraId="66ECC017" w14:textId="77777777" w:rsidR="0099060A" w:rsidRPr="00986F85" w:rsidRDefault="0099060A" w:rsidP="00561330">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100.00%</w:t>
            </w:r>
          </w:p>
        </w:tc>
      </w:tr>
      <w:tr w:rsidR="00561330" w:rsidRPr="00986F85" w14:paraId="0B9DDF94" w14:textId="77777777" w:rsidTr="00561330">
        <w:trPr>
          <w:trHeight w:val="280"/>
        </w:trPr>
        <w:tc>
          <w:tcPr>
            <w:tcW w:w="3276" w:type="dxa"/>
            <w:tcBorders>
              <w:top w:val="nil"/>
              <w:left w:val="nil"/>
              <w:bottom w:val="nil"/>
              <w:right w:val="nil"/>
            </w:tcBorders>
            <w:shd w:val="clear" w:color="auto" w:fill="auto"/>
            <w:noWrap/>
            <w:vAlign w:val="bottom"/>
            <w:hideMark/>
          </w:tcPr>
          <w:p w14:paraId="36CD961C" w14:textId="77777777" w:rsidR="0099060A" w:rsidRPr="00986F85" w:rsidRDefault="0099060A" w:rsidP="0099060A">
            <w:pPr>
              <w:suppressAutoHyphens w:val="0"/>
              <w:spacing w:after="0" w:line="240" w:lineRule="auto"/>
              <w:rPr>
                <w:rFonts w:eastAsia="Times New Roman" w:cs="Times New Roman"/>
                <w:color w:val="000000"/>
                <w:sz w:val="22"/>
                <w:lang w:val="en-US" w:eastAsia="en-US"/>
              </w:rPr>
            </w:pPr>
            <w:r w:rsidRPr="00986F85">
              <w:rPr>
                <w:rFonts w:eastAsia="Times New Roman" w:cs="Times New Roman"/>
                <w:color w:val="000000"/>
                <w:sz w:val="22"/>
                <w:lang w:val="en-US" w:eastAsia="en-US"/>
              </w:rPr>
              <w:t>Összesen</w:t>
            </w:r>
          </w:p>
        </w:tc>
        <w:tc>
          <w:tcPr>
            <w:tcW w:w="2976" w:type="dxa"/>
            <w:tcBorders>
              <w:top w:val="nil"/>
              <w:left w:val="nil"/>
              <w:bottom w:val="nil"/>
              <w:right w:val="nil"/>
            </w:tcBorders>
            <w:shd w:val="clear" w:color="auto" w:fill="auto"/>
            <w:noWrap/>
            <w:vAlign w:val="bottom"/>
            <w:hideMark/>
          </w:tcPr>
          <w:p w14:paraId="080487C4" w14:textId="77777777" w:rsidR="0099060A" w:rsidRPr="00986F85" w:rsidRDefault="0099060A" w:rsidP="00561330">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6235</w:t>
            </w:r>
          </w:p>
        </w:tc>
        <w:tc>
          <w:tcPr>
            <w:tcW w:w="1276" w:type="dxa"/>
            <w:tcBorders>
              <w:top w:val="nil"/>
              <w:left w:val="nil"/>
              <w:bottom w:val="nil"/>
              <w:right w:val="nil"/>
            </w:tcBorders>
            <w:shd w:val="clear" w:color="auto" w:fill="auto"/>
            <w:noWrap/>
            <w:vAlign w:val="bottom"/>
            <w:hideMark/>
          </w:tcPr>
          <w:p w14:paraId="30D92AA5" w14:textId="77777777" w:rsidR="0099060A" w:rsidRPr="00986F85" w:rsidRDefault="0099060A" w:rsidP="00561330">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100.00%</w:t>
            </w:r>
          </w:p>
        </w:tc>
        <w:tc>
          <w:tcPr>
            <w:tcW w:w="1276" w:type="dxa"/>
            <w:tcBorders>
              <w:top w:val="nil"/>
              <w:left w:val="nil"/>
              <w:bottom w:val="nil"/>
              <w:right w:val="nil"/>
            </w:tcBorders>
            <w:shd w:val="clear" w:color="auto" w:fill="auto"/>
            <w:noWrap/>
            <w:vAlign w:val="bottom"/>
            <w:hideMark/>
          </w:tcPr>
          <w:p w14:paraId="1645B783" w14:textId="77777777" w:rsidR="0099060A" w:rsidRPr="00986F85" w:rsidRDefault="0099060A" w:rsidP="00561330">
            <w:pPr>
              <w:suppressAutoHyphens w:val="0"/>
              <w:spacing w:after="0" w:line="240" w:lineRule="auto"/>
              <w:jc w:val="right"/>
              <w:rPr>
                <w:rFonts w:eastAsia="Times New Roman" w:cs="Times New Roman"/>
                <w:color w:val="000000"/>
                <w:sz w:val="22"/>
                <w:lang w:val="en-US" w:eastAsia="en-US"/>
              </w:rPr>
            </w:pPr>
          </w:p>
        </w:tc>
      </w:tr>
    </w:tbl>
    <w:p w14:paraId="4296F314" w14:textId="77777777" w:rsidR="0099060A" w:rsidRPr="00986F85" w:rsidRDefault="000803F8" w:rsidP="009E4D02">
      <w:pPr>
        <w:pStyle w:val="Kpalrs"/>
        <w:keepNext/>
        <w:jc w:val="center"/>
        <w:rPr>
          <w:rFonts w:cs="Times New Roman"/>
        </w:rPr>
      </w:pPr>
      <w:r w:rsidRPr="00986F85">
        <w:rPr>
          <w:rFonts w:cs="Times New Roman"/>
        </w:rPr>
        <w:t xml:space="preserve">Forrás: EMIR </w:t>
      </w:r>
      <w:r w:rsidR="0099060A" w:rsidRPr="00986F85">
        <w:rPr>
          <w:rFonts w:cs="Times New Roman"/>
        </w:rPr>
        <w:t xml:space="preserve"> adatbázis</w:t>
      </w:r>
    </w:p>
    <w:p w14:paraId="33F81697" w14:textId="77777777" w:rsidR="000803F8" w:rsidRPr="00986F85" w:rsidRDefault="000803F8" w:rsidP="000803F8">
      <w:pPr>
        <w:pStyle w:val="Kpalrs"/>
        <w:keepNext/>
        <w:jc w:val="both"/>
        <w:rPr>
          <w:rFonts w:cs="Times New Roman"/>
        </w:rPr>
      </w:pPr>
      <w:r w:rsidRPr="00986F85">
        <w:rPr>
          <w:rFonts w:cs="Times New Roman"/>
        </w:rPr>
        <w:t>Megjegyzés: A kimutatás a teljes GOP2.1.1.A és KMOP 1.2.1. A nyertesek körére készült az EMIR-ből lekért 2011. év évi adatok alapján.</w:t>
      </w:r>
    </w:p>
    <w:p w14:paraId="4F876DE7" w14:textId="77777777" w:rsidR="008F3C32" w:rsidRPr="00986F85" w:rsidRDefault="008F3C32" w:rsidP="008F3C32">
      <w:pPr>
        <w:pStyle w:val="Kpalrs"/>
        <w:keepNext/>
        <w:rPr>
          <w:rFonts w:cs="Times New Roman"/>
        </w:rPr>
      </w:pPr>
    </w:p>
    <w:p w14:paraId="199028F6" w14:textId="77777777" w:rsidR="008F3C32" w:rsidRPr="00986F85" w:rsidRDefault="005146AC" w:rsidP="00B04415">
      <w:pPr>
        <w:spacing w:after="0" w:line="360" w:lineRule="auto"/>
        <w:jc w:val="both"/>
        <w:rPr>
          <w:rFonts w:cs="Times New Roman"/>
          <w:szCs w:val="24"/>
        </w:rPr>
      </w:pPr>
      <w:r w:rsidRPr="00986F85">
        <w:rPr>
          <w:rFonts w:cs="Times New Roman"/>
          <w:szCs w:val="24"/>
        </w:rPr>
        <w:t xml:space="preserve">Mindezek mellett előfordul, de nem </w:t>
      </w:r>
      <w:r w:rsidR="005E6B8F" w:rsidRPr="00986F85">
        <w:rPr>
          <w:rFonts w:cs="Times New Roman"/>
          <w:szCs w:val="24"/>
        </w:rPr>
        <w:t>jelentős</w:t>
      </w:r>
      <w:r w:rsidRPr="00986F85">
        <w:rPr>
          <w:rFonts w:cs="Times New Roman"/>
          <w:szCs w:val="24"/>
        </w:rPr>
        <w:t xml:space="preserve"> azon GOP nyertesek száma, melyek más OP alatt is siker</w:t>
      </w:r>
      <w:r w:rsidR="0073644F" w:rsidRPr="00986F85">
        <w:rPr>
          <w:rFonts w:cs="Times New Roman"/>
          <w:szCs w:val="24"/>
        </w:rPr>
        <w:t>e</w:t>
      </w:r>
      <w:r w:rsidRPr="00986F85">
        <w:rPr>
          <w:rFonts w:cs="Times New Roman"/>
          <w:szCs w:val="24"/>
        </w:rPr>
        <w:t xml:space="preserve">sen pályáztak (lásd alábbi táblázat). </w:t>
      </w:r>
      <w:r w:rsidR="00DD3C4B" w:rsidRPr="00986F85">
        <w:rPr>
          <w:rFonts w:cs="Times New Roman"/>
          <w:szCs w:val="24"/>
        </w:rPr>
        <w:t xml:space="preserve"> A GOP 2.1.1. A nyertesek körében azonban nem jellemző ez az ’átpályázás’. A GOP kiírások alatt sikerrel szereplő cégek között legtöbben egyes regionális operatív programokban (107 cég), illetve a KEOP-ban (14 cég) kaptak még támogatást. </w:t>
      </w:r>
    </w:p>
    <w:p w14:paraId="4A802A60" w14:textId="77777777" w:rsidR="000B0EB0" w:rsidRPr="00986F85" w:rsidRDefault="005657E8" w:rsidP="005146AC">
      <w:pPr>
        <w:pStyle w:val="Kpalrs"/>
        <w:keepNext/>
        <w:jc w:val="center"/>
      </w:pPr>
      <w:fldSimple w:instr=" SEQ táblázat \* ARABIC ">
        <w:bookmarkStart w:id="43" w:name="_Toc230854357"/>
        <w:r w:rsidR="00255252" w:rsidRPr="00986F85">
          <w:rPr>
            <w:noProof/>
          </w:rPr>
          <w:t>12</w:t>
        </w:r>
      </w:fldSimple>
      <w:r w:rsidR="000B0EB0" w:rsidRPr="00986F85">
        <w:t>. táblázat</w:t>
      </w:r>
      <w:r w:rsidR="005146AC" w:rsidRPr="00986F85">
        <w:t>: GOP2.1.1.A konstrukción kívül más OP keretében nyertes pályázatokkal rendelkező cégek</w:t>
      </w:r>
      <w:bookmarkEnd w:id="43"/>
    </w:p>
    <w:tbl>
      <w:tblPr>
        <w:tblW w:w="8946" w:type="dxa"/>
        <w:tblInd w:w="93" w:type="dxa"/>
        <w:tblLayout w:type="fixed"/>
        <w:tblLook w:val="04A0" w:firstRow="1" w:lastRow="0" w:firstColumn="1" w:lastColumn="0" w:noHBand="0" w:noVBand="1"/>
      </w:tblPr>
      <w:tblGrid>
        <w:gridCol w:w="1243"/>
        <w:gridCol w:w="1243"/>
        <w:gridCol w:w="1060"/>
        <w:gridCol w:w="1005"/>
        <w:gridCol w:w="851"/>
        <w:gridCol w:w="709"/>
        <w:gridCol w:w="992"/>
        <w:gridCol w:w="992"/>
        <w:gridCol w:w="851"/>
      </w:tblGrid>
      <w:tr w:rsidR="008B5F0A" w:rsidRPr="00986F85" w14:paraId="2CC80BFA" w14:textId="77777777" w:rsidTr="0073644F">
        <w:trPr>
          <w:trHeight w:val="280"/>
        </w:trPr>
        <w:tc>
          <w:tcPr>
            <w:tcW w:w="1243" w:type="dxa"/>
            <w:tcBorders>
              <w:top w:val="nil"/>
              <w:left w:val="nil"/>
              <w:right w:val="nil"/>
            </w:tcBorders>
            <w:shd w:val="clear" w:color="auto" w:fill="B10000"/>
            <w:noWrap/>
            <w:vAlign w:val="bottom"/>
            <w:hideMark/>
          </w:tcPr>
          <w:p w14:paraId="31E689E1" w14:textId="77777777" w:rsidR="008B5F0A" w:rsidRPr="00986F85" w:rsidRDefault="008B5F0A" w:rsidP="008B5F0A">
            <w:pPr>
              <w:suppressAutoHyphens w:val="0"/>
              <w:spacing w:after="0" w:line="240" w:lineRule="auto"/>
              <w:rPr>
                <w:rFonts w:eastAsia="Times New Roman" w:cs="Times New Roman"/>
                <w:color w:val="FFFFFF"/>
                <w:sz w:val="22"/>
                <w:lang w:eastAsia="en-US"/>
              </w:rPr>
            </w:pPr>
          </w:p>
        </w:tc>
        <w:tc>
          <w:tcPr>
            <w:tcW w:w="1243" w:type="dxa"/>
            <w:tcBorders>
              <w:top w:val="nil"/>
              <w:left w:val="nil"/>
              <w:bottom w:val="nil"/>
              <w:right w:val="nil"/>
            </w:tcBorders>
            <w:shd w:val="clear" w:color="auto" w:fill="B10000"/>
            <w:noWrap/>
            <w:vAlign w:val="bottom"/>
            <w:hideMark/>
          </w:tcPr>
          <w:p w14:paraId="744450E1" w14:textId="77777777" w:rsidR="008B5F0A" w:rsidRPr="00986F85" w:rsidRDefault="008B5F0A" w:rsidP="008B5F0A">
            <w:pPr>
              <w:suppressAutoHyphens w:val="0"/>
              <w:spacing w:after="0" w:line="240" w:lineRule="auto"/>
              <w:rPr>
                <w:rFonts w:eastAsia="Times New Roman" w:cs="Times New Roman"/>
                <w:color w:val="FFFFFF"/>
                <w:sz w:val="22"/>
                <w:lang w:val="en-US" w:eastAsia="en-US"/>
              </w:rPr>
            </w:pPr>
            <w:r w:rsidRPr="00986F85">
              <w:rPr>
                <w:rFonts w:eastAsia="Times New Roman" w:cs="Times New Roman"/>
                <w:color w:val="FFFFFF"/>
                <w:sz w:val="22"/>
                <w:lang w:val="en-US" w:eastAsia="en-US"/>
              </w:rPr>
              <w:t>GOP2.1.1.A</w:t>
            </w:r>
          </w:p>
        </w:tc>
        <w:tc>
          <w:tcPr>
            <w:tcW w:w="1060" w:type="dxa"/>
            <w:tcBorders>
              <w:top w:val="nil"/>
              <w:left w:val="nil"/>
              <w:bottom w:val="nil"/>
              <w:right w:val="nil"/>
            </w:tcBorders>
            <w:shd w:val="clear" w:color="auto" w:fill="B10000"/>
            <w:noWrap/>
            <w:vAlign w:val="bottom"/>
            <w:hideMark/>
          </w:tcPr>
          <w:p w14:paraId="7BDFC743" w14:textId="77777777" w:rsidR="008B5F0A" w:rsidRPr="00986F85" w:rsidRDefault="008B5F0A" w:rsidP="008B5F0A">
            <w:pPr>
              <w:suppressAutoHyphens w:val="0"/>
              <w:spacing w:after="0" w:line="240" w:lineRule="auto"/>
              <w:rPr>
                <w:rFonts w:eastAsia="Times New Roman" w:cs="Times New Roman"/>
                <w:color w:val="FFFFFF"/>
                <w:sz w:val="22"/>
                <w:lang w:val="en-US" w:eastAsia="en-US"/>
              </w:rPr>
            </w:pPr>
            <w:r w:rsidRPr="00986F85">
              <w:rPr>
                <w:rFonts w:eastAsia="Times New Roman" w:cs="Times New Roman"/>
                <w:color w:val="FFFFFF"/>
                <w:sz w:val="22"/>
                <w:lang w:val="en-US" w:eastAsia="en-US"/>
              </w:rPr>
              <w:t>Más GOP</w:t>
            </w:r>
          </w:p>
        </w:tc>
        <w:tc>
          <w:tcPr>
            <w:tcW w:w="1005" w:type="dxa"/>
            <w:tcBorders>
              <w:top w:val="nil"/>
              <w:left w:val="nil"/>
              <w:bottom w:val="nil"/>
              <w:right w:val="nil"/>
            </w:tcBorders>
            <w:shd w:val="clear" w:color="auto" w:fill="B10000"/>
            <w:noWrap/>
            <w:vAlign w:val="bottom"/>
            <w:hideMark/>
          </w:tcPr>
          <w:p w14:paraId="52EC5B89" w14:textId="77777777" w:rsidR="008B5F0A" w:rsidRPr="00986F85" w:rsidRDefault="008B5F0A" w:rsidP="008B5F0A">
            <w:pPr>
              <w:suppressAutoHyphens w:val="0"/>
              <w:spacing w:after="0" w:line="240" w:lineRule="auto"/>
              <w:rPr>
                <w:rFonts w:eastAsia="Times New Roman" w:cs="Times New Roman"/>
                <w:color w:val="FFFFFF"/>
                <w:sz w:val="22"/>
                <w:lang w:val="en-US" w:eastAsia="en-US"/>
              </w:rPr>
            </w:pPr>
            <w:r w:rsidRPr="00986F85">
              <w:rPr>
                <w:rFonts w:eastAsia="Times New Roman" w:cs="Times New Roman"/>
                <w:color w:val="FFFFFF"/>
                <w:sz w:val="22"/>
                <w:lang w:val="en-US" w:eastAsia="en-US"/>
              </w:rPr>
              <w:t>TÁMOP</w:t>
            </w:r>
          </w:p>
        </w:tc>
        <w:tc>
          <w:tcPr>
            <w:tcW w:w="851" w:type="dxa"/>
            <w:tcBorders>
              <w:top w:val="nil"/>
              <w:left w:val="nil"/>
              <w:bottom w:val="nil"/>
              <w:right w:val="nil"/>
            </w:tcBorders>
            <w:shd w:val="clear" w:color="auto" w:fill="B10000"/>
            <w:noWrap/>
            <w:vAlign w:val="bottom"/>
            <w:hideMark/>
          </w:tcPr>
          <w:p w14:paraId="50807CE5" w14:textId="77777777" w:rsidR="008B5F0A" w:rsidRPr="00986F85" w:rsidRDefault="008B5F0A" w:rsidP="008B5F0A">
            <w:pPr>
              <w:suppressAutoHyphens w:val="0"/>
              <w:spacing w:after="0" w:line="240" w:lineRule="auto"/>
              <w:rPr>
                <w:rFonts w:eastAsia="Times New Roman" w:cs="Times New Roman"/>
                <w:color w:val="FFFFFF"/>
                <w:sz w:val="22"/>
                <w:lang w:val="en-US" w:eastAsia="en-US"/>
              </w:rPr>
            </w:pPr>
            <w:r w:rsidRPr="00986F85">
              <w:rPr>
                <w:rFonts w:eastAsia="Times New Roman" w:cs="Times New Roman"/>
                <w:color w:val="FFFFFF"/>
                <w:sz w:val="22"/>
                <w:lang w:val="en-US" w:eastAsia="en-US"/>
              </w:rPr>
              <w:t>KEOP</w:t>
            </w:r>
          </w:p>
        </w:tc>
        <w:tc>
          <w:tcPr>
            <w:tcW w:w="709" w:type="dxa"/>
            <w:tcBorders>
              <w:top w:val="nil"/>
              <w:left w:val="nil"/>
              <w:bottom w:val="nil"/>
              <w:right w:val="nil"/>
            </w:tcBorders>
            <w:shd w:val="clear" w:color="auto" w:fill="B10000"/>
            <w:noWrap/>
            <w:vAlign w:val="bottom"/>
            <w:hideMark/>
          </w:tcPr>
          <w:p w14:paraId="6C444D22" w14:textId="77777777" w:rsidR="008B5F0A" w:rsidRPr="00986F85" w:rsidRDefault="008B5F0A" w:rsidP="008B5F0A">
            <w:pPr>
              <w:suppressAutoHyphens w:val="0"/>
              <w:spacing w:after="0" w:line="240" w:lineRule="auto"/>
              <w:rPr>
                <w:rFonts w:eastAsia="Times New Roman" w:cs="Times New Roman"/>
                <w:color w:val="FFFFFF"/>
                <w:sz w:val="22"/>
                <w:lang w:val="en-US" w:eastAsia="en-US"/>
              </w:rPr>
            </w:pPr>
            <w:r w:rsidRPr="00986F85">
              <w:rPr>
                <w:rFonts w:eastAsia="Times New Roman" w:cs="Times New Roman"/>
                <w:color w:val="FFFFFF"/>
                <w:sz w:val="22"/>
                <w:lang w:val="en-US" w:eastAsia="en-US"/>
              </w:rPr>
              <w:t>TIOP</w:t>
            </w:r>
          </w:p>
        </w:tc>
        <w:tc>
          <w:tcPr>
            <w:tcW w:w="992" w:type="dxa"/>
            <w:tcBorders>
              <w:top w:val="nil"/>
              <w:left w:val="nil"/>
              <w:bottom w:val="nil"/>
              <w:right w:val="nil"/>
            </w:tcBorders>
            <w:shd w:val="clear" w:color="auto" w:fill="B10000"/>
            <w:noWrap/>
            <w:vAlign w:val="bottom"/>
            <w:hideMark/>
          </w:tcPr>
          <w:p w14:paraId="134FF96E" w14:textId="77777777" w:rsidR="008B5F0A" w:rsidRPr="00986F85" w:rsidRDefault="008B5F0A" w:rsidP="008B5F0A">
            <w:pPr>
              <w:suppressAutoHyphens w:val="0"/>
              <w:spacing w:after="0" w:line="240" w:lineRule="auto"/>
              <w:rPr>
                <w:rFonts w:eastAsia="Times New Roman" w:cs="Times New Roman"/>
                <w:color w:val="FFFFFF"/>
                <w:sz w:val="22"/>
                <w:lang w:val="en-US" w:eastAsia="en-US"/>
              </w:rPr>
            </w:pPr>
            <w:r w:rsidRPr="00986F85">
              <w:rPr>
                <w:rFonts w:eastAsia="Times New Roman" w:cs="Times New Roman"/>
                <w:color w:val="FFFFFF"/>
                <w:sz w:val="22"/>
                <w:lang w:val="en-US" w:eastAsia="en-US"/>
              </w:rPr>
              <w:t>KÖZOP</w:t>
            </w:r>
          </w:p>
        </w:tc>
        <w:tc>
          <w:tcPr>
            <w:tcW w:w="992" w:type="dxa"/>
            <w:tcBorders>
              <w:top w:val="nil"/>
              <w:left w:val="nil"/>
              <w:bottom w:val="nil"/>
              <w:right w:val="nil"/>
            </w:tcBorders>
            <w:shd w:val="clear" w:color="auto" w:fill="B10000"/>
            <w:noWrap/>
            <w:vAlign w:val="bottom"/>
            <w:hideMark/>
          </w:tcPr>
          <w:p w14:paraId="7E20AFF9" w14:textId="77777777" w:rsidR="008B5F0A" w:rsidRPr="00986F85" w:rsidRDefault="008B5F0A" w:rsidP="008B5F0A">
            <w:pPr>
              <w:suppressAutoHyphens w:val="0"/>
              <w:spacing w:after="0" w:line="240" w:lineRule="auto"/>
              <w:rPr>
                <w:rFonts w:eastAsia="Times New Roman" w:cs="Times New Roman"/>
                <w:color w:val="FFFFFF"/>
                <w:sz w:val="22"/>
                <w:lang w:val="en-US" w:eastAsia="en-US"/>
              </w:rPr>
            </w:pPr>
            <w:r w:rsidRPr="00986F85">
              <w:rPr>
                <w:rFonts w:eastAsia="Times New Roman" w:cs="Times New Roman"/>
                <w:color w:val="FFFFFF"/>
                <w:sz w:val="22"/>
                <w:lang w:val="en-US" w:eastAsia="en-US"/>
              </w:rPr>
              <w:t>ROP-ok</w:t>
            </w:r>
          </w:p>
        </w:tc>
        <w:tc>
          <w:tcPr>
            <w:tcW w:w="851" w:type="dxa"/>
            <w:tcBorders>
              <w:top w:val="nil"/>
              <w:left w:val="nil"/>
              <w:bottom w:val="nil"/>
              <w:right w:val="nil"/>
            </w:tcBorders>
            <w:shd w:val="clear" w:color="auto" w:fill="B10000"/>
            <w:noWrap/>
            <w:vAlign w:val="bottom"/>
            <w:hideMark/>
          </w:tcPr>
          <w:p w14:paraId="470BDA71" w14:textId="77777777" w:rsidR="008B5F0A" w:rsidRPr="00986F85" w:rsidRDefault="008B5F0A" w:rsidP="008B5F0A">
            <w:pPr>
              <w:suppressAutoHyphens w:val="0"/>
              <w:spacing w:after="0" w:line="240" w:lineRule="auto"/>
              <w:rPr>
                <w:rFonts w:eastAsia="Times New Roman" w:cs="Times New Roman"/>
                <w:color w:val="FFFFFF"/>
                <w:sz w:val="22"/>
                <w:lang w:val="en-US" w:eastAsia="en-US"/>
              </w:rPr>
            </w:pPr>
            <w:r w:rsidRPr="00986F85">
              <w:rPr>
                <w:rFonts w:eastAsia="Times New Roman" w:cs="Times New Roman"/>
                <w:color w:val="FFFFFF"/>
                <w:sz w:val="22"/>
                <w:lang w:val="en-US" w:eastAsia="en-US"/>
              </w:rPr>
              <w:t>Egyéb</w:t>
            </w:r>
          </w:p>
        </w:tc>
      </w:tr>
      <w:tr w:rsidR="008B5F0A" w:rsidRPr="00986F85" w14:paraId="6AEAE3C0" w14:textId="77777777" w:rsidTr="0073644F">
        <w:trPr>
          <w:trHeight w:val="280"/>
        </w:trPr>
        <w:tc>
          <w:tcPr>
            <w:tcW w:w="1243" w:type="dxa"/>
            <w:tcBorders>
              <w:top w:val="nil"/>
              <w:left w:val="nil"/>
              <w:bottom w:val="nil"/>
              <w:right w:val="nil"/>
            </w:tcBorders>
            <w:shd w:val="clear" w:color="auto" w:fill="B10000"/>
            <w:noWrap/>
            <w:vAlign w:val="bottom"/>
            <w:hideMark/>
          </w:tcPr>
          <w:p w14:paraId="11803104" w14:textId="77777777" w:rsidR="008B5F0A" w:rsidRPr="00986F85" w:rsidRDefault="008B5F0A" w:rsidP="008B5F0A">
            <w:pPr>
              <w:suppressAutoHyphens w:val="0"/>
              <w:spacing w:after="0" w:line="240" w:lineRule="auto"/>
              <w:rPr>
                <w:rFonts w:eastAsia="Times New Roman" w:cs="Times New Roman"/>
                <w:color w:val="FFFFFF"/>
                <w:sz w:val="22"/>
                <w:lang w:val="en-US" w:eastAsia="en-US"/>
              </w:rPr>
            </w:pPr>
            <w:r w:rsidRPr="00986F85">
              <w:rPr>
                <w:rFonts w:eastAsia="Times New Roman" w:cs="Times New Roman"/>
                <w:color w:val="FFFFFF"/>
                <w:sz w:val="22"/>
                <w:lang w:val="en-US" w:eastAsia="en-US"/>
              </w:rPr>
              <w:t>GOP2.1.1.A</w:t>
            </w:r>
          </w:p>
        </w:tc>
        <w:tc>
          <w:tcPr>
            <w:tcW w:w="1243" w:type="dxa"/>
            <w:tcBorders>
              <w:top w:val="nil"/>
              <w:left w:val="nil"/>
              <w:bottom w:val="nil"/>
              <w:right w:val="nil"/>
            </w:tcBorders>
            <w:shd w:val="clear" w:color="auto" w:fill="auto"/>
            <w:noWrap/>
            <w:vAlign w:val="bottom"/>
            <w:hideMark/>
          </w:tcPr>
          <w:p w14:paraId="7DE52CF5"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4225</w:t>
            </w:r>
          </w:p>
        </w:tc>
        <w:tc>
          <w:tcPr>
            <w:tcW w:w="1060" w:type="dxa"/>
            <w:tcBorders>
              <w:top w:val="nil"/>
              <w:left w:val="nil"/>
              <w:bottom w:val="nil"/>
              <w:right w:val="nil"/>
            </w:tcBorders>
            <w:shd w:val="clear" w:color="auto" w:fill="auto"/>
            <w:noWrap/>
            <w:vAlign w:val="bottom"/>
            <w:hideMark/>
          </w:tcPr>
          <w:p w14:paraId="5BFAB048"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355</w:t>
            </w:r>
          </w:p>
        </w:tc>
        <w:tc>
          <w:tcPr>
            <w:tcW w:w="1005" w:type="dxa"/>
            <w:tcBorders>
              <w:top w:val="nil"/>
              <w:left w:val="nil"/>
              <w:bottom w:val="nil"/>
              <w:right w:val="nil"/>
            </w:tcBorders>
            <w:shd w:val="clear" w:color="auto" w:fill="auto"/>
            <w:noWrap/>
            <w:vAlign w:val="bottom"/>
            <w:hideMark/>
          </w:tcPr>
          <w:p w14:paraId="3B49AEF8"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851" w:type="dxa"/>
            <w:tcBorders>
              <w:top w:val="nil"/>
              <w:left w:val="nil"/>
              <w:bottom w:val="nil"/>
              <w:right w:val="nil"/>
            </w:tcBorders>
            <w:shd w:val="clear" w:color="auto" w:fill="auto"/>
            <w:noWrap/>
            <w:vAlign w:val="bottom"/>
            <w:hideMark/>
          </w:tcPr>
          <w:p w14:paraId="14CA40C1"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709" w:type="dxa"/>
            <w:tcBorders>
              <w:top w:val="nil"/>
              <w:left w:val="nil"/>
              <w:bottom w:val="nil"/>
              <w:right w:val="nil"/>
            </w:tcBorders>
            <w:shd w:val="clear" w:color="auto" w:fill="auto"/>
            <w:noWrap/>
            <w:vAlign w:val="bottom"/>
            <w:hideMark/>
          </w:tcPr>
          <w:p w14:paraId="2E22EBBB"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992" w:type="dxa"/>
            <w:tcBorders>
              <w:top w:val="nil"/>
              <w:left w:val="nil"/>
              <w:bottom w:val="nil"/>
              <w:right w:val="nil"/>
            </w:tcBorders>
            <w:shd w:val="clear" w:color="auto" w:fill="auto"/>
            <w:noWrap/>
            <w:vAlign w:val="bottom"/>
            <w:hideMark/>
          </w:tcPr>
          <w:p w14:paraId="0CBA2094"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992" w:type="dxa"/>
            <w:tcBorders>
              <w:top w:val="nil"/>
              <w:left w:val="nil"/>
              <w:bottom w:val="nil"/>
              <w:right w:val="nil"/>
            </w:tcBorders>
            <w:shd w:val="clear" w:color="auto" w:fill="auto"/>
            <w:noWrap/>
            <w:vAlign w:val="bottom"/>
            <w:hideMark/>
          </w:tcPr>
          <w:p w14:paraId="5B8097B8"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851" w:type="dxa"/>
            <w:tcBorders>
              <w:top w:val="nil"/>
              <w:left w:val="nil"/>
              <w:bottom w:val="nil"/>
              <w:right w:val="nil"/>
            </w:tcBorders>
            <w:shd w:val="clear" w:color="auto" w:fill="auto"/>
            <w:noWrap/>
            <w:vAlign w:val="bottom"/>
            <w:hideMark/>
          </w:tcPr>
          <w:p w14:paraId="6F495265"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r>
      <w:tr w:rsidR="008B5F0A" w:rsidRPr="00986F85" w14:paraId="1E941B4A" w14:textId="77777777" w:rsidTr="0073644F">
        <w:trPr>
          <w:trHeight w:val="280"/>
        </w:trPr>
        <w:tc>
          <w:tcPr>
            <w:tcW w:w="1243" w:type="dxa"/>
            <w:tcBorders>
              <w:top w:val="nil"/>
              <w:left w:val="nil"/>
              <w:bottom w:val="nil"/>
              <w:right w:val="nil"/>
            </w:tcBorders>
            <w:shd w:val="clear" w:color="auto" w:fill="B10000"/>
            <w:noWrap/>
            <w:vAlign w:val="bottom"/>
            <w:hideMark/>
          </w:tcPr>
          <w:p w14:paraId="50302EB7" w14:textId="77777777" w:rsidR="008B5F0A" w:rsidRPr="00986F85" w:rsidRDefault="008B5F0A" w:rsidP="008B5F0A">
            <w:pPr>
              <w:suppressAutoHyphens w:val="0"/>
              <w:spacing w:after="0" w:line="240" w:lineRule="auto"/>
              <w:rPr>
                <w:rFonts w:eastAsia="Times New Roman" w:cs="Times New Roman"/>
                <w:color w:val="FFFFFF"/>
                <w:sz w:val="22"/>
                <w:lang w:val="en-US" w:eastAsia="en-US"/>
              </w:rPr>
            </w:pPr>
            <w:r w:rsidRPr="00986F85">
              <w:rPr>
                <w:rFonts w:eastAsia="Times New Roman" w:cs="Times New Roman"/>
                <w:color w:val="FFFFFF"/>
                <w:sz w:val="22"/>
                <w:lang w:val="en-US" w:eastAsia="en-US"/>
              </w:rPr>
              <w:t>Más GOP</w:t>
            </w:r>
          </w:p>
        </w:tc>
        <w:tc>
          <w:tcPr>
            <w:tcW w:w="1243" w:type="dxa"/>
            <w:tcBorders>
              <w:top w:val="nil"/>
              <w:left w:val="nil"/>
              <w:bottom w:val="nil"/>
              <w:right w:val="nil"/>
            </w:tcBorders>
            <w:shd w:val="clear" w:color="auto" w:fill="auto"/>
            <w:noWrap/>
            <w:vAlign w:val="bottom"/>
            <w:hideMark/>
          </w:tcPr>
          <w:p w14:paraId="637D06F5"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355</w:t>
            </w:r>
          </w:p>
        </w:tc>
        <w:tc>
          <w:tcPr>
            <w:tcW w:w="1060" w:type="dxa"/>
            <w:tcBorders>
              <w:top w:val="nil"/>
              <w:left w:val="nil"/>
              <w:bottom w:val="nil"/>
              <w:right w:val="nil"/>
            </w:tcBorders>
            <w:shd w:val="clear" w:color="auto" w:fill="auto"/>
            <w:noWrap/>
            <w:vAlign w:val="bottom"/>
            <w:hideMark/>
          </w:tcPr>
          <w:p w14:paraId="4E80D519"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6677</w:t>
            </w:r>
          </w:p>
        </w:tc>
        <w:tc>
          <w:tcPr>
            <w:tcW w:w="1005" w:type="dxa"/>
            <w:tcBorders>
              <w:top w:val="nil"/>
              <w:left w:val="nil"/>
              <w:bottom w:val="nil"/>
              <w:right w:val="nil"/>
            </w:tcBorders>
            <w:shd w:val="clear" w:color="auto" w:fill="auto"/>
            <w:noWrap/>
            <w:vAlign w:val="bottom"/>
            <w:hideMark/>
          </w:tcPr>
          <w:p w14:paraId="3F7BEFBB"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8</w:t>
            </w:r>
          </w:p>
        </w:tc>
        <w:tc>
          <w:tcPr>
            <w:tcW w:w="851" w:type="dxa"/>
            <w:tcBorders>
              <w:top w:val="nil"/>
              <w:left w:val="nil"/>
              <w:bottom w:val="nil"/>
              <w:right w:val="nil"/>
            </w:tcBorders>
            <w:shd w:val="clear" w:color="auto" w:fill="auto"/>
            <w:noWrap/>
            <w:vAlign w:val="bottom"/>
            <w:hideMark/>
          </w:tcPr>
          <w:p w14:paraId="10A8B5FF"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14</w:t>
            </w:r>
          </w:p>
        </w:tc>
        <w:tc>
          <w:tcPr>
            <w:tcW w:w="709" w:type="dxa"/>
            <w:tcBorders>
              <w:top w:val="nil"/>
              <w:left w:val="nil"/>
              <w:bottom w:val="nil"/>
              <w:right w:val="nil"/>
            </w:tcBorders>
            <w:shd w:val="clear" w:color="auto" w:fill="auto"/>
            <w:noWrap/>
            <w:vAlign w:val="bottom"/>
            <w:hideMark/>
          </w:tcPr>
          <w:p w14:paraId="335AC20B"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992" w:type="dxa"/>
            <w:tcBorders>
              <w:top w:val="nil"/>
              <w:left w:val="nil"/>
              <w:bottom w:val="nil"/>
              <w:right w:val="nil"/>
            </w:tcBorders>
            <w:shd w:val="clear" w:color="auto" w:fill="auto"/>
            <w:noWrap/>
            <w:vAlign w:val="bottom"/>
            <w:hideMark/>
          </w:tcPr>
          <w:p w14:paraId="3BD2E1A2"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992" w:type="dxa"/>
            <w:tcBorders>
              <w:top w:val="nil"/>
              <w:left w:val="nil"/>
              <w:bottom w:val="nil"/>
              <w:right w:val="nil"/>
            </w:tcBorders>
            <w:shd w:val="clear" w:color="auto" w:fill="auto"/>
            <w:noWrap/>
            <w:vAlign w:val="bottom"/>
            <w:hideMark/>
          </w:tcPr>
          <w:p w14:paraId="2426E230"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107</w:t>
            </w:r>
          </w:p>
        </w:tc>
        <w:tc>
          <w:tcPr>
            <w:tcW w:w="851" w:type="dxa"/>
            <w:tcBorders>
              <w:top w:val="nil"/>
              <w:left w:val="nil"/>
              <w:bottom w:val="nil"/>
              <w:right w:val="nil"/>
            </w:tcBorders>
            <w:shd w:val="clear" w:color="auto" w:fill="auto"/>
            <w:noWrap/>
            <w:vAlign w:val="bottom"/>
            <w:hideMark/>
          </w:tcPr>
          <w:p w14:paraId="02C01938"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r>
      <w:tr w:rsidR="008B5F0A" w:rsidRPr="00986F85" w14:paraId="6E983E86" w14:textId="77777777" w:rsidTr="0073644F">
        <w:trPr>
          <w:trHeight w:val="280"/>
        </w:trPr>
        <w:tc>
          <w:tcPr>
            <w:tcW w:w="1243" w:type="dxa"/>
            <w:tcBorders>
              <w:top w:val="nil"/>
              <w:left w:val="nil"/>
              <w:bottom w:val="nil"/>
              <w:right w:val="nil"/>
            </w:tcBorders>
            <w:shd w:val="clear" w:color="auto" w:fill="B10000"/>
            <w:noWrap/>
            <w:vAlign w:val="bottom"/>
            <w:hideMark/>
          </w:tcPr>
          <w:p w14:paraId="32E7A43A" w14:textId="77777777" w:rsidR="008B5F0A" w:rsidRPr="00986F85" w:rsidRDefault="008B5F0A" w:rsidP="008B5F0A">
            <w:pPr>
              <w:suppressAutoHyphens w:val="0"/>
              <w:spacing w:after="0" w:line="240" w:lineRule="auto"/>
              <w:rPr>
                <w:rFonts w:eastAsia="Times New Roman" w:cs="Times New Roman"/>
                <w:color w:val="FFFFFF"/>
                <w:sz w:val="22"/>
                <w:lang w:val="en-US" w:eastAsia="en-US"/>
              </w:rPr>
            </w:pPr>
            <w:r w:rsidRPr="00986F85">
              <w:rPr>
                <w:rFonts w:eastAsia="Times New Roman" w:cs="Times New Roman"/>
                <w:color w:val="FFFFFF"/>
                <w:sz w:val="22"/>
                <w:lang w:val="en-US" w:eastAsia="en-US"/>
              </w:rPr>
              <w:t>TÁMOP</w:t>
            </w:r>
          </w:p>
        </w:tc>
        <w:tc>
          <w:tcPr>
            <w:tcW w:w="1243" w:type="dxa"/>
            <w:tcBorders>
              <w:top w:val="nil"/>
              <w:left w:val="nil"/>
              <w:bottom w:val="nil"/>
              <w:right w:val="nil"/>
            </w:tcBorders>
            <w:shd w:val="clear" w:color="auto" w:fill="auto"/>
            <w:noWrap/>
            <w:vAlign w:val="bottom"/>
            <w:hideMark/>
          </w:tcPr>
          <w:p w14:paraId="7B941457"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1060" w:type="dxa"/>
            <w:tcBorders>
              <w:top w:val="nil"/>
              <w:left w:val="nil"/>
              <w:bottom w:val="nil"/>
              <w:right w:val="nil"/>
            </w:tcBorders>
            <w:shd w:val="clear" w:color="auto" w:fill="auto"/>
            <w:noWrap/>
            <w:vAlign w:val="bottom"/>
            <w:hideMark/>
          </w:tcPr>
          <w:p w14:paraId="7ADD548C"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8</w:t>
            </w:r>
          </w:p>
        </w:tc>
        <w:tc>
          <w:tcPr>
            <w:tcW w:w="1005" w:type="dxa"/>
            <w:tcBorders>
              <w:top w:val="nil"/>
              <w:left w:val="nil"/>
              <w:bottom w:val="nil"/>
              <w:right w:val="nil"/>
            </w:tcBorders>
            <w:shd w:val="clear" w:color="auto" w:fill="auto"/>
            <w:noWrap/>
            <w:vAlign w:val="bottom"/>
            <w:hideMark/>
          </w:tcPr>
          <w:p w14:paraId="1801844F"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637</w:t>
            </w:r>
          </w:p>
        </w:tc>
        <w:tc>
          <w:tcPr>
            <w:tcW w:w="851" w:type="dxa"/>
            <w:tcBorders>
              <w:top w:val="nil"/>
              <w:left w:val="nil"/>
              <w:bottom w:val="nil"/>
              <w:right w:val="nil"/>
            </w:tcBorders>
            <w:shd w:val="clear" w:color="auto" w:fill="auto"/>
            <w:noWrap/>
            <w:vAlign w:val="bottom"/>
            <w:hideMark/>
          </w:tcPr>
          <w:p w14:paraId="0D3D9183"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709" w:type="dxa"/>
            <w:tcBorders>
              <w:top w:val="nil"/>
              <w:left w:val="nil"/>
              <w:bottom w:val="nil"/>
              <w:right w:val="nil"/>
            </w:tcBorders>
            <w:shd w:val="clear" w:color="auto" w:fill="auto"/>
            <w:noWrap/>
            <w:vAlign w:val="bottom"/>
            <w:hideMark/>
          </w:tcPr>
          <w:p w14:paraId="0E03F4A8"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992" w:type="dxa"/>
            <w:tcBorders>
              <w:top w:val="nil"/>
              <w:left w:val="nil"/>
              <w:bottom w:val="nil"/>
              <w:right w:val="nil"/>
            </w:tcBorders>
            <w:shd w:val="clear" w:color="auto" w:fill="auto"/>
            <w:noWrap/>
            <w:vAlign w:val="bottom"/>
            <w:hideMark/>
          </w:tcPr>
          <w:p w14:paraId="48CD8EFF"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992" w:type="dxa"/>
            <w:tcBorders>
              <w:top w:val="nil"/>
              <w:left w:val="nil"/>
              <w:bottom w:val="nil"/>
              <w:right w:val="nil"/>
            </w:tcBorders>
            <w:shd w:val="clear" w:color="auto" w:fill="auto"/>
            <w:noWrap/>
            <w:vAlign w:val="bottom"/>
            <w:hideMark/>
          </w:tcPr>
          <w:p w14:paraId="10F3AECC"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2</w:t>
            </w:r>
          </w:p>
        </w:tc>
        <w:tc>
          <w:tcPr>
            <w:tcW w:w="851" w:type="dxa"/>
            <w:tcBorders>
              <w:top w:val="nil"/>
              <w:left w:val="nil"/>
              <w:bottom w:val="nil"/>
              <w:right w:val="nil"/>
            </w:tcBorders>
            <w:shd w:val="clear" w:color="auto" w:fill="auto"/>
            <w:noWrap/>
            <w:vAlign w:val="bottom"/>
            <w:hideMark/>
          </w:tcPr>
          <w:p w14:paraId="6F8579A2"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r>
      <w:tr w:rsidR="008B5F0A" w:rsidRPr="00986F85" w14:paraId="7D42DBDC" w14:textId="77777777" w:rsidTr="0073644F">
        <w:trPr>
          <w:trHeight w:val="280"/>
        </w:trPr>
        <w:tc>
          <w:tcPr>
            <w:tcW w:w="1243" w:type="dxa"/>
            <w:tcBorders>
              <w:top w:val="nil"/>
              <w:left w:val="nil"/>
              <w:bottom w:val="nil"/>
              <w:right w:val="nil"/>
            </w:tcBorders>
            <w:shd w:val="clear" w:color="auto" w:fill="B10000"/>
            <w:noWrap/>
            <w:vAlign w:val="bottom"/>
            <w:hideMark/>
          </w:tcPr>
          <w:p w14:paraId="61A3927D" w14:textId="77777777" w:rsidR="008B5F0A" w:rsidRPr="00986F85" w:rsidRDefault="008B5F0A" w:rsidP="008B5F0A">
            <w:pPr>
              <w:suppressAutoHyphens w:val="0"/>
              <w:spacing w:after="0" w:line="240" w:lineRule="auto"/>
              <w:rPr>
                <w:rFonts w:eastAsia="Times New Roman" w:cs="Times New Roman"/>
                <w:color w:val="FFFFFF"/>
                <w:sz w:val="22"/>
                <w:lang w:val="en-US" w:eastAsia="en-US"/>
              </w:rPr>
            </w:pPr>
            <w:r w:rsidRPr="00986F85">
              <w:rPr>
                <w:rFonts w:eastAsia="Times New Roman" w:cs="Times New Roman"/>
                <w:color w:val="FFFFFF"/>
                <w:sz w:val="22"/>
                <w:lang w:val="en-US" w:eastAsia="en-US"/>
              </w:rPr>
              <w:t>KEOP</w:t>
            </w:r>
          </w:p>
        </w:tc>
        <w:tc>
          <w:tcPr>
            <w:tcW w:w="1243" w:type="dxa"/>
            <w:tcBorders>
              <w:top w:val="nil"/>
              <w:left w:val="nil"/>
              <w:bottom w:val="nil"/>
              <w:right w:val="nil"/>
            </w:tcBorders>
            <w:shd w:val="clear" w:color="auto" w:fill="auto"/>
            <w:noWrap/>
            <w:vAlign w:val="bottom"/>
            <w:hideMark/>
          </w:tcPr>
          <w:p w14:paraId="5B37B055"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1060" w:type="dxa"/>
            <w:tcBorders>
              <w:top w:val="nil"/>
              <w:left w:val="nil"/>
              <w:bottom w:val="nil"/>
              <w:right w:val="nil"/>
            </w:tcBorders>
            <w:shd w:val="clear" w:color="auto" w:fill="auto"/>
            <w:noWrap/>
            <w:vAlign w:val="bottom"/>
            <w:hideMark/>
          </w:tcPr>
          <w:p w14:paraId="02748E71"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1005" w:type="dxa"/>
            <w:tcBorders>
              <w:top w:val="nil"/>
              <w:left w:val="nil"/>
              <w:bottom w:val="nil"/>
              <w:right w:val="nil"/>
            </w:tcBorders>
            <w:shd w:val="clear" w:color="auto" w:fill="auto"/>
            <w:noWrap/>
            <w:vAlign w:val="bottom"/>
            <w:hideMark/>
          </w:tcPr>
          <w:p w14:paraId="4C892532"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851" w:type="dxa"/>
            <w:tcBorders>
              <w:top w:val="nil"/>
              <w:left w:val="nil"/>
              <w:bottom w:val="nil"/>
              <w:right w:val="nil"/>
            </w:tcBorders>
            <w:shd w:val="clear" w:color="auto" w:fill="auto"/>
            <w:noWrap/>
            <w:vAlign w:val="bottom"/>
            <w:hideMark/>
          </w:tcPr>
          <w:p w14:paraId="4464C615"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397</w:t>
            </w:r>
          </w:p>
        </w:tc>
        <w:tc>
          <w:tcPr>
            <w:tcW w:w="709" w:type="dxa"/>
            <w:tcBorders>
              <w:top w:val="nil"/>
              <w:left w:val="nil"/>
              <w:bottom w:val="nil"/>
              <w:right w:val="nil"/>
            </w:tcBorders>
            <w:shd w:val="clear" w:color="auto" w:fill="auto"/>
            <w:noWrap/>
            <w:vAlign w:val="bottom"/>
            <w:hideMark/>
          </w:tcPr>
          <w:p w14:paraId="690FF914"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992" w:type="dxa"/>
            <w:tcBorders>
              <w:top w:val="nil"/>
              <w:left w:val="nil"/>
              <w:bottom w:val="nil"/>
              <w:right w:val="nil"/>
            </w:tcBorders>
            <w:shd w:val="clear" w:color="auto" w:fill="auto"/>
            <w:noWrap/>
            <w:vAlign w:val="bottom"/>
            <w:hideMark/>
          </w:tcPr>
          <w:p w14:paraId="24D37239"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992" w:type="dxa"/>
            <w:tcBorders>
              <w:top w:val="nil"/>
              <w:left w:val="nil"/>
              <w:bottom w:val="nil"/>
              <w:right w:val="nil"/>
            </w:tcBorders>
            <w:shd w:val="clear" w:color="auto" w:fill="auto"/>
            <w:noWrap/>
            <w:vAlign w:val="bottom"/>
            <w:hideMark/>
          </w:tcPr>
          <w:p w14:paraId="5ED1B525"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851" w:type="dxa"/>
            <w:tcBorders>
              <w:top w:val="nil"/>
              <w:left w:val="nil"/>
              <w:bottom w:val="nil"/>
              <w:right w:val="nil"/>
            </w:tcBorders>
            <w:shd w:val="clear" w:color="auto" w:fill="auto"/>
            <w:noWrap/>
            <w:vAlign w:val="bottom"/>
            <w:hideMark/>
          </w:tcPr>
          <w:p w14:paraId="2E1F2E60"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r>
      <w:tr w:rsidR="008B5F0A" w:rsidRPr="00986F85" w14:paraId="1B5467D3" w14:textId="77777777" w:rsidTr="0073644F">
        <w:trPr>
          <w:trHeight w:val="280"/>
        </w:trPr>
        <w:tc>
          <w:tcPr>
            <w:tcW w:w="1243" w:type="dxa"/>
            <w:tcBorders>
              <w:top w:val="nil"/>
              <w:left w:val="nil"/>
              <w:bottom w:val="nil"/>
              <w:right w:val="nil"/>
            </w:tcBorders>
            <w:shd w:val="clear" w:color="auto" w:fill="B10000"/>
            <w:noWrap/>
            <w:vAlign w:val="bottom"/>
            <w:hideMark/>
          </w:tcPr>
          <w:p w14:paraId="08F96F9A" w14:textId="77777777" w:rsidR="008B5F0A" w:rsidRPr="00986F85" w:rsidRDefault="008B5F0A" w:rsidP="008B5F0A">
            <w:pPr>
              <w:suppressAutoHyphens w:val="0"/>
              <w:spacing w:after="0" w:line="240" w:lineRule="auto"/>
              <w:rPr>
                <w:rFonts w:eastAsia="Times New Roman" w:cs="Times New Roman"/>
                <w:color w:val="FFFFFF"/>
                <w:sz w:val="22"/>
                <w:lang w:val="en-US" w:eastAsia="en-US"/>
              </w:rPr>
            </w:pPr>
            <w:r w:rsidRPr="00986F85">
              <w:rPr>
                <w:rFonts w:eastAsia="Times New Roman" w:cs="Times New Roman"/>
                <w:color w:val="FFFFFF"/>
                <w:sz w:val="22"/>
                <w:lang w:val="en-US" w:eastAsia="en-US"/>
              </w:rPr>
              <w:t>TIOP</w:t>
            </w:r>
          </w:p>
        </w:tc>
        <w:tc>
          <w:tcPr>
            <w:tcW w:w="1243" w:type="dxa"/>
            <w:tcBorders>
              <w:top w:val="nil"/>
              <w:left w:val="nil"/>
              <w:bottom w:val="nil"/>
              <w:right w:val="nil"/>
            </w:tcBorders>
            <w:shd w:val="clear" w:color="auto" w:fill="auto"/>
            <w:noWrap/>
            <w:vAlign w:val="bottom"/>
            <w:hideMark/>
          </w:tcPr>
          <w:p w14:paraId="643B10FA"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1060" w:type="dxa"/>
            <w:tcBorders>
              <w:top w:val="nil"/>
              <w:left w:val="nil"/>
              <w:bottom w:val="nil"/>
              <w:right w:val="nil"/>
            </w:tcBorders>
            <w:shd w:val="clear" w:color="auto" w:fill="auto"/>
            <w:noWrap/>
            <w:vAlign w:val="bottom"/>
            <w:hideMark/>
          </w:tcPr>
          <w:p w14:paraId="49074333"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1005" w:type="dxa"/>
            <w:tcBorders>
              <w:top w:val="nil"/>
              <w:left w:val="nil"/>
              <w:bottom w:val="nil"/>
              <w:right w:val="nil"/>
            </w:tcBorders>
            <w:shd w:val="clear" w:color="auto" w:fill="auto"/>
            <w:noWrap/>
            <w:vAlign w:val="bottom"/>
            <w:hideMark/>
          </w:tcPr>
          <w:p w14:paraId="36A9E973"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851" w:type="dxa"/>
            <w:tcBorders>
              <w:top w:val="nil"/>
              <w:left w:val="nil"/>
              <w:bottom w:val="nil"/>
              <w:right w:val="nil"/>
            </w:tcBorders>
            <w:shd w:val="clear" w:color="auto" w:fill="auto"/>
            <w:noWrap/>
            <w:vAlign w:val="bottom"/>
            <w:hideMark/>
          </w:tcPr>
          <w:p w14:paraId="2F6DA62A"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709" w:type="dxa"/>
            <w:tcBorders>
              <w:top w:val="nil"/>
              <w:left w:val="nil"/>
              <w:bottom w:val="nil"/>
              <w:right w:val="nil"/>
            </w:tcBorders>
            <w:shd w:val="clear" w:color="auto" w:fill="auto"/>
            <w:noWrap/>
            <w:vAlign w:val="bottom"/>
            <w:hideMark/>
          </w:tcPr>
          <w:p w14:paraId="1C8C5461"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992" w:type="dxa"/>
            <w:tcBorders>
              <w:top w:val="nil"/>
              <w:left w:val="nil"/>
              <w:bottom w:val="nil"/>
              <w:right w:val="nil"/>
            </w:tcBorders>
            <w:shd w:val="clear" w:color="auto" w:fill="auto"/>
            <w:noWrap/>
            <w:vAlign w:val="bottom"/>
            <w:hideMark/>
          </w:tcPr>
          <w:p w14:paraId="4E8DCCC7"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992" w:type="dxa"/>
            <w:tcBorders>
              <w:top w:val="nil"/>
              <w:left w:val="nil"/>
              <w:bottom w:val="nil"/>
              <w:right w:val="nil"/>
            </w:tcBorders>
            <w:shd w:val="clear" w:color="auto" w:fill="auto"/>
            <w:noWrap/>
            <w:vAlign w:val="bottom"/>
            <w:hideMark/>
          </w:tcPr>
          <w:p w14:paraId="30F5C955"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851" w:type="dxa"/>
            <w:tcBorders>
              <w:top w:val="nil"/>
              <w:left w:val="nil"/>
              <w:bottom w:val="nil"/>
              <w:right w:val="nil"/>
            </w:tcBorders>
            <w:shd w:val="clear" w:color="auto" w:fill="auto"/>
            <w:noWrap/>
            <w:vAlign w:val="bottom"/>
            <w:hideMark/>
          </w:tcPr>
          <w:p w14:paraId="60398FF4"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r>
      <w:tr w:rsidR="008B5F0A" w:rsidRPr="00986F85" w14:paraId="39FBAE56" w14:textId="77777777" w:rsidTr="0073644F">
        <w:trPr>
          <w:trHeight w:val="280"/>
        </w:trPr>
        <w:tc>
          <w:tcPr>
            <w:tcW w:w="1243" w:type="dxa"/>
            <w:tcBorders>
              <w:top w:val="nil"/>
              <w:left w:val="nil"/>
              <w:bottom w:val="nil"/>
              <w:right w:val="nil"/>
            </w:tcBorders>
            <w:shd w:val="clear" w:color="auto" w:fill="B10000"/>
            <w:noWrap/>
            <w:vAlign w:val="bottom"/>
            <w:hideMark/>
          </w:tcPr>
          <w:p w14:paraId="101FB783" w14:textId="77777777" w:rsidR="008B5F0A" w:rsidRPr="00986F85" w:rsidRDefault="008B5F0A" w:rsidP="008B5F0A">
            <w:pPr>
              <w:suppressAutoHyphens w:val="0"/>
              <w:spacing w:after="0" w:line="240" w:lineRule="auto"/>
              <w:rPr>
                <w:rFonts w:eastAsia="Times New Roman" w:cs="Times New Roman"/>
                <w:color w:val="FFFFFF"/>
                <w:sz w:val="22"/>
                <w:lang w:val="en-US" w:eastAsia="en-US"/>
              </w:rPr>
            </w:pPr>
            <w:r w:rsidRPr="00986F85">
              <w:rPr>
                <w:rFonts w:eastAsia="Times New Roman" w:cs="Times New Roman"/>
                <w:color w:val="FFFFFF"/>
                <w:sz w:val="22"/>
                <w:lang w:val="en-US" w:eastAsia="en-US"/>
              </w:rPr>
              <w:t>KÖZOP</w:t>
            </w:r>
          </w:p>
        </w:tc>
        <w:tc>
          <w:tcPr>
            <w:tcW w:w="1243" w:type="dxa"/>
            <w:tcBorders>
              <w:top w:val="nil"/>
              <w:left w:val="nil"/>
              <w:bottom w:val="nil"/>
              <w:right w:val="nil"/>
            </w:tcBorders>
            <w:shd w:val="clear" w:color="auto" w:fill="auto"/>
            <w:noWrap/>
            <w:vAlign w:val="bottom"/>
            <w:hideMark/>
          </w:tcPr>
          <w:p w14:paraId="2BCFD65C"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1060" w:type="dxa"/>
            <w:tcBorders>
              <w:top w:val="nil"/>
              <w:left w:val="nil"/>
              <w:bottom w:val="nil"/>
              <w:right w:val="nil"/>
            </w:tcBorders>
            <w:shd w:val="clear" w:color="auto" w:fill="auto"/>
            <w:noWrap/>
            <w:vAlign w:val="bottom"/>
            <w:hideMark/>
          </w:tcPr>
          <w:p w14:paraId="5F5F62FC"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1005" w:type="dxa"/>
            <w:tcBorders>
              <w:top w:val="nil"/>
              <w:left w:val="nil"/>
              <w:bottom w:val="nil"/>
              <w:right w:val="nil"/>
            </w:tcBorders>
            <w:shd w:val="clear" w:color="auto" w:fill="auto"/>
            <w:noWrap/>
            <w:vAlign w:val="bottom"/>
            <w:hideMark/>
          </w:tcPr>
          <w:p w14:paraId="69653609"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851" w:type="dxa"/>
            <w:tcBorders>
              <w:top w:val="nil"/>
              <w:left w:val="nil"/>
              <w:bottom w:val="nil"/>
              <w:right w:val="nil"/>
            </w:tcBorders>
            <w:shd w:val="clear" w:color="auto" w:fill="auto"/>
            <w:noWrap/>
            <w:vAlign w:val="bottom"/>
            <w:hideMark/>
          </w:tcPr>
          <w:p w14:paraId="6AD6E4F6"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709" w:type="dxa"/>
            <w:tcBorders>
              <w:top w:val="nil"/>
              <w:left w:val="nil"/>
              <w:bottom w:val="nil"/>
              <w:right w:val="nil"/>
            </w:tcBorders>
            <w:shd w:val="clear" w:color="auto" w:fill="auto"/>
            <w:noWrap/>
            <w:vAlign w:val="bottom"/>
            <w:hideMark/>
          </w:tcPr>
          <w:p w14:paraId="511AAE92"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992" w:type="dxa"/>
            <w:tcBorders>
              <w:top w:val="nil"/>
              <w:left w:val="nil"/>
              <w:bottom w:val="nil"/>
              <w:right w:val="nil"/>
            </w:tcBorders>
            <w:shd w:val="clear" w:color="auto" w:fill="auto"/>
            <w:noWrap/>
            <w:vAlign w:val="bottom"/>
            <w:hideMark/>
          </w:tcPr>
          <w:p w14:paraId="07A804F6"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992" w:type="dxa"/>
            <w:tcBorders>
              <w:top w:val="nil"/>
              <w:left w:val="nil"/>
              <w:bottom w:val="nil"/>
              <w:right w:val="nil"/>
            </w:tcBorders>
            <w:shd w:val="clear" w:color="auto" w:fill="auto"/>
            <w:noWrap/>
            <w:vAlign w:val="bottom"/>
            <w:hideMark/>
          </w:tcPr>
          <w:p w14:paraId="53D316C0"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851" w:type="dxa"/>
            <w:tcBorders>
              <w:top w:val="nil"/>
              <w:left w:val="nil"/>
              <w:bottom w:val="nil"/>
              <w:right w:val="nil"/>
            </w:tcBorders>
            <w:shd w:val="clear" w:color="auto" w:fill="auto"/>
            <w:noWrap/>
            <w:vAlign w:val="bottom"/>
            <w:hideMark/>
          </w:tcPr>
          <w:p w14:paraId="641CA53B"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r>
      <w:tr w:rsidR="008B5F0A" w:rsidRPr="00986F85" w14:paraId="091D55F9" w14:textId="77777777" w:rsidTr="0073644F">
        <w:trPr>
          <w:trHeight w:val="280"/>
        </w:trPr>
        <w:tc>
          <w:tcPr>
            <w:tcW w:w="1243" w:type="dxa"/>
            <w:tcBorders>
              <w:top w:val="nil"/>
              <w:left w:val="nil"/>
              <w:bottom w:val="nil"/>
              <w:right w:val="nil"/>
            </w:tcBorders>
            <w:shd w:val="clear" w:color="auto" w:fill="B10000"/>
            <w:noWrap/>
            <w:vAlign w:val="bottom"/>
            <w:hideMark/>
          </w:tcPr>
          <w:p w14:paraId="075BF449" w14:textId="77777777" w:rsidR="008B5F0A" w:rsidRPr="00986F85" w:rsidRDefault="008B5F0A" w:rsidP="008B5F0A">
            <w:pPr>
              <w:suppressAutoHyphens w:val="0"/>
              <w:spacing w:after="0" w:line="240" w:lineRule="auto"/>
              <w:rPr>
                <w:rFonts w:eastAsia="Times New Roman" w:cs="Times New Roman"/>
                <w:color w:val="FFFFFF"/>
                <w:sz w:val="22"/>
                <w:lang w:val="en-US" w:eastAsia="en-US"/>
              </w:rPr>
            </w:pPr>
            <w:r w:rsidRPr="00986F85">
              <w:rPr>
                <w:rFonts w:eastAsia="Times New Roman" w:cs="Times New Roman"/>
                <w:color w:val="FFFFFF"/>
                <w:sz w:val="22"/>
                <w:lang w:val="en-US" w:eastAsia="en-US"/>
              </w:rPr>
              <w:t>ROP-ok</w:t>
            </w:r>
          </w:p>
        </w:tc>
        <w:tc>
          <w:tcPr>
            <w:tcW w:w="1243" w:type="dxa"/>
            <w:tcBorders>
              <w:top w:val="nil"/>
              <w:left w:val="nil"/>
              <w:bottom w:val="nil"/>
              <w:right w:val="nil"/>
            </w:tcBorders>
            <w:shd w:val="clear" w:color="auto" w:fill="auto"/>
            <w:noWrap/>
            <w:vAlign w:val="bottom"/>
            <w:hideMark/>
          </w:tcPr>
          <w:p w14:paraId="6DB73C3B"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1060" w:type="dxa"/>
            <w:tcBorders>
              <w:top w:val="nil"/>
              <w:left w:val="nil"/>
              <w:bottom w:val="nil"/>
              <w:right w:val="nil"/>
            </w:tcBorders>
            <w:shd w:val="clear" w:color="auto" w:fill="auto"/>
            <w:noWrap/>
            <w:vAlign w:val="bottom"/>
            <w:hideMark/>
          </w:tcPr>
          <w:p w14:paraId="298E879D"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107</w:t>
            </w:r>
          </w:p>
        </w:tc>
        <w:tc>
          <w:tcPr>
            <w:tcW w:w="1005" w:type="dxa"/>
            <w:tcBorders>
              <w:top w:val="nil"/>
              <w:left w:val="nil"/>
              <w:bottom w:val="nil"/>
              <w:right w:val="nil"/>
            </w:tcBorders>
            <w:shd w:val="clear" w:color="auto" w:fill="auto"/>
            <w:noWrap/>
            <w:vAlign w:val="bottom"/>
            <w:hideMark/>
          </w:tcPr>
          <w:p w14:paraId="5BF56654"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2</w:t>
            </w:r>
          </w:p>
        </w:tc>
        <w:tc>
          <w:tcPr>
            <w:tcW w:w="851" w:type="dxa"/>
            <w:tcBorders>
              <w:top w:val="nil"/>
              <w:left w:val="nil"/>
              <w:bottom w:val="nil"/>
              <w:right w:val="nil"/>
            </w:tcBorders>
            <w:shd w:val="clear" w:color="auto" w:fill="auto"/>
            <w:noWrap/>
            <w:vAlign w:val="bottom"/>
            <w:hideMark/>
          </w:tcPr>
          <w:p w14:paraId="70638B9D"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709" w:type="dxa"/>
            <w:tcBorders>
              <w:top w:val="nil"/>
              <w:left w:val="nil"/>
              <w:bottom w:val="nil"/>
              <w:right w:val="nil"/>
            </w:tcBorders>
            <w:shd w:val="clear" w:color="auto" w:fill="auto"/>
            <w:noWrap/>
            <w:vAlign w:val="bottom"/>
            <w:hideMark/>
          </w:tcPr>
          <w:p w14:paraId="35F003D7"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992" w:type="dxa"/>
            <w:tcBorders>
              <w:top w:val="nil"/>
              <w:left w:val="nil"/>
              <w:bottom w:val="nil"/>
              <w:right w:val="nil"/>
            </w:tcBorders>
            <w:shd w:val="clear" w:color="auto" w:fill="auto"/>
            <w:noWrap/>
            <w:vAlign w:val="bottom"/>
            <w:hideMark/>
          </w:tcPr>
          <w:p w14:paraId="53D0280B"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992" w:type="dxa"/>
            <w:tcBorders>
              <w:top w:val="nil"/>
              <w:left w:val="nil"/>
              <w:bottom w:val="nil"/>
              <w:right w:val="nil"/>
            </w:tcBorders>
            <w:shd w:val="clear" w:color="auto" w:fill="auto"/>
            <w:noWrap/>
            <w:vAlign w:val="bottom"/>
            <w:hideMark/>
          </w:tcPr>
          <w:p w14:paraId="739D1F23"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4112</w:t>
            </w:r>
          </w:p>
        </w:tc>
        <w:tc>
          <w:tcPr>
            <w:tcW w:w="851" w:type="dxa"/>
            <w:tcBorders>
              <w:top w:val="nil"/>
              <w:left w:val="nil"/>
              <w:bottom w:val="nil"/>
              <w:right w:val="nil"/>
            </w:tcBorders>
            <w:shd w:val="clear" w:color="auto" w:fill="auto"/>
            <w:noWrap/>
            <w:vAlign w:val="bottom"/>
            <w:hideMark/>
          </w:tcPr>
          <w:p w14:paraId="6DC06631"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r>
      <w:tr w:rsidR="008B5F0A" w:rsidRPr="00986F85" w14:paraId="280C797C" w14:textId="77777777" w:rsidTr="0073644F">
        <w:trPr>
          <w:trHeight w:val="280"/>
        </w:trPr>
        <w:tc>
          <w:tcPr>
            <w:tcW w:w="1243" w:type="dxa"/>
            <w:tcBorders>
              <w:top w:val="nil"/>
              <w:left w:val="nil"/>
              <w:bottom w:val="nil"/>
              <w:right w:val="nil"/>
            </w:tcBorders>
            <w:shd w:val="clear" w:color="auto" w:fill="B10000"/>
            <w:noWrap/>
            <w:vAlign w:val="bottom"/>
            <w:hideMark/>
          </w:tcPr>
          <w:p w14:paraId="4577E1C9" w14:textId="77777777" w:rsidR="008B5F0A" w:rsidRPr="00986F85" w:rsidRDefault="008B5F0A" w:rsidP="008B5F0A">
            <w:pPr>
              <w:suppressAutoHyphens w:val="0"/>
              <w:spacing w:after="0" w:line="240" w:lineRule="auto"/>
              <w:rPr>
                <w:rFonts w:eastAsia="Times New Roman" w:cs="Times New Roman"/>
                <w:color w:val="FFFFFF"/>
                <w:sz w:val="22"/>
                <w:lang w:val="en-US" w:eastAsia="en-US"/>
              </w:rPr>
            </w:pPr>
            <w:r w:rsidRPr="00986F85">
              <w:rPr>
                <w:rFonts w:eastAsia="Times New Roman" w:cs="Times New Roman"/>
                <w:color w:val="FFFFFF"/>
                <w:sz w:val="22"/>
                <w:lang w:val="en-US" w:eastAsia="en-US"/>
              </w:rPr>
              <w:t>Egyéb</w:t>
            </w:r>
          </w:p>
        </w:tc>
        <w:tc>
          <w:tcPr>
            <w:tcW w:w="1243" w:type="dxa"/>
            <w:tcBorders>
              <w:top w:val="nil"/>
              <w:left w:val="nil"/>
              <w:bottom w:val="nil"/>
              <w:right w:val="nil"/>
            </w:tcBorders>
            <w:shd w:val="clear" w:color="auto" w:fill="auto"/>
            <w:noWrap/>
            <w:vAlign w:val="bottom"/>
            <w:hideMark/>
          </w:tcPr>
          <w:p w14:paraId="231DBBEE"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1060" w:type="dxa"/>
            <w:tcBorders>
              <w:top w:val="nil"/>
              <w:left w:val="nil"/>
              <w:bottom w:val="nil"/>
              <w:right w:val="nil"/>
            </w:tcBorders>
            <w:shd w:val="clear" w:color="auto" w:fill="auto"/>
            <w:noWrap/>
            <w:vAlign w:val="bottom"/>
            <w:hideMark/>
          </w:tcPr>
          <w:p w14:paraId="46BF601E"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1005" w:type="dxa"/>
            <w:tcBorders>
              <w:top w:val="nil"/>
              <w:left w:val="nil"/>
              <w:bottom w:val="nil"/>
              <w:right w:val="nil"/>
            </w:tcBorders>
            <w:shd w:val="clear" w:color="auto" w:fill="auto"/>
            <w:noWrap/>
            <w:vAlign w:val="bottom"/>
            <w:hideMark/>
          </w:tcPr>
          <w:p w14:paraId="36D743C1"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851" w:type="dxa"/>
            <w:tcBorders>
              <w:top w:val="nil"/>
              <w:left w:val="nil"/>
              <w:bottom w:val="nil"/>
              <w:right w:val="nil"/>
            </w:tcBorders>
            <w:shd w:val="clear" w:color="auto" w:fill="auto"/>
            <w:noWrap/>
            <w:vAlign w:val="bottom"/>
            <w:hideMark/>
          </w:tcPr>
          <w:p w14:paraId="7B4F0951"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709" w:type="dxa"/>
            <w:tcBorders>
              <w:top w:val="nil"/>
              <w:left w:val="nil"/>
              <w:bottom w:val="nil"/>
              <w:right w:val="nil"/>
            </w:tcBorders>
            <w:shd w:val="clear" w:color="auto" w:fill="auto"/>
            <w:noWrap/>
            <w:vAlign w:val="bottom"/>
            <w:hideMark/>
          </w:tcPr>
          <w:p w14:paraId="22257033"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992" w:type="dxa"/>
            <w:tcBorders>
              <w:top w:val="nil"/>
              <w:left w:val="nil"/>
              <w:bottom w:val="nil"/>
              <w:right w:val="nil"/>
            </w:tcBorders>
            <w:shd w:val="clear" w:color="auto" w:fill="auto"/>
            <w:noWrap/>
            <w:vAlign w:val="bottom"/>
            <w:hideMark/>
          </w:tcPr>
          <w:p w14:paraId="114E0D1A"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992" w:type="dxa"/>
            <w:tcBorders>
              <w:top w:val="nil"/>
              <w:left w:val="nil"/>
              <w:bottom w:val="nil"/>
              <w:right w:val="nil"/>
            </w:tcBorders>
            <w:shd w:val="clear" w:color="auto" w:fill="auto"/>
            <w:noWrap/>
            <w:vAlign w:val="bottom"/>
            <w:hideMark/>
          </w:tcPr>
          <w:p w14:paraId="7A59573D"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851" w:type="dxa"/>
            <w:tcBorders>
              <w:top w:val="nil"/>
              <w:left w:val="nil"/>
              <w:bottom w:val="nil"/>
              <w:right w:val="nil"/>
            </w:tcBorders>
            <w:shd w:val="clear" w:color="auto" w:fill="auto"/>
            <w:noWrap/>
            <w:vAlign w:val="bottom"/>
            <w:hideMark/>
          </w:tcPr>
          <w:p w14:paraId="5074B339" w14:textId="77777777" w:rsidR="008B5F0A" w:rsidRPr="00986F85" w:rsidRDefault="008B5F0A" w:rsidP="008B5F0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8874</w:t>
            </w:r>
          </w:p>
        </w:tc>
      </w:tr>
    </w:tbl>
    <w:p w14:paraId="019D537B" w14:textId="77777777" w:rsidR="00AF58D1" w:rsidRPr="00986F85" w:rsidRDefault="00AF58D1" w:rsidP="00B04415">
      <w:pPr>
        <w:spacing w:after="0" w:line="360" w:lineRule="auto"/>
        <w:jc w:val="both"/>
        <w:rPr>
          <w:rFonts w:cs="Times New Roman"/>
          <w:szCs w:val="24"/>
        </w:rPr>
      </w:pPr>
    </w:p>
    <w:p w14:paraId="0B984976" w14:textId="77777777" w:rsidR="005146AC" w:rsidRPr="00986F85" w:rsidRDefault="0073644F" w:rsidP="0073644F">
      <w:pPr>
        <w:spacing w:after="0" w:line="240" w:lineRule="auto"/>
        <w:jc w:val="center"/>
        <w:rPr>
          <w:rFonts w:cs="Times New Roman"/>
          <w:i/>
          <w:szCs w:val="24"/>
        </w:rPr>
      </w:pPr>
      <w:r w:rsidRPr="00986F85">
        <w:rPr>
          <w:rFonts w:cs="Times New Roman"/>
          <w:i/>
          <w:szCs w:val="24"/>
        </w:rPr>
        <w:t>Forrás: EMIR</w:t>
      </w:r>
      <w:r w:rsidR="005146AC" w:rsidRPr="00986F85">
        <w:rPr>
          <w:rFonts w:cs="Times New Roman"/>
          <w:i/>
          <w:szCs w:val="24"/>
        </w:rPr>
        <w:t xml:space="preserve"> adatbázis</w:t>
      </w:r>
    </w:p>
    <w:p w14:paraId="6C46FB0C" w14:textId="77777777" w:rsidR="00602115" w:rsidRPr="00986F85" w:rsidRDefault="00602115" w:rsidP="00602115">
      <w:pPr>
        <w:spacing w:after="0" w:line="240" w:lineRule="auto"/>
        <w:jc w:val="both"/>
        <w:rPr>
          <w:rFonts w:cs="Times New Roman"/>
          <w:i/>
          <w:szCs w:val="24"/>
        </w:rPr>
      </w:pPr>
      <w:r w:rsidRPr="00986F85">
        <w:rPr>
          <w:rFonts w:cs="Times New Roman"/>
          <w:i/>
          <w:szCs w:val="24"/>
        </w:rPr>
        <w:t xml:space="preserve">Magyarázat: Az ’Egyéb’ program alatt az EMIR lekérdezésben szereplő, korábbi periódus (2004-2006) operatív programjai, illetve az Agrár- és Vidékfejlesztési Operatív Program szerepel. </w:t>
      </w:r>
    </w:p>
    <w:p w14:paraId="7A19F620" w14:textId="77777777" w:rsidR="00602115" w:rsidRPr="00986F85" w:rsidRDefault="00602115" w:rsidP="00602115">
      <w:pPr>
        <w:spacing w:after="0" w:line="240" w:lineRule="auto"/>
        <w:jc w:val="both"/>
        <w:rPr>
          <w:rFonts w:cs="Times New Roman"/>
          <w:i/>
          <w:szCs w:val="24"/>
        </w:rPr>
      </w:pPr>
      <w:r w:rsidRPr="00986F85">
        <w:rPr>
          <w:rFonts w:cs="Times New Roman"/>
          <w:i/>
          <w:szCs w:val="24"/>
        </w:rPr>
        <w:t>Megjegyzés: A kimutatás a 2004-2006 és 2007-2013 közötti időszak különböző operatív programjaiban nyertes cégeket és pályázatokat tartalmazó, 2011. év végi lehívással rendelkezésünkre bocsátott EMIR adatbázis alapján készült. Az adatbázisban számottevő a hibásan kódolt pályázati rekord, azaz olyan adatsor, melyben például a pályázati kód, a pályázat nyerésének éve, és a kiírás kódja nem egyezik meg. Így</w:t>
      </w:r>
      <w:r w:rsidR="00245514" w:rsidRPr="00986F85">
        <w:rPr>
          <w:rFonts w:cs="Times New Roman"/>
          <w:i/>
          <w:szCs w:val="24"/>
        </w:rPr>
        <w:t xml:space="preserve"> a fenti számok csak irányadóként értelmezhetők</w:t>
      </w:r>
      <w:r w:rsidRPr="00986F85">
        <w:rPr>
          <w:rFonts w:cs="Times New Roman"/>
          <w:i/>
          <w:szCs w:val="24"/>
        </w:rPr>
        <w:t>!</w:t>
      </w:r>
    </w:p>
    <w:p w14:paraId="51042E79" w14:textId="77777777" w:rsidR="0016689B" w:rsidRPr="00986F85" w:rsidRDefault="0016689B" w:rsidP="00B04415">
      <w:pPr>
        <w:spacing w:after="0" w:line="360" w:lineRule="auto"/>
        <w:jc w:val="both"/>
        <w:rPr>
          <w:rFonts w:cs="Times New Roman"/>
          <w:szCs w:val="24"/>
        </w:rPr>
      </w:pPr>
    </w:p>
    <w:p w14:paraId="2877B3BF" w14:textId="77777777" w:rsidR="00B13E73" w:rsidRPr="00986F85" w:rsidRDefault="0016689B" w:rsidP="00B04415">
      <w:pPr>
        <w:spacing w:after="0" w:line="360" w:lineRule="auto"/>
        <w:jc w:val="both"/>
        <w:rPr>
          <w:rFonts w:cs="Times New Roman"/>
          <w:szCs w:val="24"/>
        </w:rPr>
      </w:pPr>
      <w:r w:rsidRPr="00986F85">
        <w:rPr>
          <w:rFonts w:cs="Times New Roman"/>
          <w:szCs w:val="24"/>
        </w:rPr>
        <w:t>Egyúttal vizsgál</w:t>
      </w:r>
      <w:r w:rsidR="00A25446" w:rsidRPr="00986F85">
        <w:rPr>
          <w:rFonts w:cs="Times New Roman"/>
          <w:szCs w:val="24"/>
        </w:rPr>
        <w:t xml:space="preserve">ni terveztük </w:t>
      </w:r>
      <w:r w:rsidRPr="00986F85">
        <w:rPr>
          <w:rFonts w:cs="Times New Roman"/>
          <w:szCs w:val="24"/>
        </w:rPr>
        <w:t xml:space="preserve">a </w:t>
      </w:r>
      <w:r w:rsidR="00045267" w:rsidRPr="00986F85">
        <w:rPr>
          <w:rFonts w:cs="Times New Roman"/>
          <w:szCs w:val="24"/>
        </w:rPr>
        <w:t>halmozottan nyertes pályázó cégek vállalati jellemzőit</w:t>
      </w:r>
      <w:r w:rsidR="00A25446" w:rsidRPr="00986F85">
        <w:rPr>
          <w:rFonts w:cs="Times New Roman"/>
          <w:szCs w:val="24"/>
        </w:rPr>
        <w:t xml:space="preserve">. </w:t>
      </w:r>
      <w:r w:rsidR="002133DF" w:rsidRPr="00986F85">
        <w:rPr>
          <w:rFonts w:cs="Times New Roman"/>
          <w:szCs w:val="24"/>
        </w:rPr>
        <w:t xml:space="preserve">A vállalati mérlegadatokat is tartalmazó, összekapcsolt EMIR-NAV adatbázis hiányosságai azonban </w:t>
      </w:r>
      <w:r w:rsidR="00B13E73" w:rsidRPr="00986F85">
        <w:rPr>
          <w:rFonts w:cs="Times New Roman"/>
          <w:szCs w:val="24"/>
        </w:rPr>
        <w:t xml:space="preserve">nem teszik lehetővé </w:t>
      </w:r>
      <w:r w:rsidR="002133DF" w:rsidRPr="00986F85">
        <w:rPr>
          <w:rFonts w:cs="Times New Roman"/>
          <w:szCs w:val="24"/>
        </w:rPr>
        <w:t>a halmozottan pályázók vállalati ismérveinek mélyebb elemzését (</w:t>
      </w:r>
      <w:r w:rsidR="00F458A0" w:rsidRPr="00986F85">
        <w:rPr>
          <w:rFonts w:cs="Times New Roman"/>
          <w:szCs w:val="24"/>
        </w:rPr>
        <w:t xml:space="preserve">részletesebben </w:t>
      </w:r>
      <w:r w:rsidR="002133DF" w:rsidRPr="00986F85">
        <w:rPr>
          <w:rFonts w:cs="Times New Roman"/>
          <w:szCs w:val="24"/>
        </w:rPr>
        <w:t xml:space="preserve">lásd </w:t>
      </w:r>
      <w:r w:rsidR="00F458A0" w:rsidRPr="00986F85">
        <w:rPr>
          <w:rFonts w:cs="Times New Roman"/>
          <w:szCs w:val="24"/>
        </w:rPr>
        <w:t xml:space="preserve">8.táblázat fentebb). </w:t>
      </w:r>
    </w:p>
    <w:p w14:paraId="13376D6C" w14:textId="77777777" w:rsidR="00B13E73" w:rsidRPr="00986F85" w:rsidRDefault="00B13E73" w:rsidP="00B04415">
      <w:pPr>
        <w:spacing w:after="0" w:line="360" w:lineRule="auto"/>
        <w:jc w:val="both"/>
        <w:rPr>
          <w:rFonts w:cs="Times New Roman"/>
          <w:szCs w:val="24"/>
        </w:rPr>
      </w:pPr>
    </w:p>
    <w:p w14:paraId="506D8334" w14:textId="77777777" w:rsidR="00A05709" w:rsidRPr="00986F85" w:rsidRDefault="0010663A" w:rsidP="00B04415">
      <w:pPr>
        <w:spacing w:after="0" w:line="360" w:lineRule="auto"/>
        <w:jc w:val="both"/>
        <w:rPr>
          <w:rFonts w:cs="Times New Roman"/>
          <w:szCs w:val="24"/>
        </w:rPr>
      </w:pPr>
      <w:r w:rsidRPr="00986F85">
        <w:rPr>
          <w:rFonts w:cs="Times New Roman"/>
          <w:szCs w:val="24"/>
        </w:rPr>
        <w:t xml:space="preserve">A vállalati mérlegadatokat, ágazati és területi ismérveket is tartalmazó szűkített adatbázison alapján </w:t>
      </w:r>
      <w:r w:rsidR="00B13E73" w:rsidRPr="00986F85">
        <w:rPr>
          <w:rFonts w:cs="Times New Roman"/>
          <w:szCs w:val="24"/>
        </w:rPr>
        <w:t>azt kapjuk</w:t>
      </w:r>
      <w:r w:rsidRPr="00986F85">
        <w:rPr>
          <w:rFonts w:cs="Times New Roman"/>
          <w:szCs w:val="24"/>
        </w:rPr>
        <w:t>, hogy a</w:t>
      </w:r>
      <w:r w:rsidR="00DF2F35" w:rsidRPr="00986F85">
        <w:rPr>
          <w:rFonts w:cs="Times New Roman"/>
          <w:szCs w:val="24"/>
        </w:rPr>
        <w:t xml:space="preserve"> halmozottan pályázók nagyjából egyenletesen oszlanak meg a régiók között</w:t>
      </w:r>
      <w:r w:rsidR="00B0372A" w:rsidRPr="00986F85">
        <w:rPr>
          <w:rFonts w:cs="Times New Roman"/>
          <w:szCs w:val="24"/>
        </w:rPr>
        <w:t>, a Nyugat-Dunántúlt kivéve, mely ezen cégek 20 százalékát adja. Az érintett cégek 65 százaléka maximum 9 fő foglalkoztatottal rendelkezik, és iparági arányuk nem tér el jelentősen a nyertes sokaságban megfigyelhető eloszlástól.</w:t>
      </w:r>
      <w:r w:rsidR="00045267" w:rsidRPr="00986F85">
        <w:rPr>
          <w:rFonts w:cs="Times New Roman"/>
          <w:szCs w:val="24"/>
        </w:rPr>
        <w:t xml:space="preserve"> </w:t>
      </w:r>
      <w:r w:rsidR="00114FC5" w:rsidRPr="00986F85">
        <w:rPr>
          <w:rFonts w:cs="Times New Roman"/>
          <w:szCs w:val="24"/>
        </w:rPr>
        <w:t xml:space="preserve">Ezen leíró eredményeken túlmutató, regressziós elemzés csak </w:t>
      </w:r>
      <w:r w:rsidR="00CD0A37" w:rsidRPr="00986F85">
        <w:rPr>
          <w:rFonts w:cs="Times New Roman"/>
          <w:szCs w:val="24"/>
        </w:rPr>
        <w:t xml:space="preserve">hiánytalan, összekapcsolt adatbázison </w:t>
      </w:r>
      <w:r w:rsidR="00114FC5" w:rsidRPr="00986F85">
        <w:rPr>
          <w:rFonts w:cs="Times New Roman"/>
          <w:szCs w:val="24"/>
        </w:rPr>
        <w:t xml:space="preserve">végezhető el, így jövőbeni vizsgálatok feladata. </w:t>
      </w:r>
    </w:p>
    <w:p w14:paraId="144F39DC" w14:textId="77777777" w:rsidR="00DF2F35" w:rsidRPr="00986F85" w:rsidRDefault="00DF2F35" w:rsidP="00B04415">
      <w:pPr>
        <w:spacing w:after="0" w:line="360" w:lineRule="auto"/>
        <w:jc w:val="both"/>
        <w:rPr>
          <w:rFonts w:cs="Times New Roman"/>
          <w:szCs w:val="24"/>
        </w:rPr>
      </w:pPr>
    </w:p>
    <w:p w14:paraId="3E6B69D7" w14:textId="77777777" w:rsidR="006B1832" w:rsidRPr="00986F85" w:rsidRDefault="00485365" w:rsidP="00B04415">
      <w:pPr>
        <w:spacing w:after="0" w:line="360" w:lineRule="auto"/>
        <w:jc w:val="both"/>
        <w:rPr>
          <w:rFonts w:cs="Times New Roman"/>
          <w:szCs w:val="24"/>
        </w:rPr>
      </w:pPr>
      <w:r w:rsidRPr="00986F85">
        <w:rPr>
          <w:rFonts w:cs="Times New Roman"/>
          <w:szCs w:val="24"/>
        </w:rPr>
        <w:lastRenderedPageBreak/>
        <w:t>A GOP és KMOP nyertesek keresztpályázatai (más ágazati OP-k alatti nyertes pályázataik) elemzése nem m</w:t>
      </w:r>
      <w:r w:rsidR="00295762" w:rsidRPr="00986F85">
        <w:rPr>
          <w:rFonts w:cs="Times New Roman"/>
          <w:szCs w:val="24"/>
        </w:rPr>
        <w:t>utatott ki egyértelmű mintákat, viszont az alábbi táblázat szerinti számosság figyelhető meg.</w:t>
      </w:r>
    </w:p>
    <w:p w14:paraId="39C82A6F" w14:textId="77777777" w:rsidR="00AC3744" w:rsidRPr="00986F85" w:rsidRDefault="005657E8" w:rsidP="00803884">
      <w:pPr>
        <w:pStyle w:val="Kpalrs"/>
        <w:keepNext/>
        <w:jc w:val="center"/>
      </w:pPr>
      <w:fldSimple w:instr=" SEQ táblázat \* ARABIC ">
        <w:bookmarkStart w:id="44" w:name="_Toc230854358"/>
        <w:r w:rsidR="00255252" w:rsidRPr="00986F85">
          <w:rPr>
            <w:noProof/>
          </w:rPr>
          <w:t>13</w:t>
        </w:r>
      </w:fldSimple>
      <w:r w:rsidR="006043F1" w:rsidRPr="00986F85">
        <w:t>. táblázat</w:t>
      </w:r>
      <w:r w:rsidR="00612BA8" w:rsidRPr="00986F85">
        <w:t xml:space="preserve">: A GOP2.1.1. A és a KMOP1.2.1. A </w:t>
      </w:r>
      <w:r w:rsidR="00803884" w:rsidRPr="00986F85">
        <w:t>konstrukciókon kívül más OP keretében nyertes pályázatokkal rendelkező cégek</w:t>
      </w:r>
      <w:bookmarkEnd w:id="44"/>
    </w:p>
    <w:tbl>
      <w:tblPr>
        <w:tblW w:w="9087" w:type="dxa"/>
        <w:tblInd w:w="93" w:type="dxa"/>
        <w:tblLayout w:type="fixed"/>
        <w:tblLook w:val="04A0" w:firstRow="1" w:lastRow="0" w:firstColumn="1" w:lastColumn="0" w:noHBand="0" w:noVBand="1"/>
      </w:tblPr>
      <w:tblGrid>
        <w:gridCol w:w="1575"/>
        <w:gridCol w:w="992"/>
        <w:gridCol w:w="1134"/>
        <w:gridCol w:w="992"/>
        <w:gridCol w:w="851"/>
        <w:gridCol w:w="708"/>
        <w:gridCol w:w="993"/>
        <w:gridCol w:w="992"/>
        <w:gridCol w:w="850"/>
      </w:tblGrid>
      <w:tr w:rsidR="00CA2A48" w:rsidRPr="00986F85" w14:paraId="2DB31A7A" w14:textId="77777777" w:rsidTr="00CA2A48">
        <w:trPr>
          <w:trHeight w:val="280"/>
        </w:trPr>
        <w:tc>
          <w:tcPr>
            <w:tcW w:w="1575" w:type="dxa"/>
            <w:tcBorders>
              <w:top w:val="nil"/>
              <w:left w:val="nil"/>
              <w:bottom w:val="nil"/>
              <w:right w:val="nil"/>
            </w:tcBorders>
            <w:shd w:val="clear" w:color="auto" w:fill="B10000"/>
            <w:noWrap/>
            <w:vAlign w:val="bottom"/>
            <w:hideMark/>
          </w:tcPr>
          <w:p w14:paraId="4F10A92F" w14:textId="77777777" w:rsidR="00612BA8" w:rsidRPr="00986F85" w:rsidRDefault="00612BA8" w:rsidP="00612BA8">
            <w:pPr>
              <w:suppressAutoHyphens w:val="0"/>
              <w:spacing w:after="0" w:line="240" w:lineRule="auto"/>
              <w:rPr>
                <w:rFonts w:eastAsia="Times New Roman" w:cs="Times New Roman"/>
                <w:color w:val="FFFFFF"/>
                <w:sz w:val="22"/>
                <w:lang w:val="en-US" w:eastAsia="en-US"/>
              </w:rPr>
            </w:pPr>
          </w:p>
        </w:tc>
        <w:tc>
          <w:tcPr>
            <w:tcW w:w="992" w:type="dxa"/>
            <w:tcBorders>
              <w:top w:val="nil"/>
              <w:left w:val="nil"/>
              <w:bottom w:val="nil"/>
              <w:right w:val="nil"/>
            </w:tcBorders>
            <w:shd w:val="clear" w:color="auto" w:fill="B10000"/>
            <w:noWrap/>
            <w:vAlign w:val="bottom"/>
            <w:hideMark/>
          </w:tcPr>
          <w:p w14:paraId="4D374724" w14:textId="77777777" w:rsidR="00612BA8" w:rsidRPr="00986F85" w:rsidRDefault="00612BA8" w:rsidP="00612BA8">
            <w:pPr>
              <w:suppressAutoHyphens w:val="0"/>
              <w:spacing w:after="0" w:line="240" w:lineRule="auto"/>
              <w:rPr>
                <w:rFonts w:eastAsia="Times New Roman" w:cs="Times New Roman"/>
                <w:color w:val="FFFFFF"/>
                <w:sz w:val="22"/>
                <w:lang w:val="en-US" w:eastAsia="en-US"/>
              </w:rPr>
            </w:pPr>
            <w:r w:rsidRPr="00986F85">
              <w:rPr>
                <w:rFonts w:eastAsia="Times New Roman" w:cs="Times New Roman"/>
                <w:color w:val="FFFFFF"/>
                <w:sz w:val="22"/>
                <w:lang w:val="en-US" w:eastAsia="en-US"/>
              </w:rPr>
              <w:t>GOP</w:t>
            </w:r>
            <w:r w:rsidR="00CA2A48" w:rsidRPr="00986F85">
              <w:rPr>
                <w:rFonts w:eastAsia="Times New Roman" w:cs="Times New Roman"/>
                <w:color w:val="FFFFFF"/>
                <w:sz w:val="22"/>
                <w:lang w:val="en-US" w:eastAsia="en-US"/>
              </w:rPr>
              <w:t xml:space="preserve"> </w:t>
            </w:r>
            <w:r w:rsidRPr="00986F85">
              <w:rPr>
                <w:rFonts w:eastAsia="Times New Roman" w:cs="Times New Roman"/>
                <w:color w:val="FFFFFF"/>
                <w:sz w:val="22"/>
                <w:lang w:val="en-US" w:eastAsia="en-US"/>
              </w:rPr>
              <w:t>-KMOP A</w:t>
            </w:r>
          </w:p>
        </w:tc>
        <w:tc>
          <w:tcPr>
            <w:tcW w:w="1134" w:type="dxa"/>
            <w:tcBorders>
              <w:top w:val="nil"/>
              <w:left w:val="nil"/>
              <w:bottom w:val="nil"/>
              <w:right w:val="nil"/>
            </w:tcBorders>
            <w:shd w:val="clear" w:color="auto" w:fill="B10000"/>
            <w:noWrap/>
            <w:vAlign w:val="bottom"/>
            <w:hideMark/>
          </w:tcPr>
          <w:p w14:paraId="5CB10C77" w14:textId="77777777" w:rsidR="00612BA8" w:rsidRPr="00986F85" w:rsidRDefault="00612BA8" w:rsidP="00612BA8">
            <w:pPr>
              <w:suppressAutoHyphens w:val="0"/>
              <w:spacing w:after="0" w:line="240" w:lineRule="auto"/>
              <w:rPr>
                <w:rFonts w:eastAsia="Times New Roman" w:cs="Times New Roman"/>
                <w:color w:val="FFFFFF"/>
                <w:sz w:val="22"/>
                <w:lang w:val="en-US" w:eastAsia="en-US"/>
              </w:rPr>
            </w:pPr>
            <w:r w:rsidRPr="00986F85">
              <w:rPr>
                <w:rFonts w:eastAsia="Times New Roman" w:cs="Times New Roman"/>
                <w:color w:val="FFFFFF"/>
                <w:sz w:val="22"/>
                <w:lang w:val="en-US" w:eastAsia="en-US"/>
              </w:rPr>
              <w:t>Más GOP/</w:t>
            </w:r>
            <w:r w:rsidR="00CA2A48" w:rsidRPr="00986F85">
              <w:rPr>
                <w:rFonts w:eastAsia="Times New Roman" w:cs="Times New Roman"/>
                <w:color w:val="FFFFFF"/>
                <w:sz w:val="22"/>
                <w:lang w:val="en-US" w:eastAsia="en-US"/>
              </w:rPr>
              <w:t xml:space="preserve"> </w:t>
            </w:r>
            <w:r w:rsidRPr="00986F85">
              <w:rPr>
                <w:rFonts w:eastAsia="Times New Roman" w:cs="Times New Roman"/>
                <w:color w:val="FFFFFF"/>
                <w:sz w:val="22"/>
                <w:lang w:val="en-US" w:eastAsia="en-US"/>
              </w:rPr>
              <w:t>KMOP</w:t>
            </w:r>
          </w:p>
        </w:tc>
        <w:tc>
          <w:tcPr>
            <w:tcW w:w="992" w:type="dxa"/>
            <w:tcBorders>
              <w:top w:val="nil"/>
              <w:left w:val="nil"/>
              <w:bottom w:val="nil"/>
              <w:right w:val="nil"/>
            </w:tcBorders>
            <w:shd w:val="clear" w:color="auto" w:fill="B10000"/>
            <w:noWrap/>
            <w:vAlign w:val="bottom"/>
            <w:hideMark/>
          </w:tcPr>
          <w:p w14:paraId="0F3809A6" w14:textId="77777777" w:rsidR="00612BA8" w:rsidRPr="00986F85" w:rsidRDefault="00612BA8" w:rsidP="00612BA8">
            <w:pPr>
              <w:suppressAutoHyphens w:val="0"/>
              <w:spacing w:after="0" w:line="240" w:lineRule="auto"/>
              <w:rPr>
                <w:rFonts w:eastAsia="Times New Roman" w:cs="Times New Roman"/>
                <w:color w:val="FFFFFF"/>
                <w:sz w:val="22"/>
                <w:lang w:val="en-US" w:eastAsia="en-US"/>
              </w:rPr>
            </w:pPr>
            <w:r w:rsidRPr="00986F85">
              <w:rPr>
                <w:rFonts w:eastAsia="Times New Roman" w:cs="Times New Roman"/>
                <w:color w:val="FFFFFF"/>
                <w:sz w:val="22"/>
                <w:lang w:val="en-US" w:eastAsia="en-US"/>
              </w:rPr>
              <w:t>TÁMOP</w:t>
            </w:r>
          </w:p>
        </w:tc>
        <w:tc>
          <w:tcPr>
            <w:tcW w:w="851" w:type="dxa"/>
            <w:tcBorders>
              <w:top w:val="nil"/>
              <w:left w:val="nil"/>
              <w:bottom w:val="nil"/>
              <w:right w:val="nil"/>
            </w:tcBorders>
            <w:shd w:val="clear" w:color="auto" w:fill="B10000"/>
            <w:noWrap/>
            <w:vAlign w:val="bottom"/>
            <w:hideMark/>
          </w:tcPr>
          <w:p w14:paraId="73D6E5AA" w14:textId="77777777" w:rsidR="00612BA8" w:rsidRPr="00986F85" w:rsidRDefault="00612BA8" w:rsidP="00612BA8">
            <w:pPr>
              <w:suppressAutoHyphens w:val="0"/>
              <w:spacing w:after="0" w:line="240" w:lineRule="auto"/>
              <w:rPr>
                <w:rFonts w:eastAsia="Times New Roman" w:cs="Times New Roman"/>
                <w:color w:val="FFFFFF"/>
                <w:sz w:val="22"/>
                <w:lang w:val="en-US" w:eastAsia="en-US"/>
              </w:rPr>
            </w:pPr>
            <w:r w:rsidRPr="00986F85">
              <w:rPr>
                <w:rFonts w:eastAsia="Times New Roman" w:cs="Times New Roman"/>
                <w:color w:val="FFFFFF"/>
                <w:sz w:val="22"/>
                <w:lang w:val="en-US" w:eastAsia="en-US"/>
              </w:rPr>
              <w:t>KEOP</w:t>
            </w:r>
          </w:p>
        </w:tc>
        <w:tc>
          <w:tcPr>
            <w:tcW w:w="708" w:type="dxa"/>
            <w:tcBorders>
              <w:top w:val="nil"/>
              <w:left w:val="nil"/>
              <w:bottom w:val="nil"/>
              <w:right w:val="nil"/>
            </w:tcBorders>
            <w:shd w:val="clear" w:color="auto" w:fill="B10000"/>
            <w:noWrap/>
            <w:vAlign w:val="bottom"/>
            <w:hideMark/>
          </w:tcPr>
          <w:p w14:paraId="1635AC16" w14:textId="77777777" w:rsidR="00612BA8" w:rsidRPr="00986F85" w:rsidRDefault="00612BA8" w:rsidP="00612BA8">
            <w:pPr>
              <w:suppressAutoHyphens w:val="0"/>
              <w:spacing w:after="0" w:line="240" w:lineRule="auto"/>
              <w:rPr>
                <w:rFonts w:eastAsia="Times New Roman" w:cs="Times New Roman"/>
                <w:color w:val="FFFFFF"/>
                <w:sz w:val="22"/>
                <w:lang w:val="en-US" w:eastAsia="en-US"/>
              </w:rPr>
            </w:pPr>
            <w:r w:rsidRPr="00986F85">
              <w:rPr>
                <w:rFonts w:eastAsia="Times New Roman" w:cs="Times New Roman"/>
                <w:color w:val="FFFFFF"/>
                <w:sz w:val="22"/>
                <w:lang w:val="en-US" w:eastAsia="en-US"/>
              </w:rPr>
              <w:t>TIOP</w:t>
            </w:r>
          </w:p>
        </w:tc>
        <w:tc>
          <w:tcPr>
            <w:tcW w:w="993" w:type="dxa"/>
            <w:tcBorders>
              <w:top w:val="nil"/>
              <w:left w:val="nil"/>
              <w:bottom w:val="nil"/>
              <w:right w:val="nil"/>
            </w:tcBorders>
            <w:shd w:val="clear" w:color="auto" w:fill="B10000"/>
            <w:noWrap/>
            <w:vAlign w:val="bottom"/>
            <w:hideMark/>
          </w:tcPr>
          <w:p w14:paraId="24178F40" w14:textId="77777777" w:rsidR="00612BA8" w:rsidRPr="00986F85" w:rsidRDefault="00612BA8" w:rsidP="00612BA8">
            <w:pPr>
              <w:suppressAutoHyphens w:val="0"/>
              <w:spacing w:after="0" w:line="240" w:lineRule="auto"/>
              <w:rPr>
                <w:rFonts w:eastAsia="Times New Roman" w:cs="Times New Roman"/>
                <w:color w:val="FFFFFF"/>
                <w:sz w:val="22"/>
                <w:lang w:val="en-US" w:eastAsia="en-US"/>
              </w:rPr>
            </w:pPr>
            <w:r w:rsidRPr="00986F85">
              <w:rPr>
                <w:rFonts w:eastAsia="Times New Roman" w:cs="Times New Roman"/>
                <w:color w:val="FFFFFF"/>
                <w:sz w:val="22"/>
                <w:lang w:val="en-US" w:eastAsia="en-US"/>
              </w:rPr>
              <w:t>KÖZOP</w:t>
            </w:r>
          </w:p>
        </w:tc>
        <w:tc>
          <w:tcPr>
            <w:tcW w:w="992" w:type="dxa"/>
            <w:tcBorders>
              <w:top w:val="nil"/>
              <w:left w:val="nil"/>
              <w:bottom w:val="nil"/>
              <w:right w:val="nil"/>
            </w:tcBorders>
            <w:shd w:val="clear" w:color="auto" w:fill="B10000"/>
            <w:noWrap/>
            <w:vAlign w:val="bottom"/>
            <w:hideMark/>
          </w:tcPr>
          <w:p w14:paraId="36DF5A20" w14:textId="77777777" w:rsidR="00612BA8" w:rsidRPr="00986F85" w:rsidRDefault="00612BA8" w:rsidP="00612BA8">
            <w:pPr>
              <w:suppressAutoHyphens w:val="0"/>
              <w:spacing w:after="0" w:line="240" w:lineRule="auto"/>
              <w:rPr>
                <w:rFonts w:eastAsia="Times New Roman" w:cs="Times New Roman"/>
                <w:color w:val="FFFFFF"/>
                <w:sz w:val="22"/>
                <w:lang w:val="en-US" w:eastAsia="en-US"/>
              </w:rPr>
            </w:pPr>
            <w:r w:rsidRPr="00986F85">
              <w:rPr>
                <w:rFonts w:eastAsia="Times New Roman" w:cs="Times New Roman"/>
                <w:color w:val="FFFFFF"/>
                <w:sz w:val="22"/>
                <w:lang w:val="en-US" w:eastAsia="en-US"/>
              </w:rPr>
              <w:t>ROP-ok</w:t>
            </w:r>
          </w:p>
        </w:tc>
        <w:tc>
          <w:tcPr>
            <w:tcW w:w="850" w:type="dxa"/>
            <w:tcBorders>
              <w:top w:val="nil"/>
              <w:left w:val="nil"/>
              <w:bottom w:val="nil"/>
              <w:right w:val="nil"/>
            </w:tcBorders>
            <w:shd w:val="clear" w:color="auto" w:fill="B10000"/>
            <w:noWrap/>
            <w:vAlign w:val="bottom"/>
            <w:hideMark/>
          </w:tcPr>
          <w:p w14:paraId="3191493B" w14:textId="77777777" w:rsidR="00612BA8" w:rsidRPr="00986F85" w:rsidRDefault="00612BA8" w:rsidP="00612BA8">
            <w:pPr>
              <w:suppressAutoHyphens w:val="0"/>
              <w:spacing w:after="0" w:line="240" w:lineRule="auto"/>
              <w:rPr>
                <w:rFonts w:eastAsia="Times New Roman" w:cs="Times New Roman"/>
                <w:color w:val="FFFFFF"/>
                <w:sz w:val="22"/>
                <w:lang w:val="en-US" w:eastAsia="en-US"/>
              </w:rPr>
            </w:pPr>
            <w:r w:rsidRPr="00986F85">
              <w:rPr>
                <w:rFonts w:eastAsia="Times New Roman" w:cs="Times New Roman"/>
                <w:color w:val="FFFFFF"/>
                <w:sz w:val="22"/>
                <w:lang w:val="en-US" w:eastAsia="en-US"/>
              </w:rPr>
              <w:t>Egyéb</w:t>
            </w:r>
          </w:p>
        </w:tc>
      </w:tr>
      <w:tr w:rsidR="00CA2A48" w:rsidRPr="00986F85" w14:paraId="3272B982" w14:textId="77777777" w:rsidTr="00CA2A48">
        <w:trPr>
          <w:trHeight w:val="280"/>
        </w:trPr>
        <w:tc>
          <w:tcPr>
            <w:tcW w:w="1575" w:type="dxa"/>
            <w:tcBorders>
              <w:top w:val="nil"/>
              <w:left w:val="nil"/>
              <w:bottom w:val="nil"/>
              <w:right w:val="nil"/>
            </w:tcBorders>
            <w:shd w:val="clear" w:color="auto" w:fill="B10000"/>
            <w:noWrap/>
            <w:vAlign w:val="bottom"/>
            <w:hideMark/>
          </w:tcPr>
          <w:p w14:paraId="4B0B7D15" w14:textId="77777777" w:rsidR="00612BA8" w:rsidRPr="00986F85" w:rsidRDefault="00612BA8" w:rsidP="00612BA8">
            <w:pPr>
              <w:suppressAutoHyphens w:val="0"/>
              <w:spacing w:after="0" w:line="240" w:lineRule="auto"/>
              <w:rPr>
                <w:rFonts w:eastAsia="Times New Roman" w:cs="Times New Roman"/>
                <w:color w:val="FFFFFF"/>
                <w:sz w:val="22"/>
                <w:lang w:val="en-US" w:eastAsia="en-US"/>
              </w:rPr>
            </w:pPr>
            <w:r w:rsidRPr="00986F85">
              <w:rPr>
                <w:rFonts w:eastAsia="Times New Roman" w:cs="Times New Roman"/>
                <w:color w:val="FFFFFF"/>
                <w:sz w:val="22"/>
                <w:lang w:val="en-US" w:eastAsia="en-US"/>
              </w:rPr>
              <w:t>GOP-KMOP A</w:t>
            </w:r>
          </w:p>
        </w:tc>
        <w:tc>
          <w:tcPr>
            <w:tcW w:w="992" w:type="dxa"/>
            <w:tcBorders>
              <w:top w:val="nil"/>
              <w:left w:val="nil"/>
              <w:bottom w:val="nil"/>
              <w:right w:val="nil"/>
            </w:tcBorders>
            <w:shd w:val="clear" w:color="auto" w:fill="auto"/>
            <w:noWrap/>
            <w:vAlign w:val="bottom"/>
            <w:hideMark/>
          </w:tcPr>
          <w:p w14:paraId="12CA6267" w14:textId="77777777" w:rsidR="00612BA8" w:rsidRPr="00986F85" w:rsidRDefault="00612BA8" w:rsidP="00612BA8">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6235</w:t>
            </w:r>
          </w:p>
        </w:tc>
        <w:tc>
          <w:tcPr>
            <w:tcW w:w="1134" w:type="dxa"/>
            <w:tcBorders>
              <w:top w:val="nil"/>
              <w:left w:val="nil"/>
              <w:bottom w:val="nil"/>
              <w:right w:val="nil"/>
            </w:tcBorders>
            <w:shd w:val="clear" w:color="auto" w:fill="auto"/>
            <w:noWrap/>
            <w:vAlign w:val="bottom"/>
            <w:hideMark/>
          </w:tcPr>
          <w:p w14:paraId="792DBFBD" w14:textId="77777777" w:rsidR="00612BA8" w:rsidRPr="00986F85" w:rsidRDefault="00612BA8" w:rsidP="00612BA8">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544</w:t>
            </w:r>
          </w:p>
        </w:tc>
        <w:tc>
          <w:tcPr>
            <w:tcW w:w="992" w:type="dxa"/>
            <w:tcBorders>
              <w:top w:val="nil"/>
              <w:left w:val="nil"/>
              <w:bottom w:val="nil"/>
              <w:right w:val="nil"/>
            </w:tcBorders>
            <w:shd w:val="clear" w:color="auto" w:fill="auto"/>
            <w:noWrap/>
            <w:vAlign w:val="bottom"/>
            <w:hideMark/>
          </w:tcPr>
          <w:p w14:paraId="6B21A9F2" w14:textId="77777777" w:rsidR="00612BA8" w:rsidRPr="00986F85" w:rsidRDefault="00612BA8" w:rsidP="00612BA8">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3</w:t>
            </w:r>
          </w:p>
        </w:tc>
        <w:tc>
          <w:tcPr>
            <w:tcW w:w="851" w:type="dxa"/>
            <w:tcBorders>
              <w:top w:val="nil"/>
              <w:left w:val="nil"/>
              <w:bottom w:val="nil"/>
              <w:right w:val="nil"/>
            </w:tcBorders>
            <w:shd w:val="clear" w:color="auto" w:fill="auto"/>
            <w:noWrap/>
            <w:vAlign w:val="bottom"/>
            <w:hideMark/>
          </w:tcPr>
          <w:p w14:paraId="0581A586" w14:textId="77777777" w:rsidR="00612BA8" w:rsidRPr="00986F85" w:rsidRDefault="00612BA8" w:rsidP="00612BA8">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708" w:type="dxa"/>
            <w:tcBorders>
              <w:top w:val="nil"/>
              <w:left w:val="nil"/>
              <w:bottom w:val="nil"/>
              <w:right w:val="nil"/>
            </w:tcBorders>
            <w:shd w:val="clear" w:color="auto" w:fill="auto"/>
            <w:noWrap/>
            <w:vAlign w:val="bottom"/>
            <w:hideMark/>
          </w:tcPr>
          <w:p w14:paraId="59B7BBDA" w14:textId="77777777" w:rsidR="00612BA8" w:rsidRPr="00986F85" w:rsidRDefault="00612BA8" w:rsidP="00612BA8">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993" w:type="dxa"/>
            <w:tcBorders>
              <w:top w:val="nil"/>
              <w:left w:val="nil"/>
              <w:bottom w:val="nil"/>
              <w:right w:val="nil"/>
            </w:tcBorders>
            <w:shd w:val="clear" w:color="auto" w:fill="auto"/>
            <w:noWrap/>
            <w:vAlign w:val="bottom"/>
            <w:hideMark/>
          </w:tcPr>
          <w:p w14:paraId="78AE808B" w14:textId="77777777" w:rsidR="00612BA8" w:rsidRPr="00986F85" w:rsidRDefault="00612BA8" w:rsidP="00612BA8">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992" w:type="dxa"/>
            <w:tcBorders>
              <w:top w:val="nil"/>
              <w:left w:val="nil"/>
              <w:bottom w:val="nil"/>
              <w:right w:val="nil"/>
            </w:tcBorders>
            <w:shd w:val="clear" w:color="auto" w:fill="auto"/>
            <w:noWrap/>
            <w:vAlign w:val="bottom"/>
            <w:hideMark/>
          </w:tcPr>
          <w:p w14:paraId="59865958" w14:textId="77777777" w:rsidR="00612BA8" w:rsidRPr="00986F85" w:rsidRDefault="00612BA8" w:rsidP="00612BA8">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13</w:t>
            </w:r>
          </w:p>
        </w:tc>
        <w:tc>
          <w:tcPr>
            <w:tcW w:w="850" w:type="dxa"/>
            <w:tcBorders>
              <w:top w:val="nil"/>
              <w:left w:val="nil"/>
              <w:bottom w:val="nil"/>
              <w:right w:val="nil"/>
            </w:tcBorders>
            <w:shd w:val="clear" w:color="auto" w:fill="auto"/>
            <w:noWrap/>
            <w:vAlign w:val="bottom"/>
            <w:hideMark/>
          </w:tcPr>
          <w:p w14:paraId="121E60C2" w14:textId="77777777" w:rsidR="00612BA8" w:rsidRPr="00986F85" w:rsidRDefault="00612BA8" w:rsidP="00612BA8">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r>
      <w:tr w:rsidR="00CA2A48" w:rsidRPr="00986F85" w14:paraId="7455962D" w14:textId="77777777" w:rsidTr="00CA2A48">
        <w:trPr>
          <w:trHeight w:val="280"/>
        </w:trPr>
        <w:tc>
          <w:tcPr>
            <w:tcW w:w="1575" w:type="dxa"/>
            <w:tcBorders>
              <w:top w:val="nil"/>
              <w:left w:val="nil"/>
              <w:bottom w:val="nil"/>
              <w:right w:val="nil"/>
            </w:tcBorders>
            <w:shd w:val="clear" w:color="auto" w:fill="B10000"/>
            <w:noWrap/>
            <w:vAlign w:val="bottom"/>
            <w:hideMark/>
          </w:tcPr>
          <w:p w14:paraId="7643918E" w14:textId="77777777" w:rsidR="00612BA8" w:rsidRPr="00986F85" w:rsidRDefault="00612BA8" w:rsidP="00612BA8">
            <w:pPr>
              <w:suppressAutoHyphens w:val="0"/>
              <w:spacing w:after="0" w:line="240" w:lineRule="auto"/>
              <w:rPr>
                <w:rFonts w:eastAsia="Times New Roman" w:cs="Times New Roman"/>
                <w:color w:val="FFFFFF"/>
                <w:sz w:val="22"/>
                <w:lang w:val="en-US" w:eastAsia="en-US"/>
              </w:rPr>
            </w:pPr>
            <w:r w:rsidRPr="00986F85">
              <w:rPr>
                <w:rFonts w:eastAsia="Times New Roman" w:cs="Times New Roman"/>
                <w:color w:val="FFFFFF"/>
                <w:sz w:val="22"/>
                <w:lang w:val="en-US" w:eastAsia="en-US"/>
              </w:rPr>
              <w:t>Más GOP/</w:t>
            </w:r>
            <w:r w:rsidR="00CA2A48" w:rsidRPr="00986F85">
              <w:rPr>
                <w:rFonts w:eastAsia="Times New Roman" w:cs="Times New Roman"/>
                <w:color w:val="FFFFFF"/>
                <w:sz w:val="22"/>
                <w:lang w:val="en-US" w:eastAsia="en-US"/>
              </w:rPr>
              <w:t xml:space="preserve"> </w:t>
            </w:r>
            <w:r w:rsidRPr="00986F85">
              <w:rPr>
                <w:rFonts w:eastAsia="Times New Roman" w:cs="Times New Roman"/>
                <w:color w:val="FFFFFF"/>
                <w:sz w:val="22"/>
                <w:lang w:val="en-US" w:eastAsia="en-US"/>
              </w:rPr>
              <w:t>KMOP</w:t>
            </w:r>
          </w:p>
        </w:tc>
        <w:tc>
          <w:tcPr>
            <w:tcW w:w="992" w:type="dxa"/>
            <w:tcBorders>
              <w:top w:val="nil"/>
              <w:left w:val="nil"/>
              <w:bottom w:val="nil"/>
              <w:right w:val="nil"/>
            </w:tcBorders>
            <w:shd w:val="clear" w:color="auto" w:fill="auto"/>
            <w:noWrap/>
            <w:vAlign w:val="bottom"/>
            <w:hideMark/>
          </w:tcPr>
          <w:p w14:paraId="1933F2EB" w14:textId="77777777" w:rsidR="00612BA8" w:rsidRPr="00986F85" w:rsidRDefault="00612BA8" w:rsidP="00612BA8">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544</w:t>
            </w:r>
          </w:p>
        </w:tc>
        <w:tc>
          <w:tcPr>
            <w:tcW w:w="1134" w:type="dxa"/>
            <w:tcBorders>
              <w:top w:val="nil"/>
              <w:left w:val="nil"/>
              <w:bottom w:val="nil"/>
              <w:right w:val="nil"/>
            </w:tcBorders>
            <w:shd w:val="clear" w:color="auto" w:fill="auto"/>
            <w:noWrap/>
            <w:vAlign w:val="bottom"/>
            <w:hideMark/>
          </w:tcPr>
          <w:p w14:paraId="78FADE6F" w14:textId="77777777" w:rsidR="00612BA8" w:rsidRPr="00986F85" w:rsidRDefault="00612BA8" w:rsidP="00612BA8">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6677</w:t>
            </w:r>
          </w:p>
        </w:tc>
        <w:tc>
          <w:tcPr>
            <w:tcW w:w="992" w:type="dxa"/>
            <w:tcBorders>
              <w:top w:val="nil"/>
              <w:left w:val="nil"/>
              <w:bottom w:val="nil"/>
              <w:right w:val="nil"/>
            </w:tcBorders>
            <w:shd w:val="clear" w:color="auto" w:fill="auto"/>
            <w:noWrap/>
            <w:vAlign w:val="bottom"/>
            <w:hideMark/>
          </w:tcPr>
          <w:p w14:paraId="4B3449F3" w14:textId="77777777" w:rsidR="00612BA8" w:rsidRPr="00986F85" w:rsidRDefault="00612BA8" w:rsidP="00612BA8">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8</w:t>
            </w:r>
          </w:p>
        </w:tc>
        <w:tc>
          <w:tcPr>
            <w:tcW w:w="851" w:type="dxa"/>
            <w:tcBorders>
              <w:top w:val="nil"/>
              <w:left w:val="nil"/>
              <w:bottom w:val="nil"/>
              <w:right w:val="nil"/>
            </w:tcBorders>
            <w:shd w:val="clear" w:color="auto" w:fill="auto"/>
            <w:noWrap/>
            <w:vAlign w:val="bottom"/>
            <w:hideMark/>
          </w:tcPr>
          <w:p w14:paraId="3005D269" w14:textId="77777777" w:rsidR="00612BA8" w:rsidRPr="00986F85" w:rsidRDefault="00612BA8" w:rsidP="00612BA8">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14</w:t>
            </w:r>
          </w:p>
        </w:tc>
        <w:tc>
          <w:tcPr>
            <w:tcW w:w="708" w:type="dxa"/>
            <w:tcBorders>
              <w:top w:val="nil"/>
              <w:left w:val="nil"/>
              <w:bottom w:val="nil"/>
              <w:right w:val="nil"/>
            </w:tcBorders>
            <w:shd w:val="clear" w:color="auto" w:fill="auto"/>
            <w:noWrap/>
            <w:vAlign w:val="bottom"/>
            <w:hideMark/>
          </w:tcPr>
          <w:p w14:paraId="6A65C588" w14:textId="77777777" w:rsidR="00612BA8" w:rsidRPr="00986F85" w:rsidRDefault="00612BA8" w:rsidP="00612BA8">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993" w:type="dxa"/>
            <w:tcBorders>
              <w:top w:val="nil"/>
              <w:left w:val="nil"/>
              <w:bottom w:val="nil"/>
              <w:right w:val="nil"/>
            </w:tcBorders>
            <w:shd w:val="clear" w:color="auto" w:fill="auto"/>
            <w:noWrap/>
            <w:vAlign w:val="bottom"/>
            <w:hideMark/>
          </w:tcPr>
          <w:p w14:paraId="5D57E5DF" w14:textId="77777777" w:rsidR="00612BA8" w:rsidRPr="00986F85" w:rsidRDefault="00612BA8" w:rsidP="00612BA8">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992" w:type="dxa"/>
            <w:tcBorders>
              <w:top w:val="nil"/>
              <w:left w:val="nil"/>
              <w:bottom w:val="nil"/>
              <w:right w:val="nil"/>
            </w:tcBorders>
            <w:shd w:val="clear" w:color="auto" w:fill="auto"/>
            <w:noWrap/>
            <w:vAlign w:val="bottom"/>
            <w:hideMark/>
          </w:tcPr>
          <w:p w14:paraId="101A7255" w14:textId="77777777" w:rsidR="00612BA8" w:rsidRPr="00986F85" w:rsidRDefault="00612BA8" w:rsidP="00612BA8">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107</w:t>
            </w:r>
          </w:p>
        </w:tc>
        <w:tc>
          <w:tcPr>
            <w:tcW w:w="850" w:type="dxa"/>
            <w:tcBorders>
              <w:top w:val="nil"/>
              <w:left w:val="nil"/>
              <w:bottom w:val="nil"/>
              <w:right w:val="nil"/>
            </w:tcBorders>
            <w:shd w:val="clear" w:color="auto" w:fill="auto"/>
            <w:noWrap/>
            <w:vAlign w:val="bottom"/>
            <w:hideMark/>
          </w:tcPr>
          <w:p w14:paraId="61A0E3F2" w14:textId="77777777" w:rsidR="00612BA8" w:rsidRPr="00986F85" w:rsidRDefault="00612BA8" w:rsidP="00612BA8">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r>
      <w:tr w:rsidR="00CA2A48" w:rsidRPr="00986F85" w14:paraId="1AB7E1C9" w14:textId="77777777" w:rsidTr="00CA2A48">
        <w:trPr>
          <w:trHeight w:val="280"/>
        </w:trPr>
        <w:tc>
          <w:tcPr>
            <w:tcW w:w="1575" w:type="dxa"/>
            <w:tcBorders>
              <w:top w:val="nil"/>
              <w:left w:val="nil"/>
              <w:bottom w:val="nil"/>
              <w:right w:val="nil"/>
            </w:tcBorders>
            <w:shd w:val="clear" w:color="auto" w:fill="B10000"/>
            <w:noWrap/>
            <w:vAlign w:val="bottom"/>
            <w:hideMark/>
          </w:tcPr>
          <w:p w14:paraId="126F1F55" w14:textId="77777777" w:rsidR="00612BA8" w:rsidRPr="00986F85" w:rsidRDefault="00612BA8" w:rsidP="00612BA8">
            <w:pPr>
              <w:suppressAutoHyphens w:val="0"/>
              <w:spacing w:after="0" w:line="240" w:lineRule="auto"/>
              <w:rPr>
                <w:rFonts w:eastAsia="Times New Roman" w:cs="Times New Roman"/>
                <w:color w:val="FFFFFF"/>
                <w:sz w:val="22"/>
                <w:lang w:val="en-US" w:eastAsia="en-US"/>
              </w:rPr>
            </w:pPr>
            <w:r w:rsidRPr="00986F85">
              <w:rPr>
                <w:rFonts w:eastAsia="Times New Roman" w:cs="Times New Roman"/>
                <w:color w:val="FFFFFF"/>
                <w:sz w:val="22"/>
                <w:lang w:val="en-US" w:eastAsia="en-US"/>
              </w:rPr>
              <w:t>TÁMOP</w:t>
            </w:r>
          </w:p>
        </w:tc>
        <w:tc>
          <w:tcPr>
            <w:tcW w:w="992" w:type="dxa"/>
            <w:tcBorders>
              <w:top w:val="nil"/>
              <w:left w:val="nil"/>
              <w:bottom w:val="nil"/>
              <w:right w:val="nil"/>
            </w:tcBorders>
            <w:shd w:val="clear" w:color="auto" w:fill="auto"/>
            <w:noWrap/>
            <w:vAlign w:val="bottom"/>
            <w:hideMark/>
          </w:tcPr>
          <w:p w14:paraId="4C11B168" w14:textId="77777777" w:rsidR="00612BA8" w:rsidRPr="00986F85" w:rsidRDefault="00612BA8" w:rsidP="00612BA8">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3</w:t>
            </w:r>
          </w:p>
        </w:tc>
        <w:tc>
          <w:tcPr>
            <w:tcW w:w="1134" w:type="dxa"/>
            <w:tcBorders>
              <w:top w:val="nil"/>
              <w:left w:val="nil"/>
              <w:bottom w:val="nil"/>
              <w:right w:val="nil"/>
            </w:tcBorders>
            <w:shd w:val="clear" w:color="auto" w:fill="auto"/>
            <w:noWrap/>
            <w:vAlign w:val="bottom"/>
            <w:hideMark/>
          </w:tcPr>
          <w:p w14:paraId="5DCFBF17" w14:textId="77777777" w:rsidR="00612BA8" w:rsidRPr="00986F85" w:rsidRDefault="00612BA8" w:rsidP="00612BA8">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8</w:t>
            </w:r>
          </w:p>
        </w:tc>
        <w:tc>
          <w:tcPr>
            <w:tcW w:w="992" w:type="dxa"/>
            <w:tcBorders>
              <w:top w:val="nil"/>
              <w:left w:val="nil"/>
              <w:bottom w:val="nil"/>
              <w:right w:val="nil"/>
            </w:tcBorders>
            <w:shd w:val="clear" w:color="auto" w:fill="auto"/>
            <w:noWrap/>
            <w:vAlign w:val="bottom"/>
            <w:hideMark/>
          </w:tcPr>
          <w:p w14:paraId="05E2CD2B" w14:textId="77777777" w:rsidR="00612BA8" w:rsidRPr="00986F85" w:rsidRDefault="00612BA8" w:rsidP="00612BA8">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637</w:t>
            </w:r>
          </w:p>
        </w:tc>
        <w:tc>
          <w:tcPr>
            <w:tcW w:w="851" w:type="dxa"/>
            <w:tcBorders>
              <w:top w:val="nil"/>
              <w:left w:val="nil"/>
              <w:bottom w:val="nil"/>
              <w:right w:val="nil"/>
            </w:tcBorders>
            <w:shd w:val="clear" w:color="auto" w:fill="auto"/>
            <w:noWrap/>
            <w:vAlign w:val="bottom"/>
            <w:hideMark/>
          </w:tcPr>
          <w:p w14:paraId="68E5AF1A" w14:textId="77777777" w:rsidR="00612BA8" w:rsidRPr="00986F85" w:rsidRDefault="00612BA8" w:rsidP="00612BA8">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708" w:type="dxa"/>
            <w:tcBorders>
              <w:top w:val="nil"/>
              <w:left w:val="nil"/>
              <w:bottom w:val="nil"/>
              <w:right w:val="nil"/>
            </w:tcBorders>
            <w:shd w:val="clear" w:color="auto" w:fill="auto"/>
            <w:noWrap/>
            <w:vAlign w:val="bottom"/>
            <w:hideMark/>
          </w:tcPr>
          <w:p w14:paraId="4E7B7965" w14:textId="77777777" w:rsidR="00612BA8" w:rsidRPr="00986F85" w:rsidRDefault="00612BA8" w:rsidP="00612BA8">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993" w:type="dxa"/>
            <w:tcBorders>
              <w:top w:val="nil"/>
              <w:left w:val="nil"/>
              <w:bottom w:val="nil"/>
              <w:right w:val="nil"/>
            </w:tcBorders>
            <w:shd w:val="clear" w:color="auto" w:fill="auto"/>
            <w:noWrap/>
            <w:vAlign w:val="bottom"/>
            <w:hideMark/>
          </w:tcPr>
          <w:p w14:paraId="71ED08AE" w14:textId="77777777" w:rsidR="00612BA8" w:rsidRPr="00986F85" w:rsidRDefault="00612BA8" w:rsidP="00612BA8">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992" w:type="dxa"/>
            <w:tcBorders>
              <w:top w:val="nil"/>
              <w:left w:val="nil"/>
              <w:bottom w:val="nil"/>
              <w:right w:val="nil"/>
            </w:tcBorders>
            <w:shd w:val="clear" w:color="auto" w:fill="auto"/>
            <w:noWrap/>
            <w:vAlign w:val="bottom"/>
            <w:hideMark/>
          </w:tcPr>
          <w:p w14:paraId="2D72F81E" w14:textId="77777777" w:rsidR="00612BA8" w:rsidRPr="00986F85" w:rsidRDefault="00612BA8" w:rsidP="00612BA8">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2</w:t>
            </w:r>
          </w:p>
        </w:tc>
        <w:tc>
          <w:tcPr>
            <w:tcW w:w="850" w:type="dxa"/>
            <w:tcBorders>
              <w:top w:val="nil"/>
              <w:left w:val="nil"/>
              <w:bottom w:val="nil"/>
              <w:right w:val="nil"/>
            </w:tcBorders>
            <w:shd w:val="clear" w:color="auto" w:fill="auto"/>
            <w:noWrap/>
            <w:vAlign w:val="bottom"/>
            <w:hideMark/>
          </w:tcPr>
          <w:p w14:paraId="2EA568F2" w14:textId="77777777" w:rsidR="00612BA8" w:rsidRPr="00986F85" w:rsidRDefault="00612BA8" w:rsidP="00612BA8">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r>
      <w:tr w:rsidR="00CA2A48" w:rsidRPr="00986F85" w14:paraId="20320CD4" w14:textId="77777777" w:rsidTr="00CA2A48">
        <w:trPr>
          <w:trHeight w:val="280"/>
        </w:trPr>
        <w:tc>
          <w:tcPr>
            <w:tcW w:w="1575" w:type="dxa"/>
            <w:tcBorders>
              <w:top w:val="nil"/>
              <w:left w:val="nil"/>
              <w:bottom w:val="nil"/>
              <w:right w:val="nil"/>
            </w:tcBorders>
            <w:shd w:val="clear" w:color="auto" w:fill="B10000"/>
            <w:noWrap/>
            <w:vAlign w:val="bottom"/>
            <w:hideMark/>
          </w:tcPr>
          <w:p w14:paraId="1B5D95A4" w14:textId="77777777" w:rsidR="00612BA8" w:rsidRPr="00986F85" w:rsidRDefault="00612BA8" w:rsidP="00612BA8">
            <w:pPr>
              <w:suppressAutoHyphens w:val="0"/>
              <w:spacing w:after="0" w:line="240" w:lineRule="auto"/>
              <w:rPr>
                <w:rFonts w:eastAsia="Times New Roman" w:cs="Times New Roman"/>
                <w:color w:val="FFFFFF"/>
                <w:sz w:val="22"/>
                <w:lang w:val="en-US" w:eastAsia="en-US"/>
              </w:rPr>
            </w:pPr>
            <w:r w:rsidRPr="00986F85">
              <w:rPr>
                <w:rFonts w:eastAsia="Times New Roman" w:cs="Times New Roman"/>
                <w:color w:val="FFFFFF"/>
                <w:sz w:val="22"/>
                <w:lang w:val="en-US" w:eastAsia="en-US"/>
              </w:rPr>
              <w:t>KEOP</w:t>
            </w:r>
          </w:p>
        </w:tc>
        <w:tc>
          <w:tcPr>
            <w:tcW w:w="992" w:type="dxa"/>
            <w:tcBorders>
              <w:top w:val="nil"/>
              <w:left w:val="nil"/>
              <w:bottom w:val="nil"/>
              <w:right w:val="nil"/>
            </w:tcBorders>
            <w:shd w:val="clear" w:color="auto" w:fill="auto"/>
            <w:noWrap/>
            <w:vAlign w:val="bottom"/>
            <w:hideMark/>
          </w:tcPr>
          <w:p w14:paraId="70428234" w14:textId="77777777" w:rsidR="00612BA8" w:rsidRPr="00986F85" w:rsidRDefault="00612BA8" w:rsidP="00612BA8">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1134" w:type="dxa"/>
            <w:tcBorders>
              <w:top w:val="nil"/>
              <w:left w:val="nil"/>
              <w:bottom w:val="nil"/>
              <w:right w:val="nil"/>
            </w:tcBorders>
            <w:shd w:val="clear" w:color="auto" w:fill="auto"/>
            <w:noWrap/>
            <w:vAlign w:val="bottom"/>
            <w:hideMark/>
          </w:tcPr>
          <w:p w14:paraId="4289E5A0" w14:textId="77777777" w:rsidR="00612BA8" w:rsidRPr="00986F85" w:rsidRDefault="00612BA8" w:rsidP="00612BA8">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14</w:t>
            </w:r>
          </w:p>
        </w:tc>
        <w:tc>
          <w:tcPr>
            <w:tcW w:w="992" w:type="dxa"/>
            <w:tcBorders>
              <w:top w:val="nil"/>
              <w:left w:val="nil"/>
              <w:bottom w:val="nil"/>
              <w:right w:val="nil"/>
            </w:tcBorders>
            <w:shd w:val="clear" w:color="auto" w:fill="auto"/>
            <w:noWrap/>
            <w:vAlign w:val="bottom"/>
            <w:hideMark/>
          </w:tcPr>
          <w:p w14:paraId="3F3AF1C8" w14:textId="77777777" w:rsidR="00612BA8" w:rsidRPr="00986F85" w:rsidRDefault="00612BA8" w:rsidP="00612BA8">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851" w:type="dxa"/>
            <w:tcBorders>
              <w:top w:val="nil"/>
              <w:left w:val="nil"/>
              <w:bottom w:val="nil"/>
              <w:right w:val="nil"/>
            </w:tcBorders>
            <w:shd w:val="clear" w:color="auto" w:fill="auto"/>
            <w:noWrap/>
            <w:vAlign w:val="bottom"/>
            <w:hideMark/>
          </w:tcPr>
          <w:p w14:paraId="535A6A82" w14:textId="77777777" w:rsidR="00612BA8" w:rsidRPr="00986F85" w:rsidRDefault="00612BA8" w:rsidP="00612BA8">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397</w:t>
            </w:r>
          </w:p>
        </w:tc>
        <w:tc>
          <w:tcPr>
            <w:tcW w:w="708" w:type="dxa"/>
            <w:tcBorders>
              <w:top w:val="nil"/>
              <w:left w:val="nil"/>
              <w:bottom w:val="nil"/>
              <w:right w:val="nil"/>
            </w:tcBorders>
            <w:shd w:val="clear" w:color="auto" w:fill="auto"/>
            <w:noWrap/>
            <w:vAlign w:val="bottom"/>
            <w:hideMark/>
          </w:tcPr>
          <w:p w14:paraId="4EB4E9CC" w14:textId="77777777" w:rsidR="00612BA8" w:rsidRPr="00986F85" w:rsidRDefault="00612BA8" w:rsidP="00612BA8">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993" w:type="dxa"/>
            <w:tcBorders>
              <w:top w:val="nil"/>
              <w:left w:val="nil"/>
              <w:bottom w:val="nil"/>
              <w:right w:val="nil"/>
            </w:tcBorders>
            <w:shd w:val="clear" w:color="auto" w:fill="auto"/>
            <w:noWrap/>
            <w:vAlign w:val="bottom"/>
            <w:hideMark/>
          </w:tcPr>
          <w:p w14:paraId="0D7A1885" w14:textId="77777777" w:rsidR="00612BA8" w:rsidRPr="00986F85" w:rsidRDefault="00612BA8" w:rsidP="00612BA8">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992" w:type="dxa"/>
            <w:tcBorders>
              <w:top w:val="nil"/>
              <w:left w:val="nil"/>
              <w:bottom w:val="nil"/>
              <w:right w:val="nil"/>
            </w:tcBorders>
            <w:shd w:val="clear" w:color="auto" w:fill="auto"/>
            <w:noWrap/>
            <w:vAlign w:val="bottom"/>
            <w:hideMark/>
          </w:tcPr>
          <w:p w14:paraId="200B5EE4" w14:textId="77777777" w:rsidR="00612BA8" w:rsidRPr="00986F85" w:rsidRDefault="00612BA8" w:rsidP="00612BA8">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850" w:type="dxa"/>
            <w:tcBorders>
              <w:top w:val="nil"/>
              <w:left w:val="nil"/>
              <w:bottom w:val="nil"/>
              <w:right w:val="nil"/>
            </w:tcBorders>
            <w:shd w:val="clear" w:color="auto" w:fill="auto"/>
            <w:noWrap/>
            <w:vAlign w:val="bottom"/>
            <w:hideMark/>
          </w:tcPr>
          <w:p w14:paraId="6F44099F" w14:textId="77777777" w:rsidR="00612BA8" w:rsidRPr="00986F85" w:rsidRDefault="00612BA8" w:rsidP="00612BA8">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r>
      <w:tr w:rsidR="00CA2A48" w:rsidRPr="00986F85" w14:paraId="57ED365E" w14:textId="77777777" w:rsidTr="00CA2A48">
        <w:trPr>
          <w:trHeight w:val="280"/>
        </w:trPr>
        <w:tc>
          <w:tcPr>
            <w:tcW w:w="1575" w:type="dxa"/>
            <w:tcBorders>
              <w:top w:val="nil"/>
              <w:left w:val="nil"/>
              <w:bottom w:val="nil"/>
              <w:right w:val="nil"/>
            </w:tcBorders>
            <w:shd w:val="clear" w:color="auto" w:fill="B10000"/>
            <w:noWrap/>
            <w:vAlign w:val="bottom"/>
            <w:hideMark/>
          </w:tcPr>
          <w:p w14:paraId="3B22E26E" w14:textId="77777777" w:rsidR="00612BA8" w:rsidRPr="00986F85" w:rsidRDefault="00612BA8" w:rsidP="00612BA8">
            <w:pPr>
              <w:suppressAutoHyphens w:val="0"/>
              <w:spacing w:after="0" w:line="240" w:lineRule="auto"/>
              <w:rPr>
                <w:rFonts w:eastAsia="Times New Roman" w:cs="Times New Roman"/>
                <w:color w:val="FFFFFF"/>
                <w:sz w:val="22"/>
                <w:lang w:val="en-US" w:eastAsia="en-US"/>
              </w:rPr>
            </w:pPr>
            <w:r w:rsidRPr="00986F85">
              <w:rPr>
                <w:rFonts w:eastAsia="Times New Roman" w:cs="Times New Roman"/>
                <w:color w:val="FFFFFF"/>
                <w:sz w:val="22"/>
                <w:lang w:val="en-US" w:eastAsia="en-US"/>
              </w:rPr>
              <w:t>TIOP</w:t>
            </w:r>
          </w:p>
        </w:tc>
        <w:tc>
          <w:tcPr>
            <w:tcW w:w="992" w:type="dxa"/>
            <w:tcBorders>
              <w:top w:val="nil"/>
              <w:left w:val="nil"/>
              <w:bottom w:val="nil"/>
              <w:right w:val="nil"/>
            </w:tcBorders>
            <w:shd w:val="clear" w:color="auto" w:fill="auto"/>
            <w:noWrap/>
            <w:vAlign w:val="bottom"/>
            <w:hideMark/>
          </w:tcPr>
          <w:p w14:paraId="44555F64" w14:textId="77777777" w:rsidR="00612BA8" w:rsidRPr="00986F85" w:rsidRDefault="00612BA8" w:rsidP="00612BA8">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1134" w:type="dxa"/>
            <w:tcBorders>
              <w:top w:val="nil"/>
              <w:left w:val="nil"/>
              <w:bottom w:val="nil"/>
              <w:right w:val="nil"/>
            </w:tcBorders>
            <w:shd w:val="clear" w:color="auto" w:fill="auto"/>
            <w:noWrap/>
            <w:vAlign w:val="bottom"/>
            <w:hideMark/>
          </w:tcPr>
          <w:p w14:paraId="1A395978" w14:textId="77777777" w:rsidR="00612BA8" w:rsidRPr="00986F85" w:rsidRDefault="00612BA8" w:rsidP="00612BA8">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992" w:type="dxa"/>
            <w:tcBorders>
              <w:top w:val="nil"/>
              <w:left w:val="nil"/>
              <w:bottom w:val="nil"/>
              <w:right w:val="nil"/>
            </w:tcBorders>
            <w:shd w:val="clear" w:color="auto" w:fill="auto"/>
            <w:noWrap/>
            <w:vAlign w:val="bottom"/>
            <w:hideMark/>
          </w:tcPr>
          <w:p w14:paraId="252A17C7" w14:textId="77777777" w:rsidR="00612BA8" w:rsidRPr="00986F85" w:rsidRDefault="00612BA8" w:rsidP="00612BA8">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851" w:type="dxa"/>
            <w:tcBorders>
              <w:top w:val="nil"/>
              <w:left w:val="nil"/>
              <w:bottom w:val="nil"/>
              <w:right w:val="nil"/>
            </w:tcBorders>
            <w:shd w:val="clear" w:color="auto" w:fill="auto"/>
            <w:noWrap/>
            <w:vAlign w:val="bottom"/>
            <w:hideMark/>
          </w:tcPr>
          <w:p w14:paraId="5ADEF632" w14:textId="77777777" w:rsidR="00612BA8" w:rsidRPr="00986F85" w:rsidRDefault="00612BA8" w:rsidP="00612BA8">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708" w:type="dxa"/>
            <w:tcBorders>
              <w:top w:val="nil"/>
              <w:left w:val="nil"/>
              <w:bottom w:val="nil"/>
              <w:right w:val="nil"/>
            </w:tcBorders>
            <w:shd w:val="clear" w:color="auto" w:fill="auto"/>
            <w:noWrap/>
            <w:vAlign w:val="bottom"/>
            <w:hideMark/>
          </w:tcPr>
          <w:p w14:paraId="3697D240" w14:textId="77777777" w:rsidR="00612BA8" w:rsidRPr="00986F85" w:rsidRDefault="00612BA8" w:rsidP="00612BA8">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993" w:type="dxa"/>
            <w:tcBorders>
              <w:top w:val="nil"/>
              <w:left w:val="nil"/>
              <w:bottom w:val="nil"/>
              <w:right w:val="nil"/>
            </w:tcBorders>
            <w:shd w:val="clear" w:color="auto" w:fill="auto"/>
            <w:noWrap/>
            <w:vAlign w:val="bottom"/>
            <w:hideMark/>
          </w:tcPr>
          <w:p w14:paraId="7969C547" w14:textId="77777777" w:rsidR="00612BA8" w:rsidRPr="00986F85" w:rsidRDefault="00612BA8" w:rsidP="00612BA8">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992" w:type="dxa"/>
            <w:tcBorders>
              <w:top w:val="nil"/>
              <w:left w:val="nil"/>
              <w:bottom w:val="nil"/>
              <w:right w:val="nil"/>
            </w:tcBorders>
            <w:shd w:val="clear" w:color="auto" w:fill="auto"/>
            <w:noWrap/>
            <w:vAlign w:val="bottom"/>
            <w:hideMark/>
          </w:tcPr>
          <w:p w14:paraId="69C22170" w14:textId="77777777" w:rsidR="00612BA8" w:rsidRPr="00986F85" w:rsidRDefault="00612BA8" w:rsidP="00612BA8">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850" w:type="dxa"/>
            <w:tcBorders>
              <w:top w:val="nil"/>
              <w:left w:val="nil"/>
              <w:bottom w:val="nil"/>
              <w:right w:val="nil"/>
            </w:tcBorders>
            <w:shd w:val="clear" w:color="auto" w:fill="auto"/>
            <w:noWrap/>
            <w:vAlign w:val="bottom"/>
            <w:hideMark/>
          </w:tcPr>
          <w:p w14:paraId="5789AE36" w14:textId="77777777" w:rsidR="00612BA8" w:rsidRPr="00986F85" w:rsidRDefault="00612BA8" w:rsidP="00612BA8">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r>
      <w:tr w:rsidR="00CA2A48" w:rsidRPr="00986F85" w14:paraId="12BEB90D" w14:textId="77777777" w:rsidTr="00CA2A48">
        <w:trPr>
          <w:trHeight w:val="280"/>
        </w:trPr>
        <w:tc>
          <w:tcPr>
            <w:tcW w:w="1575" w:type="dxa"/>
            <w:tcBorders>
              <w:top w:val="nil"/>
              <w:left w:val="nil"/>
              <w:bottom w:val="nil"/>
              <w:right w:val="nil"/>
            </w:tcBorders>
            <w:shd w:val="clear" w:color="auto" w:fill="B10000"/>
            <w:noWrap/>
            <w:vAlign w:val="bottom"/>
            <w:hideMark/>
          </w:tcPr>
          <w:p w14:paraId="424B8B71" w14:textId="77777777" w:rsidR="00612BA8" w:rsidRPr="00986F85" w:rsidRDefault="00612BA8" w:rsidP="00612BA8">
            <w:pPr>
              <w:suppressAutoHyphens w:val="0"/>
              <w:spacing w:after="0" w:line="240" w:lineRule="auto"/>
              <w:rPr>
                <w:rFonts w:eastAsia="Times New Roman" w:cs="Times New Roman"/>
                <w:color w:val="FFFFFF"/>
                <w:sz w:val="22"/>
                <w:lang w:val="en-US" w:eastAsia="en-US"/>
              </w:rPr>
            </w:pPr>
            <w:r w:rsidRPr="00986F85">
              <w:rPr>
                <w:rFonts w:eastAsia="Times New Roman" w:cs="Times New Roman"/>
                <w:color w:val="FFFFFF"/>
                <w:sz w:val="22"/>
                <w:lang w:val="en-US" w:eastAsia="en-US"/>
              </w:rPr>
              <w:t>KÖZOP</w:t>
            </w:r>
          </w:p>
        </w:tc>
        <w:tc>
          <w:tcPr>
            <w:tcW w:w="992" w:type="dxa"/>
            <w:tcBorders>
              <w:top w:val="nil"/>
              <w:left w:val="nil"/>
              <w:bottom w:val="nil"/>
              <w:right w:val="nil"/>
            </w:tcBorders>
            <w:shd w:val="clear" w:color="auto" w:fill="auto"/>
            <w:noWrap/>
            <w:vAlign w:val="bottom"/>
            <w:hideMark/>
          </w:tcPr>
          <w:p w14:paraId="673138FA" w14:textId="77777777" w:rsidR="00612BA8" w:rsidRPr="00986F85" w:rsidRDefault="00612BA8" w:rsidP="00612BA8">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1134" w:type="dxa"/>
            <w:tcBorders>
              <w:top w:val="nil"/>
              <w:left w:val="nil"/>
              <w:bottom w:val="nil"/>
              <w:right w:val="nil"/>
            </w:tcBorders>
            <w:shd w:val="clear" w:color="auto" w:fill="auto"/>
            <w:noWrap/>
            <w:vAlign w:val="bottom"/>
            <w:hideMark/>
          </w:tcPr>
          <w:p w14:paraId="6663C13C" w14:textId="77777777" w:rsidR="00612BA8" w:rsidRPr="00986F85" w:rsidRDefault="00612BA8" w:rsidP="00612BA8">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992" w:type="dxa"/>
            <w:tcBorders>
              <w:top w:val="nil"/>
              <w:left w:val="nil"/>
              <w:bottom w:val="nil"/>
              <w:right w:val="nil"/>
            </w:tcBorders>
            <w:shd w:val="clear" w:color="auto" w:fill="auto"/>
            <w:noWrap/>
            <w:vAlign w:val="bottom"/>
            <w:hideMark/>
          </w:tcPr>
          <w:p w14:paraId="1BF902A6" w14:textId="77777777" w:rsidR="00612BA8" w:rsidRPr="00986F85" w:rsidRDefault="00612BA8" w:rsidP="00612BA8">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851" w:type="dxa"/>
            <w:tcBorders>
              <w:top w:val="nil"/>
              <w:left w:val="nil"/>
              <w:bottom w:val="nil"/>
              <w:right w:val="nil"/>
            </w:tcBorders>
            <w:shd w:val="clear" w:color="auto" w:fill="auto"/>
            <w:noWrap/>
            <w:vAlign w:val="bottom"/>
            <w:hideMark/>
          </w:tcPr>
          <w:p w14:paraId="3AE76AB4" w14:textId="77777777" w:rsidR="00612BA8" w:rsidRPr="00986F85" w:rsidRDefault="00612BA8" w:rsidP="00612BA8">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708" w:type="dxa"/>
            <w:tcBorders>
              <w:top w:val="nil"/>
              <w:left w:val="nil"/>
              <w:bottom w:val="nil"/>
              <w:right w:val="nil"/>
            </w:tcBorders>
            <w:shd w:val="clear" w:color="auto" w:fill="auto"/>
            <w:noWrap/>
            <w:vAlign w:val="bottom"/>
            <w:hideMark/>
          </w:tcPr>
          <w:p w14:paraId="5AF55168" w14:textId="77777777" w:rsidR="00612BA8" w:rsidRPr="00986F85" w:rsidRDefault="00612BA8" w:rsidP="00612BA8">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993" w:type="dxa"/>
            <w:tcBorders>
              <w:top w:val="nil"/>
              <w:left w:val="nil"/>
              <w:bottom w:val="nil"/>
              <w:right w:val="nil"/>
            </w:tcBorders>
            <w:shd w:val="clear" w:color="auto" w:fill="auto"/>
            <w:noWrap/>
            <w:vAlign w:val="bottom"/>
            <w:hideMark/>
          </w:tcPr>
          <w:p w14:paraId="1040F0B4" w14:textId="77777777" w:rsidR="00612BA8" w:rsidRPr="00986F85" w:rsidRDefault="00612BA8" w:rsidP="00612BA8">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992" w:type="dxa"/>
            <w:tcBorders>
              <w:top w:val="nil"/>
              <w:left w:val="nil"/>
              <w:bottom w:val="nil"/>
              <w:right w:val="nil"/>
            </w:tcBorders>
            <w:shd w:val="clear" w:color="auto" w:fill="auto"/>
            <w:noWrap/>
            <w:vAlign w:val="bottom"/>
            <w:hideMark/>
          </w:tcPr>
          <w:p w14:paraId="265EEEC7" w14:textId="77777777" w:rsidR="00612BA8" w:rsidRPr="00986F85" w:rsidRDefault="00612BA8" w:rsidP="00612BA8">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c>
          <w:tcPr>
            <w:tcW w:w="850" w:type="dxa"/>
            <w:tcBorders>
              <w:top w:val="nil"/>
              <w:left w:val="nil"/>
              <w:bottom w:val="nil"/>
              <w:right w:val="nil"/>
            </w:tcBorders>
            <w:shd w:val="clear" w:color="auto" w:fill="auto"/>
            <w:noWrap/>
            <w:vAlign w:val="bottom"/>
            <w:hideMark/>
          </w:tcPr>
          <w:p w14:paraId="22FB036A" w14:textId="77777777" w:rsidR="00612BA8" w:rsidRPr="00986F85" w:rsidRDefault="00612BA8" w:rsidP="00612BA8">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r>
      <w:tr w:rsidR="00CA2A48" w:rsidRPr="00986F85" w14:paraId="0BF66C30" w14:textId="77777777" w:rsidTr="00CA2A48">
        <w:trPr>
          <w:trHeight w:val="280"/>
        </w:trPr>
        <w:tc>
          <w:tcPr>
            <w:tcW w:w="1575" w:type="dxa"/>
            <w:tcBorders>
              <w:top w:val="nil"/>
              <w:left w:val="nil"/>
              <w:bottom w:val="nil"/>
              <w:right w:val="nil"/>
            </w:tcBorders>
            <w:shd w:val="clear" w:color="auto" w:fill="B10000"/>
            <w:noWrap/>
            <w:vAlign w:val="bottom"/>
            <w:hideMark/>
          </w:tcPr>
          <w:p w14:paraId="39CDDC66" w14:textId="77777777" w:rsidR="00612BA8" w:rsidRPr="00986F85" w:rsidRDefault="00612BA8" w:rsidP="00612BA8">
            <w:pPr>
              <w:suppressAutoHyphens w:val="0"/>
              <w:spacing w:after="0" w:line="240" w:lineRule="auto"/>
              <w:rPr>
                <w:rFonts w:eastAsia="Times New Roman" w:cs="Times New Roman"/>
                <w:color w:val="FFFFFF"/>
                <w:sz w:val="22"/>
                <w:lang w:val="en-US" w:eastAsia="en-US"/>
              </w:rPr>
            </w:pPr>
            <w:r w:rsidRPr="00986F85">
              <w:rPr>
                <w:rFonts w:eastAsia="Times New Roman" w:cs="Times New Roman"/>
                <w:color w:val="FFFFFF"/>
                <w:sz w:val="22"/>
                <w:lang w:val="en-US" w:eastAsia="en-US"/>
              </w:rPr>
              <w:t>ROP-ok</w:t>
            </w:r>
          </w:p>
        </w:tc>
        <w:tc>
          <w:tcPr>
            <w:tcW w:w="992" w:type="dxa"/>
            <w:tcBorders>
              <w:top w:val="nil"/>
              <w:left w:val="nil"/>
              <w:bottom w:val="nil"/>
              <w:right w:val="nil"/>
            </w:tcBorders>
            <w:shd w:val="clear" w:color="auto" w:fill="auto"/>
            <w:noWrap/>
            <w:vAlign w:val="bottom"/>
            <w:hideMark/>
          </w:tcPr>
          <w:p w14:paraId="298D0322" w14:textId="77777777" w:rsidR="00612BA8" w:rsidRPr="00986F85" w:rsidRDefault="00612BA8" w:rsidP="00612BA8">
            <w:pPr>
              <w:suppressAutoHyphens w:val="0"/>
              <w:spacing w:after="0" w:line="240" w:lineRule="auto"/>
              <w:rPr>
                <w:rFonts w:eastAsia="Times New Roman" w:cs="Times New Roman"/>
                <w:color w:val="000000"/>
                <w:sz w:val="22"/>
                <w:lang w:val="en-US" w:eastAsia="en-US"/>
              </w:rPr>
            </w:pPr>
          </w:p>
        </w:tc>
        <w:tc>
          <w:tcPr>
            <w:tcW w:w="1134" w:type="dxa"/>
            <w:tcBorders>
              <w:top w:val="nil"/>
              <w:left w:val="nil"/>
              <w:bottom w:val="nil"/>
              <w:right w:val="nil"/>
            </w:tcBorders>
            <w:shd w:val="clear" w:color="auto" w:fill="auto"/>
            <w:noWrap/>
            <w:vAlign w:val="bottom"/>
            <w:hideMark/>
          </w:tcPr>
          <w:p w14:paraId="21BDED2B" w14:textId="77777777" w:rsidR="00612BA8" w:rsidRPr="00986F85" w:rsidRDefault="00612BA8" w:rsidP="00612BA8">
            <w:pPr>
              <w:suppressAutoHyphens w:val="0"/>
              <w:spacing w:after="0" w:line="240" w:lineRule="auto"/>
              <w:rPr>
                <w:rFonts w:eastAsia="Times New Roman" w:cs="Times New Roman"/>
                <w:color w:val="000000"/>
                <w:sz w:val="22"/>
                <w:lang w:val="en-US" w:eastAsia="en-US"/>
              </w:rPr>
            </w:pPr>
          </w:p>
        </w:tc>
        <w:tc>
          <w:tcPr>
            <w:tcW w:w="992" w:type="dxa"/>
            <w:tcBorders>
              <w:top w:val="nil"/>
              <w:left w:val="nil"/>
              <w:bottom w:val="nil"/>
              <w:right w:val="nil"/>
            </w:tcBorders>
            <w:shd w:val="clear" w:color="auto" w:fill="auto"/>
            <w:noWrap/>
            <w:vAlign w:val="bottom"/>
            <w:hideMark/>
          </w:tcPr>
          <w:p w14:paraId="0E405ED8" w14:textId="77777777" w:rsidR="00612BA8" w:rsidRPr="00986F85" w:rsidRDefault="00612BA8" w:rsidP="00612BA8">
            <w:pPr>
              <w:suppressAutoHyphens w:val="0"/>
              <w:spacing w:after="0" w:line="240" w:lineRule="auto"/>
              <w:rPr>
                <w:rFonts w:eastAsia="Times New Roman" w:cs="Times New Roman"/>
                <w:color w:val="000000"/>
                <w:sz w:val="22"/>
                <w:lang w:val="en-US" w:eastAsia="en-US"/>
              </w:rPr>
            </w:pPr>
          </w:p>
        </w:tc>
        <w:tc>
          <w:tcPr>
            <w:tcW w:w="851" w:type="dxa"/>
            <w:tcBorders>
              <w:top w:val="nil"/>
              <w:left w:val="nil"/>
              <w:bottom w:val="nil"/>
              <w:right w:val="nil"/>
            </w:tcBorders>
            <w:shd w:val="clear" w:color="auto" w:fill="auto"/>
            <w:noWrap/>
            <w:vAlign w:val="bottom"/>
            <w:hideMark/>
          </w:tcPr>
          <w:p w14:paraId="56833E3D" w14:textId="77777777" w:rsidR="00612BA8" w:rsidRPr="00986F85" w:rsidRDefault="00612BA8" w:rsidP="00612BA8">
            <w:pPr>
              <w:suppressAutoHyphens w:val="0"/>
              <w:spacing w:after="0" w:line="240" w:lineRule="auto"/>
              <w:rPr>
                <w:rFonts w:eastAsia="Times New Roman" w:cs="Times New Roman"/>
                <w:color w:val="000000"/>
                <w:sz w:val="22"/>
                <w:lang w:val="en-US" w:eastAsia="en-US"/>
              </w:rPr>
            </w:pPr>
          </w:p>
        </w:tc>
        <w:tc>
          <w:tcPr>
            <w:tcW w:w="708" w:type="dxa"/>
            <w:tcBorders>
              <w:top w:val="nil"/>
              <w:left w:val="nil"/>
              <w:bottom w:val="nil"/>
              <w:right w:val="nil"/>
            </w:tcBorders>
            <w:shd w:val="clear" w:color="auto" w:fill="auto"/>
            <w:noWrap/>
            <w:vAlign w:val="bottom"/>
            <w:hideMark/>
          </w:tcPr>
          <w:p w14:paraId="03F785BA" w14:textId="77777777" w:rsidR="00612BA8" w:rsidRPr="00986F85" w:rsidRDefault="00612BA8" w:rsidP="00612BA8">
            <w:pPr>
              <w:suppressAutoHyphens w:val="0"/>
              <w:spacing w:after="0" w:line="240" w:lineRule="auto"/>
              <w:rPr>
                <w:rFonts w:eastAsia="Times New Roman" w:cs="Times New Roman"/>
                <w:color w:val="000000"/>
                <w:sz w:val="22"/>
                <w:lang w:val="en-US" w:eastAsia="en-US"/>
              </w:rPr>
            </w:pPr>
          </w:p>
        </w:tc>
        <w:tc>
          <w:tcPr>
            <w:tcW w:w="993" w:type="dxa"/>
            <w:tcBorders>
              <w:top w:val="nil"/>
              <w:left w:val="nil"/>
              <w:bottom w:val="nil"/>
              <w:right w:val="nil"/>
            </w:tcBorders>
            <w:shd w:val="clear" w:color="auto" w:fill="auto"/>
            <w:noWrap/>
            <w:vAlign w:val="bottom"/>
            <w:hideMark/>
          </w:tcPr>
          <w:p w14:paraId="49D1E2B2" w14:textId="77777777" w:rsidR="00612BA8" w:rsidRPr="00986F85" w:rsidRDefault="00612BA8" w:rsidP="00612BA8">
            <w:pPr>
              <w:suppressAutoHyphens w:val="0"/>
              <w:spacing w:after="0" w:line="240" w:lineRule="auto"/>
              <w:rPr>
                <w:rFonts w:eastAsia="Times New Roman" w:cs="Times New Roman"/>
                <w:color w:val="000000"/>
                <w:sz w:val="22"/>
                <w:lang w:val="en-US" w:eastAsia="en-US"/>
              </w:rPr>
            </w:pPr>
          </w:p>
        </w:tc>
        <w:tc>
          <w:tcPr>
            <w:tcW w:w="992" w:type="dxa"/>
            <w:tcBorders>
              <w:top w:val="nil"/>
              <w:left w:val="nil"/>
              <w:bottom w:val="nil"/>
              <w:right w:val="nil"/>
            </w:tcBorders>
            <w:shd w:val="clear" w:color="auto" w:fill="auto"/>
            <w:noWrap/>
            <w:vAlign w:val="bottom"/>
            <w:hideMark/>
          </w:tcPr>
          <w:p w14:paraId="13F2B45D" w14:textId="77777777" w:rsidR="00612BA8" w:rsidRPr="00986F85" w:rsidRDefault="00612BA8" w:rsidP="00612BA8">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4112</w:t>
            </w:r>
          </w:p>
        </w:tc>
        <w:tc>
          <w:tcPr>
            <w:tcW w:w="850" w:type="dxa"/>
            <w:tcBorders>
              <w:top w:val="nil"/>
              <w:left w:val="nil"/>
              <w:bottom w:val="nil"/>
              <w:right w:val="nil"/>
            </w:tcBorders>
            <w:shd w:val="clear" w:color="auto" w:fill="auto"/>
            <w:noWrap/>
            <w:vAlign w:val="bottom"/>
            <w:hideMark/>
          </w:tcPr>
          <w:p w14:paraId="60FE0443" w14:textId="77777777" w:rsidR="00612BA8" w:rsidRPr="00986F85" w:rsidRDefault="00612BA8" w:rsidP="00612BA8">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0</w:t>
            </w:r>
          </w:p>
        </w:tc>
      </w:tr>
      <w:tr w:rsidR="00CA2A48" w:rsidRPr="00986F85" w14:paraId="3A3EF46B" w14:textId="77777777" w:rsidTr="00CA2A48">
        <w:trPr>
          <w:trHeight w:val="280"/>
        </w:trPr>
        <w:tc>
          <w:tcPr>
            <w:tcW w:w="1575" w:type="dxa"/>
            <w:tcBorders>
              <w:top w:val="nil"/>
              <w:left w:val="nil"/>
              <w:bottom w:val="nil"/>
              <w:right w:val="nil"/>
            </w:tcBorders>
            <w:shd w:val="clear" w:color="auto" w:fill="B10000"/>
            <w:noWrap/>
            <w:vAlign w:val="bottom"/>
            <w:hideMark/>
          </w:tcPr>
          <w:p w14:paraId="07A12BDB" w14:textId="77777777" w:rsidR="00612BA8" w:rsidRPr="00986F85" w:rsidRDefault="00612BA8" w:rsidP="00612BA8">
            <w:pPr>
              <w:suppressAutoHyphens w:val="0"/>
              <w:spacing w:after="0" w:line="240" w:lineRule="auto"/>
              <w:rPr>
                <w:rFonts w:eastAsia="Times New Roman" w:cs="Times New Roman"/>
                <w:color w:val="FFFFFF"/>
                <w:sz w:val="22"/>
                <w:lang w:val="en-US" w:eastAsia="en-US"/>
              </w:rPr>
            </w:pPr>
            <w:r w:rsidRPr="00986F85">
              <w:rPr>
                <w:rFonts w:eastAsia="Times New Roman" w:cs="Times New Roman"/>
                <w:color w:val="FFFFFF"/>
                <w:sz w:val="22"/>
                <w:lang w:val="en-US" w:eastAsia="en-US"/>
              </w:rPr>
              <w:t>Egyéb</w:t>
            </w:r>
          </w:p>
        </w:tc>
        <w:tc>
          <w:tcPr>
            <w:tcW w:w="992" w:type="dxa"/>
            <w:tcBorders>
              <w:top w:val="nil"/>
              <w:left w:val="nil"/>
              <w:bottom w:val="nil"/>
              <w:right w:val="nil"/>
            </w:tcBorders>
            <w:shd w:val="clear" w:color="auto" w:fill="auto"/>
            <w:noWrap/>
            <w:vAlign w:val="bottom"/>
            <w:hideMark/>
          </w:tcPr>
          <w:p w14:paraId="4D1C2FCC" w14:textId="77777777" w:rsidR="00612BA8" w:rsidRPr="00986F85" w:rsidRDefault="00612BA8" w:rsidP="00612BA8">
            <w:pPr>
              <w:suppressAutoHyphens w:val="0"/>
              <w:spacing w:after="0" w:line="240" w:lineRule="auto"/>
              <w:rPr>
                <w:rFonts w:eastAsia="Times New Roman" w:cs="Times New Roman"/>
                <w:color w:val="000000"/>
                <w:sz w:val="22"/>
                <w:lang w:val="en-US" w:eastAsia="en-US"/>
              </w:rPr>
            </w:pPr>
          </w:p>
        </w:tc>
        <w:tc>
          <w:tcPr>
            <w:tcW w:w="1134" w:type="dxa"/>
            <w:tcBorders>
              <w:top w:val="nil"/>
              <w:left w:val="nil"/>
              <w:bottom w:val="nil"/>
              <w:right w:val="nil"/>
            </w:tcBorders>
            <w:shd w:val="clear" w:color="auto" w:fill="auto"/>
            <w:noWrap/>
            <w:vAlign w:val="bottom"/>
            <w:hideMark/>
          </w:tcPr>
          <w:p w14:paraId="4D628AA3" w14:textId="77777777" w:rsidR="00612BA8" w:rsidRPr="00986F85" w:rsidRDefault="00612BA8" w:rsidP="00612BA8">
            <w:pPr>
              <w:suppressAutoHyphens w:val="0"/>
              <w:spacing w:after="0" w:line="240" w:lineRule="auto"/>
              <w:rPr>
                <w:rFonts w:eastAsia="Times New Roman" w:cs="Times New Roman"/>
                <w:color w:val="000000"/>
                <w:sz w:val="22"/>
                <w:lang w:val="en-US" w:eastAsia="en-US"/>
              </w:rPr>
            </w:pPr>
          </w:p>
        </w:tc>
        <w:tc>
          <w:tcPr>
            <w:tcW w:w="992" w:type="dxa"/>
            <w:tcBorders>
              <w:top w:val="nil"/>
              <w:left w:val="nil"/>
              <w:bottom w:val="nil"/>
              <w:right w:val="nil"/>
            </w:tcBorders>
            <w:shd w:val="clear" w:color="auto" w:fill="auto"/>
            <w:noWrap/>
            <w:vAlign w:val="bottom"/>
            <w:hideMark/>
          </w:tcPr>
          <w:p w14:paraId="586D6DC6" w14:textId="77777777" w:rsidR="00612BA8" w:rsidRPr="00986F85" w:rsidRDefault="00612BA8" w:rsidP="00612BA8">
            <w:pPr>
              <w:suppressAutoHyphens w:val="0"/>
              <w:spacing w:after="0" w:line="240" w:lineRule="auto"/>
              <w:rPr>
                <w:rFonts w:eastAsia="Times New Roman" w:cs="Times New Roman"/>
                <w:color w:val="000000"/>
                <w:sz w:val="22"/>
                <w:lang w:val="en-US" w:eastAsia="en-US"/>
              </w:rPr>
            </w:pPr>
          </w:p>
        </w:tc>
        <w:tc>
          <w:tcPr>
            <w:tcW w:w="851" w:type="dxa"/>
            <w:tcBorders>
              <w:top w:val="nil"/>
              <w:left w:val="nil"/>
              <w:bottom w:val="nil"/>
              <w:right w:val="nil"/>
            </w:tcBorders>
            <w:shd w:val="clear" w:color="auto" w:fill="auto"/>
            <w:noWrap/>
            <w:vAlign w:val="bottom"/>
            <w:hideMark/>
          </w:tcPr>
          <w:p w14:paraId="7919279B" w14:textId="77777777" w:rsidR="00612BA8" w:rsidRPr="00986F85" w:rsidRDefault="00612BA8" w:rsidP="00612BA8">
            <w:pPr>
              <w:suppressAutoHyphens w:val="0"/>
              <w:spacing w:after="0" w:line="240" w:lineRule="auto"/>
              <w:rPr>
                <w:rFonts w:eastAsia="Times New Roman" w:cs="Times New Roman"/>
                <w:color w:val="000000"/>
                <w:sz w:val="22"/>
                <w:lang w:val="en-US" w:eastAsia="en-US"/>
              </w:rPr>
            </w:pPr>
          </w:p>
        </w:tc>
        <w:tc>
          <w:tcPr>
            <w:tcW w:w="708" w:type="dxa"/>
            <w:tcBorders>
              <w:top w:val="nil"/>
              <w:left w:val="nil"/>
              <w:bottom w:val="nil"/>
              <w:right w:val="nil"/>
            </w:tcBorders>
            <w:shd w:val="clear" w:color="auto" w:fill="auto"/>
            <w:noWrap/>
            <w:vAlign w:val="bottom"/>
            <w:hideMark/>
          </w:tcPr>
          <w:p w14:paraId="55116DFA" w14:textId="77777777" w:rsidR="00612BA8" w:rsidRPr="00986F85" w:rsidRDefault="00612BA8" w:rsidP="00612BA8">
            <w:pPr>
              <w:suppressAutoHyphens w:val="0"/>
              <w:spacing w:after="0" w:line="240" w:lineRule="auto"/>
              <w:rPr>
                <w:rFonts w:eastAsia="Times New Roman" w:cs="Times New Roman"/>
                <w:color w:val="000000"/>
                <w:sz w:val="22"/>
                <w:lang w:val="en-US" w:eastAsia="en-US"/>
              </w:rPr>
            </w:pPr>
          </w:p>
        </w:tc>
        <w:tc>
          <w:tcPr>
            <w:tcW w:w="993" w:type="dxa"/>
            <w:tcBorders>
              <w:top w:val="nil"/>
              <w:left w:val="nil"/>
              <w:bottom w:val="nil"/>
              <w:right w:val="nil"/>
            </w:tcBorders>
            <w:shd w:val="clear" w:color="auto" w:fill="auto"/>
            <w:noWrap/>
            <w:vAlign w:val="bottom"/>
            <w:hideMark/>
          </w:tcPr>
          <w:p w14:paraId="18B4F5A7" w14:textId="77777777" w:rsidR="00612BA8" w:rsidRPr="00986F85" w:rsidRDefault="00612BA8" w:rsidP="00612BA8">
            <w:pPr>
              <w:suppressAutoHyphens w:val="0"/>
              <w:spacing w:after="0" w:line="240" w:lineRule="auto"/>
              <w:rPr>
                <w:rFonts w:eastAsia="Times New Roman" w:cs="Times New Roman"/>
                <w:color w:val="000000"/>
                <w:sz w:val="22"/>
                <w:lang w:val="en-US" w:eastAsia="en-US"/>
              </w:rPr>
            </w:pPr>
          </w:p>
        </w:tc>
        <w:tc>
          <w:tcPr>
            <w:tcW w:w="992" w:type="dxa"/>
            <w:tcBorders>
              <w:top w:val="nil"/>
              <w:left w:val="nil"/>
              <w:bottom w:val="nil"/>
              <w:right w:val="nil"/>
            </w:tcBorders>
            <w:shd w:val="clear" w:color="auto" w:fill="auto"/>
            <w:noWrap/>
            <w:vAlign w:val="bottom"/>
            <w:hideMark/>
          </w:tcPr>
          <w:p w14:paraId="7140B55F" w14:textId="77777777" w:rsidR="00612BA8" w:rsidRPr="00986F85" w:rsidRDefault="00612BA8" w:rsidP="00612BA8">
            <w:pPr>
              <w:suppressAutoHyphens w:val="0"/>
              <w:spacing w:after="0" w:line="240" w:lineRule="auto"/>
              <w:rPr>
                <w:rFonts w:eastAsia="Times New Roman" w:cs="Times New Roman"/>
                <w:color w:val="000000"/>
                <w:sz w:val="22"/>
                <w:lang w:val="en-US" w:eastAsia="en-US"/>
              </w:rPr>
            </w:pPr>
          </w:p>
        </w:tc>
        <w:tc>
          <w:tcPr>
            <w:tcW w:w="850" w:type="dxa"/>
            <w:tcBorders>
              <w:top w:val="nil"/>
              <w:left w:val="nil"/>
              <w:bottom w:val="nil"/>
              <w:right w:val="nil"/>
            </w:tcBorders>
            <w:shd w:val="clear" w:color="auto" w:fill="auto"/>
            <w:noWrap/>
            <w:vAlign w:val="bottom"/>
            <w:hideMark/>
          </w:tcPr>
          <w:p w14:paraId="5A7AF612" w14:textId="77777777" w:rsidR="00612BA8" w:rsidRPr="00986F85" w:rsidRDefault="00612BA8" w:rsidP="00612BA8">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8867</w:t>
            </w:r>
          </w:p>
        </w:tc>
      </w:tr>
    </w:tbl>
    <w:p w14:paraId="1C338B95" w14:textId="77777777" w:rsidR="00CA2A48" w:rsidRPr="00986F85" w:rsidRDefault="00CA2A48" w:rsidP="00CA2A48">
      <w:pPr>
        <w:spacing w:after="0" w:line="240" w:lineRule="auto"/>
        <w:jc w:val="center"/>
        <w:rPr>
          <w:rFonts w:cs="Times New Roman"/>
          <w:i/>
          <w:szCs w:val="24"/>
        </w:rPr>
      </w:pPr>
      <w:r w:rsidRPr="00986F85">
        <w:rPr>
          <w:rFonts w:cs="Times New Roman"/>
          <w:i/>
          <w:szCs w:val="24"/>
        </w:rPr>
        <w:t>Forrás: EMIR adatbázis</w:t>
      </w:r>
    </w:p>
    <w:p w14:paraId="007E9D63" w14:textId="77777777" w:rsidR="00CA2A48" w:rsidRPr="00986F85" w:rsidRDefault="00CA2A48" w:rsidP="00CA2A48">
      <w:pPr>
        <w:spacing w:after="0" w:line="240" w:lineRule="auto"/>
        <w:jc w:val="both"/>
        <w:rPr>
          <w:rFonts w:cs="Times New Roman"/>
          <w:i/>
          <w:szCs w:val="24"/>
        </w:rPr>
      </w:pPr>
      <w:r w:rsidRPr="00986F85">
        <w:rPr>
          <w:rFonts w:cs="Times New Roman"/>
          <w:i/>
          <w:szCs w:val="24"/>
        </w:rPr>
        <w:t xml:space="preserve">Magyarázat: Az ’Egyéb’ program alatt az EMIR lekérdezésben szereplő, korábbi periódus (2004-2006) operatív programjai, illetve az Agrár- és Vidékfejlesztési Operatív Program szerepel. </w:t>
      </w:r>
    </w:p>
    <w:p w14:paraId="146892AB" w14:textId="77777777" w:rsidR="00CA2A48" w:rsidRPr="00986F85" w:rsidRDefault="00CA2A48" w:rsidP="00CA2A48">
      <w:pPr>
        <w:spacing w:after="0" w:line="240" w:lineRule="auto"/>
        <w:jc w:val="both"/>
        <w:rPr>
          <w:rFonts w:cs="Times New Roman"/>
          <w:i/>
          <w:szCs w:val="24"/>
        </w:rPr>
      </w:pPr>
      <w:r w:rsidRPr="00986F85">
        <w:rPr>
          <w:rFonts w:cs="Times New Roman"/>
          <w:i/>
          <w:szCs w:val="24"/>
        </w:rPr>
        <w:t xml:space="preserve">Megjegyzés: A kimutatás a 2004-2006 és 2007-2013 közötti időszak különböző operatív programjaiban nyertes cégeket és pályázatokat tartalmazó, 2011. év végi lehívással rendelkezésünkre bocsátott EMIR adatbázis alapján készült. Az adatbázisban számottevő a hibásan kódolt pályázati rekord, azaz olyan adatsor, melyben például a pályázati kód, a pályázat nyerésének éve, és a kiírás kódja nem egyezik meg. Így a fenti számok csak </w:t>
      </w:r>
      <w:r w:rsidR="00CC7F31" w:rsidRPr="00986F85">
        <w:rPr>
          <w:rFonts w:cs="Times New Roman"/>
          <w:i/>
          <w:szCs w:val="24"/>
        </w:rPr>
        <w:t>irányadóként értelmezhetők</w:t>
      </w:r>
      <w:r w:rsidRPr="00986F85">
        <w:rPr>
          <w:rFonts w:cs="Times New Roman"/>
          <w:i/>
          <w:szCs w:val="24"/>
        </w:rPr>
        <w:t>!</w:t>
      </w:r>
    </w:p>
    <w:p w14:paraId="0ACF6A57" w14:textId="77777777" w:rsidR="006B1832" w:rsidRPr="00986F85" w:rsidRDefault="006B1832" w:rsidP="00B04415">
      <w:pPr>
        <w:spacing w:after="0" w:line="360" w:lineRule="auto"/>
        <w:jc w:val="both"/>
        <w:rPr>
          <w:rFonts w:cs="Times New Roman"/>
          <w:b/>
          <w:szCs w:val="24"/>
        </w:rPr>
      </w:pPr>
    </w:p>
    <w:p w14:paraId="522F3DC5" w14:textId="77777777" w:rsidR="00ED411B" w:rsidRPr="00986F85" w:rsidRDefault="00ED411B" w:rsidP="00B04415">
      <w:pPr>
        <w:spacing w:after="0" w:line="360" w:lineRule="auto"/>
        <w:jc w:val="both"/>
        <w:rPr>
          <w:rFonts w:cs="Times New Roman"/>
          <w:b/>
          <w:szCs w:val="24"/>
        </w:rPr>
      </w:pPr>
      <w:r w:rsidRPr="00986F85">
        <w:rPr>
          <w:rFonts w:cs="Times New Roman"/>
          <w:szCs w:val="24"/>
        </w:rPr>
        <w:t>A fentebb jelzett adatproblémák és hiányosságok okán a leíró elemzést továbbiakban a GOP</w:t>
      </w:r>
      <w:r w:rsidR="004A3EA6" w:rsidRPr="00986F85">
        <w:rPr>
          <w:rFonts w:cs="Times New Roman"/>
          <w:szCs w:val="24"/>
        </w:rPr>
        <w:t>2.1.1.</w:t>
      </w:r>
      <w:r w:rsidRPr="00986F85">
        <w:rPr>
          <w:rFonts w:cs="Times New Roman"/>
          <w:szCs w:val="24"/>
        </w:rPr>
        <w:t xml:space="preserve"> és a hozzájuk hasonló </w:t>
      </w:r>
      <w:r w:rsidR="004A3EA6" w:rsidRPr="00986F85">
        <w:rPr>
          <w:rFonts w:cs="Times New Roman"/>
          <w:szCs w:val="24"/>
        </w:rPr>
        <w:t>KMOP 1.2.1.</w:t>
      </w:r>
      <w:r w:rsidRPr="00986F85">
        <w:rPr>
          <w:rFonts w:cs="Times New Roman"/>
          <w:szCs w:val="24"/>
        </w:rPr>
        <w:t xml:space="preserve"> nyertesek körére folytatjuk. </w:t>
      </w:r>
    </w:p>
    <w:p w14:paraId="79618C90" w14:textId="77777777" w:rsidR="00664566" w:rsidRPr="00986F85" w:rsidRDefault="00664566" w:rsidP="00B04415">
      <w:pPr>
        <w:spacing w:after="0" w:line="360" w:lineRule="auto"/>
        <w:jc w:val="both"/>
        <w:rPr>
          <w:rFonts w:cs="Times New Roman"/>
          <w:b/>
          <w:szCs w:val="24"/>
        </w:rPr>
      </w:pPr>
    </w:p>
    <w:p w14:paraId="2E5A5850" w14:textId="77777777" w:rsidR="00045267" w:rsidRPr="00986F85" w:rsidRDefault="00045267" w:rsidP="00B04415">
      <w:pPr>
        <w:spacing w:after="0" w:line="360" w:lineRule="auto"/>
        <w:jc w:val="both"/>
        <w:rPr>
          <w:rFonts w:cs="Times New Roman"/>
          <w:b/>
          <w:szCs w:val="24"/>
        </w:rPr>
      </w:pPr>
      <w:r w:rsidRPr="00986F85">
        <w:rPr>
          <w:rFonts w:cs="Times New Roman"/>
          <w:b/>
          <w:szCs w:val="24"/>
        </w:rPr>
        <w:t xml:space="preserve">Területi és ágazati </w:t>
      </w:r>
      <w:r w:rsidR="001215AC" w:rsidRPr="00986F85">
        <w:rPr>
          <w:rFonts w:cs="Times New Roman"/>
          <w:b/>
          <w:szCs w:val="24"/>
        </w:rPr>
        <w:t>célzás</w:t>
      </w:r>
    </w:p>
    <w:p w14:paraId="5AFAD365" w14:textId="77777777" w:rsidR="00045267" w:rsidRPr="00986F85" w:rsidRDefault="00F63C17" w:rsidP="00B04415">
      <w:pPr>
        <w:spacing w:after="0" w:line="360" w:lineRule="auto"/>
        <w:jc w:val="both"/>
        <w:rPr>
          <w:rFonts w:cs="Times New Roman"/>
          <w:szCs w:val="24"/>
        </w:rPr>
      </w:pPr>
      <w:r w:rsidRPr="00986F85">
        <w:rPr>
          <w:rFonts w:cs="Times New Roman"/>
          <w:szCs w:val="24"/>
        </w:rPr>
        <w:t xml:space="preserve">A GOP 2.1.1. nyertesek regionális megoszlása nem </w:t>
      </w:r>
      <w:r w:rsidR="005B5B40" w:rsidRPr="00986F85">
        <w:rPr>
          <w:rFonts w:cs="Times New Roman"/>
          <w:szCs w:val="24"/>
        </w:rPr>
        <w:t xml:space="preserve">mutat nagy szóródást, azonban az LHH kistérségekben található nyertes cégek aránya elenyésző </w:t>
      </w:r>
      <w:r w:rsidR="009F78C2" w:rsidRPr="00986F85">
        <w:rPr>
          <w:rFonts w:cs="Times New Roman"/>
          <w:szCs w:val="24"/>
        </w:rPr>
        <w:t>a GOP2.1.1. B és C</w:t>
      </w:r>
      <w:r w:rsidR="00965AC4" w:rsidRPr="00986F85">
        <w:rPr>
          <w:rFonts w:cs="Times New Roman"/>
          <w:szCs w:val="24"/>
        </w:rPr>
        <w:t>,</w:t>
      </w:r>
      <w:r w:rsidR="009F78C2" w:rsidRPr="00986F85">
        <w:rPr>
          <w:rFonts w:cs="Times New Roman"/>
          <w:szCs w:val="24"/>
        </w:rPr>
        <w:t xml:space="preserve"> és 10 százalékot közelíti a GOP2.1.1. A konstrukció esetében </w:t>
      </w:r>
      <w:r w:rsidR="009E2EDD" w:rsidRPr="00986F85">
        <w:rPr>
          <w:rFonts w:cs="Times New Roman"/>
          <w:szCs w:val="24"/>
        </w:rPr>
        <w:t>(lásd alábbi táblázatok), mely majd duplája a kontroll sokaságban megfigyelhető arányhoz képest.</w:t>
      </w:r>
    </w:p>
    <w:p w14:paraId="638CBDD4" w14:textId="77777777" w:rsidR="001C3626" w:rsidRPr="00986F85" w:rsidRDefault="001C3626" w:rsidP="00B04415">
      <w:pPr>
        <w:spacing w:after="0" w:line="360" w:lineRule="auto"/>
        <w:jc w:val="both"/>
        <w:rPr>
          <w:rFonts w:cs="Times New Roman"/>
          <w:szCs w:val="24"/>
        </w:rPr>
      </w:pPr>
    </w:p>
    <w:p w14:paraId="295B5CB0" w14:textId="77777777" w:rsidR="000B0EB0" w:rsidRPr="00986F85" w:rsidRDefault="005657E8" w:rsidP="000B0EB0">
      <w:pPr>
        <w:pStyle w:val="Kpalrs"/>
        <w:keepNext/>
        <w:jc w:val="center"/>
      </w:pPr>
      <w:fldSimple w:instr=" SEQ ábra \* ARABIC ">
        <w:bookmarkStart w:id="45" w:name="_Toc230854341"/>
        <w:r w:rsidR="00CF3CEC" w:rsidRPr="00986F85">
          <w:rPr>
            <w:noProof/>
          </w:rPr>
          <w:t>9</w:t>
        </w:r>
      </w:fldSimple>
      <w:r w:rsidR="000B0EB0" w:rsidRPr="00986F85">
        <w:t xml:space="preserve">. ábra: </w:t>
      </w:r>
      <w:r w:rsidR="000B0EB0" w:rsidRPr="00986F85">
        <w:rPr>
          <w:rFonts w:cs="Times New Roman"/>
        </w:rPr>
        <w:t>Kezelt vállaltok regionális eloszlása – GOP</w:t>
      </w:r>
      <w:r w:rsidR="00F7103E" w:rsidRPr="00986F85">
        <w:rPr>
          <w:rFonts w:cs="Times New Roman"/>
        </w:rPr>
        <w:t>2.1.1.A</w:t>
      </w:r>
      <w:r w:rsidR="000B0EB0" w:rsidRPr="00986F85">
        <w:rPr>
          <w:rFonts w:cs="Times New Roman"/>
        </w:rPr>
        <w:t>, 2011</w:t>
      </w:r>
      <w:bookmarkEnd w:id="45"/>
    </w:p>
    <w:p w14:paraId="30FF8A47" w14:textId="77777777" w:rsidR="007978CD" w:rsidRPr="00986F85" w:rsidRDefault="00E27D18" w:rsidP="00CC7F51">
      <w:pPr>
        <w:spacing w:after="0" w:line="360" w:lineRule="auto"/>
        <w:jc w:val="center"/>
        <w:rPr>
          <w:rFonts w:cs="Times New Roman"/>
          <w:b/>
          <w:szCs w:val="24"/>
        </w:rPr>
      </w:pPr>
      <w:r w:rsidRPr="00986F85">
        <w:rPr>
          <w:noProof/>
          <w:lang w:val="en-US" w:eastAsia="en-US"/>
        </w:rPr>
        <w:t xml:space="preserve"> </w:t>
      </w:r>
      <w:r w:rsidRPr="00986F85">
        <w:rPr>
          <w:noProof/>
          <w:lang w:eastAsia="hu-HU"/>
        </w:rPr>
        <w:drawing>
          <wp:inline distT="0" distB="0" distL="0" distR="0" wp14:anchorId="0D0BC880" wp14:editId="18178E06">
            <wp:extent cx="4562928" cy="2414332"/>
            <wp:effectExtent l="0" t="0" r="34925" b="2413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668A46D" w14:textId="77777777" w:rsidR="007978CD" w:rsidRPr="00986F85" w:rsidRDefault="00BB7E3A" w:rsidP="00BB7E3A">
      <w:pPr>
        <w:pStyle w:val="Kpalrs"/>
        <w:keepNext/>
        <w:jc w:val="center"/>
        <w:rPr>
          <w:rFonts w:cs="Times New Roman"/>
        </w:rPr>
      </w:pPr>
      <w:r w:rsidRPr="00986F85">
        <w:rPr>
          <w:rFonts w:cs="Times New Roman"/>
        </w:rPr>
        <w:t>Forrás: EMIR-NAV adatbázis</w:t>
      </w:r>
    </w:p>
    <w:p w14:paraId="0778D340" w14:textId="77777777" w:rsidR="000B0EB0" w:rsidRPr="00986F85" w:rsidRDefault="005657E8" w:rsidP="000B0EB0">
      <w:pPr>
        <w:pStyle w:val="Kpalrs"/>
        <w:keepNext/>
        <w:jc w:val="center"/>
      </w:pPr>
      <w:fldSimple w:instr=" SEQ ábra \* ARABIC ">
        <w:bookmarkStart w:id="46" w:name="_Toc230854342"/>
        <w:r w:rsidR="00CF3CEC" w:rsidRPr="00986F85">
          <w:rPr>
            <w:noProof/>
          </w:rPr>
          <w:t>10</w:t>
        </w:r>
      </w:fldSimple>
      <w:r w:rsidR="000B0EB0" w:rsidRPr="00986F85">
        <w:t xml:space="preserve">. ábra: </w:t>
      </w:r>
      <w:r w:rsidR="000B0EB0" w:rsidRPr="00986F85">
        <w:rPr>
          <w:rFonts w:cs="Times New Roman"/>
        </w:rPr>
        <w:t>LHH kistérségekben található kezelt vállalkozások aránya - GOP</w:t>
      </w:r>
      <w:r w:rsidR="00F7103E" w:rsidRPr="00986F85">
        <w:rPr>
          <w:rFonts w:cs="Times New Roman"/>
        </w:rPr>
        <w:t>2.1.1.A</w:t>
      </w:r>
      <w:r w:rsidR="000B0EB0" w:rsidRPr="00986F85">
        <w:rPr>
          <w:rFonts w:cs="Times New Roman"/>
        </w:rPr>
        <w:t>, 2011</w:t>
      </w:r>
      <w:bookmarkEnd w:id="46"/>
    </w:p>
    <w:p w14:paraId="414CF612" w14:textId="77777777" w:rsidR="007978CD" w:rsidRPr="00986F85" w:rsidRDefault="00822809" w:rsidP="00CC7F51">
      <w:pPr>
        <w:spacing w:after="0" w:line="360" w:lineRule="auto"/>
        <w:jc w:val="center"/>
        <w:rPr>
          <w:rFonts w:cs="Times New Roman"/>
          <w:b/>
          <w:szCs w:val="24"/>
        </w:rPr>
      </w:pPr>
      <w:r w:rsidRPr="00986F85">
        <w:rPr>
          <w:noProof/>
          <w:lang w:eastAsia="hu-HU"/>
        </w:rPr>
        <w:drawing>
          <wp:inline distT="0" distB="0" distL="0" distR="0" wp14:anchorId="5AB04682" wp14:editId="378DCA42">
            <wp:extent cx="4477005" cy="2728595"/>
            <wp:effectExtent l="6095" t="6096" r="3175" b="8509"/>
            <wp:docPr id="2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088F6BE" w14:textId="77777777" w:rsidR="00BB7E3A" w:rsidRPr="00986F85" w:rsidRDefault="00BB7E3A" w:rsidP="00BB7E3A">
      <w:pPr>
        <w:pStyle w:val="Kpalrs"/>
        <w:keepNext/>
        <w:jc w:val="center"/>
        <w:rPr>
          <w:rFonts w:cs="Times New Roman"/>
        </w:rPr>
      </w:pPr>
      <w:r w:rsidRPr="00986F85">
        <w:rPr>
          <w:rFonts w:cs="Times New Roman"/>
        </w:rPr>
        <w:t>Forrás: EMIR-NAV adatbázis</w:t>
      </w:r>
    </w:p>
    <w:p w14:paraId="616EA792" w14:textId="77777777" w:rsidR="00A05709" w:rsidRPr="00986F85" w:rsidRDefault="00A05709" w:rsidP="00B04415">
      <w:pPr>
        <w:spacing w:after="0" w:line="360" w:lineRule="auto"/>
        <w:jc w:val="both"/>
        <w:rPr>
          <w:rFonts w:cs="Times New Roman"/>
          <w:b/>
          <w:szCs w:val="24"/>
        </w:rPr>
      </w:pPr>
    </w:p>
    <w:p w14:paraId="6D1F6FFE" w14:textId="77777777" w:rsidR="008C00A3" w:rsidRPr="00986F85" w:rsidRDefault="001050BD" w:rsidP="00B04415">
      <w:pPr>
        <w:spacing w:after="0" w:line="360" w:lineRule="auto"/>
        <w:jc w:val="both"/>
        <w:rPr>
          <w:rFonts w:cs="Times New Roman"/>
          <w:szCs w:val="24"/>
        </w:rPr>
      </w:pPr>
      <w:r w:rsidRPr="00986F85">
        <w:rPr>
          <w:rFonts w:cs="Times New Roman"/>
          <w:szCs w:val="24"/>
        </w:rPr>
        <w:t>A KMOP nyertesei között nem található olyan vállalkozás, mely leghátrányosabb helyzetű kistérségben működne.</w:t>
      </w:r>
    </w:p>
    <w:p w14:paraId="6A1848F3" w14:textId="77777777" w:rsidR="009E2EDD" w:rsidRPr="00986F85" w:rsidRDefault="009E2EDD" w:rsidP="00B04415">
      <w:pPr>
        <w:spacing w:after="0" w:line="360" w:lineRule="auto"/>
        <w:jc w:val="both"/>
        <w:rPr>
          <w:rFonts w:cs="Times New Roman"/>
          <w:szCs w:val="24"/>
        </w:rPr>
      </w:pPr>
    </w:p>
    <w:p w14:paraId="40B37ED9" w14:textId="77777777" w:rsidR="00AF58D1" w:rsidRPr="00986F85" w:rsidRDefault="00AA0714" w:rsidP="00B04415">
      <w:pPr>
        <w:spacing w:after="0" w:line="360" w:lineRule="auto"/>
        <w:jc w:val="both"/>
        <w:rPr>
          <w:rFonts w:cs="Times New Roman"/>
          <w:szCs w:val="24"/>
        </w:rPr>
      </w:pPr>
      <w:r w:rsidRPr="00986F85">
        <w:rPr>
          <w:rFonts w:cs="Times New Roman"/>
          <w:szCs w:val="24"/>
        </w:rPr>
        <w:t>A GOP2.1.1.</w:t>
      </w:r>
      <w:r w:rsidR="003100B2" w:rsidRPr="00986F85">
        <w:rPr>
          <w:rFonts w:cs="Times New Roman"/>
          <w:szCs w:val="24"/>
        </w:rPr>
        <w:t>A</w:t>
      </w:r>
      <w:r w:rsidRPr="00986F85">
        <w:rPr>
          <w:rFonts w:cs="Times New Roman"/>
          <w:szCs w:val="24"/>
        </w:rPr>
        <w:t xml:space="preserve"> nyertesek többsége a </w:t>
      </w:r>
      <w:r w:rsidR="00083122" w:rsidRPr="00986F85">
        <w:rPr>
          <w:rFonts w:cs="Times New Roman"/>
          <w:szCs w:val="24"/>
        </w:rPr>
        <w:t xml:space="preserve">kereskedelmi és </w:t>
      </w:r>
      <w:r w:rsidRPr="00986F85">
        <w:rPr>
          <w:rFonts w:cs="Times New Roman"/>
          <w:szCs w:val="24"/>
        </w:rPr>
        <w:t xml:space="preserve">feldolgozóipari szektorban tevékenykedik (ca. 52% az A és 71% a B és C konstrukcióknál). </w:t>
      </w:r>
      <w:r w:rsidR="008767FD" w:rsidRPr="00986F85">
        <w:rPr>
          <w:rFonts w:cs="Times New Roman"/>
          <w:szCs w:val="24"/>
        </w:rPr>
        <w:t xml:space="preserve">Ezt követi az egyéb ipari </w:t>
      </w:r>
      <w:r w:rsidR="008767FD" w:rsidRPr="00986F85">
        <w:rPr>
          <w:rFonts w:cs="Times New Roman"/>
          <w:szCs w:val="24"/>
        </w:rPr>
        <w:lastRenderedPageBreak/>
        <w:t xml:space="preserve">ágazathoz (kiemelten, az építőiparhoz) sorolt cégek aránya. </w:t>
      </w:r>
      <w:r w:rsidR="00847DDC" w:rsidRPr="00986F85">
        <w:rPr>
          <w:rFonts w:cs="Times New Roman"/>
          <w:szCs w:val="24"/>
        </w:rPr>
        <w:t xml:space="preserve">Ez az eloszlás eltér a kontroll adatbázis ágazati mintázatától. </w:t>
      </w:r>
    </w:p>
    <w:p w14:paraId="41162C3D" w14:textId="77777777" w:rsidR="000B0EB0" w:rsidRPr="00986F85" w:rsidRDefault="005657E8" w:rsidP="004A1D51">
      <w:pPr>
        <w:pStyle w:val="Kpalrs"/>
        <w:keepNext/>
        <w:jc w:val="center"/>
      </w:pPr>
      <w:fldSimple w:instr=" SEQ ábra \* ARABIC ">
        <w:bookmarkStart w:id="47" w:name="_Toc230854343"/>
        <w:r w:rsidR="00CF3CEC" w:rsidRPr="00986F85">
          <w:t>11</w:t>
        </w:r>
      </w:fldSimple>
      <w:r w:rsidR="000B0EB0" w:rsidRPr="00986F85">
        <w:t>. ábra: Kezelt vállalkozások ágazati megoszlása - GOP</w:t>
      </w:r>
      <w:r w:rsidR="00F7103E" w:rsidRPr="00986F85">
        <w:rPr>
          <w:rFonts w:cs="Times New Roman"/>
        </w:rPr>
        <w:t>2.1.1.A</w:t>
      </w:r>
      <w:r w:rsidR="000B0EB0" w:rsidRPr="00986F85">
        <w:t>, 2011</w:t>
      </w:r>
      <w:bookmarkEnd w:id="47"/>
    </w:p>
    <w:p w14:paraId="0AABFF19" w14:textId="77777777" w:rsidR="002B44B8" w:rsidRPr="00986F85" w:rsidRDefault="002B44B8" w:rsidP="000B0EB0">
      <w:pPr>
        <w:pStyle w:val="Kpalrs"/>
        <w:keepNext/>
      </w:pPr>
      <w:r w:rsidRPr="00986F85">
        <w:rPr>
          <w:noProof/>
          <w:lang w:eastAsia="hu-HU"/>
        </w:rPr>
        <w:drawing>
          <wp:inline distT="0" distB="0" distL="0" distR="0" wp14:anchorId="5595286E" wp14:editId="563CF7B9">
            <wp:extent cx="5794163" cy="3081655"/>
            <wp:effectExtent l="0" t="0" r="22860" b="1714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3661AE2" w14:textId="77777777" w:rsidR="00BE6631" w:rsidRPr="00986F85" w:rsidRDefault="00BE6631" w:rsidP="00BE6631">
      <w:pPr>
        <w:rPr>
          <w:rFonts w:cs="Times New Roman"/>
        </w:rPr>
      </w:pPr>
    </w:p>
    <w:p w14:paraId="7F21F76F" w14:textId="77777777" w:rsidR="002C69B1" w:rsidRPr="00986F85" w:rsidRDefault="002C69B1" w:rsidP="002C69B1">
      <w:pPr>
        <w:pStyle w:val="Kpalrs"/>
        <w:keepNext/>
        <w:jc w:val="center"/>
        <w:rPr>
          <w:rFonts w:cs="Times New Roman"/>
        </w:rPr>
      </w:pPr>
      <w:r w:rsidRPr="00986F85">
        <w:rPr>
          <w:rFonts w:cs="Times New Roman"/>
        </w:rPr>
        <w:t>Forrás: EMIR-NAV adatbázis</w:t>
      </w:r>
    </w:p>
    <w:p w14:paraId="551E6B63" w14:textId="77777777" w:rsidR="002C69B1" w:rsidRPr="00986F85" w:rsidRDefault="002C69B1" w:rsidP="00B04415">
      <w:pPr>
        <w:spacing w:after="0" w:line="360" w:lineRule="auto"/>
        <w:jc w:val="both"/>
        <w:rPr>
          <w:rFonts w:cs="Times New Roman"/>
          <w:szCs w:val="24"/>
        </w:rPr>
      </w:pPr>
    </w:p>
    <w:p w14:paraId="0B0A9DCB" w14:textId="77777777" w:rsidR="008767FD" w:rsidRPr="00986F85" w:rsidRDefault="00B060A9" w:rsidP="00B04415">
      <w:pPr>
        <w:spacing w:after="0" w:line="360" w:lineRule="auto"/>
        <w:jc w:val="both"/>
        <w:rPr>
          <w:rFonts w:cs="Times New Roman"/>
          <w:szCs w:val="24"/>
        </w:rPr>
      </w:pPr>
      <w:r w:rsidRPr="00986F85">
        <w:rPr>
          <w:rFonts w:cs="Times New Roman"/>
          <w:szCs w:val="24"/>
        </w:rPr>
        <w:t>A KMOP-ban ugyanez az eloszlás figyelhető meg, azzal a kiegészítéssel</w:t>
      </w:r>
      <w:r w:rsidR="003A1710" w:rsidRPr="00986F85">
        <w:rPr>
          <w:rFonts w:cs="Times New Roman"/>
          <w:szCs w:val="24"/>
        </w:rPr>
        <w:t>,</w:t>
      </w:r>
      <w:r w:rsidRPr="00986F85">
        <w:rPr>
          <w:rFonts w:cs="Times New Roman"/>
          <w:szCs w:val="24"/>
        </w:rPr>
        <w:t xml:space="preserve"> hogy </w:t>
      </w:r>
      <w:r w:rsidR="00F05E27" w:rsidRPr="00986F85">
        <w:rPr>
          <w:rFonts w:cs="Times New Roman"/>
          <w:szCs w:val="24"/>
        </w:rPr>
        <w:t xml:space="preserve">meghaladja a </w:t>
      </w:r>
      <w:r w:rsidRPr="00986F85">
        <w:rPr>
          <w:rFonts w:cs="Times New Roman"/>
          <w:szCs w:val="24"/>
        </w:rPr>
        <w:t>10 százalékot a szakmai, tudományos és műszaki tevékenységeket végző cégek körébe sorolt nyertesek aránya. Ez nem meglepő</w:t>
      </w:r>
      <w:r w:rsidR="009D2ED7" w:rsidRPr="00986F85">
        <w:rPr>
          <w:rFonts w:cs="Times New Roman"/>
          <w:szCs w:val="24"/>
        </w:rPr>
        <w:t xml:space="preserve">, hiszen a Közép Magyarországi régióban </w:t>
      </w:r>
      <w:r w:rsidR="00EA6106" w:rsidRPr="00986F85">
        <w:rPr>
          <w:rFonts w:cs="Times New Roman"/>
          <w:szCs w:val="24"/>
        </w:rPr>
        <w:t>kiterjedtebb</w:t>
      </w:r>
      <w:r w:rsidR="009D2ED7" w:rsidRPr="00986F85">
        <w:rPr>
          <w:rFonts w:cs="Times New Roman"/>
          <w:szCs w:val="24"/>
        </w:rPr>
        <w:t xml:space="preserve"> a szakmai, tudományos tevékenységet támogató egyetemi, kutatói háttér. </w:t>
      </w:r>
    </w:p>
    <w:p w14:paraId="31542CA5" w14:textId="77777777" w:rsidR="00AF58D1" w:rsidRPr="00986F85" w:rsidRDefault="00AF58D1" w:rsidP="00B04415">
      <w:pPr>
        <w:spacing w:after="0" w:line="360" w:lineRule="auto"/>
        <w:jc w:val="both"/>
        <w:rPr>
          <w:rFonts w:cs="Times New Roman"/>
          <w:szCs w:val="24"/>
        </w:rPr>
      </w:pPr>
    </w:p>
    <w:p w14:paraId="05417CC1" w14:textId="77777777" w:rsidR="000B0EB0" w:rsidRPr="00986F85" w:rsidRDefault="005657E8" w:rsidP="004A1D51">
      <w:pPr>
        <w:pStyle w:val="Kpalrs"/>
        <w:keepNext/>
        <w:jc w:val="center"/>
      </w:pPr>
      <w:fldSimple w:instr=" SEQ ábra \* ARABIC ">
        <w:bookmarkStart w:id="48" w:name="_Toc230854344"/>
        <w:r w:rsidR="00CF3CEC" w:rsidRPr="00986F85">
          <w:t>12</w:t>
        </w:r>
      </w:fldSimple>
      <w:r w:rsidR="000B0EB0" w:rsidRPr="00986F85">
        <w:t xml:space="preserve">. ábra: Kezelt vállalkozások ágazati megoszlása </w:t>
      </w:r>
      <w:r w:rsidR="00F7103E" w:rsidRPr="00986F85">
        <w:t>–</w:t>
      </w:r>
      <w:r w:rsidR="000B0EB0" w:rsidRPr="00986F85">
        <w:t xml:space="preserve"> KMOP</w:t>
      </w:r>
      <w:r w:rsidR="00F7103E" w:rsidRPr="00986F85">
        <w:rPr>
          <w:rFonts w:cs="Times New Roman"/>
        </w:rPr>
        <w:t>1.2.1.A</w:t>
      </w:r>
      <w:r w:rsidR="000B0EB0" w:rsidRPr="00986F85">
        <w:t>, 2011</w:t>
      </w:r>
      <w:bookmarkEnd w:id="48"/>
    </w:p>
    <w:p w14:paraId="3C5B9E2D" w14:textId="77777777" w:rsidR="00BE6631" w:rsidRPr="00986F85" w:rsidRDefault="002B44B8" w:rsidP="004A1D51">
      <w:pPr>
        <w:pStyle w:val="Kpalrs"/>
        <w:keepNext/>
        <w:rPr>
          <w:rFonts w:cs="Times New Roman"/>
        </w:rPr>
      </w:pPr>
      <w:r w:rsidRPr="00986F85">
        <w:rPr>
          <w:noProof/>
          <w:lang w:eastAsia="hu-HU"/>
        </w:rPr>
        <w:drawing>
          <wp:inline distT="0" distB="0" distL="0" distR="0" wp14:anchorId="7BF86665" wp14:editId="037D2A01">
            <wp:extent cx="5794163" cy="3030855"/>
            <wp:effectExtent l="0" t="0" r="22860" b="17145"/>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1D008AE" w14:textId="77777777" w:rsidR="000C5ECF" w:rsidRPr="00986F85" w:rsidRDefault="000C5ECF" w:rsidP="000C5ECF">
      <w:pPr>
        <w:pStyle w:val="Kpalrs"/>
        <w:keepNext/>
        <w:jc w:val="center"/>
        <w:rPr>
          <w:rFonts w:cs="Times New Roman"/>
        </w:rPr>
      </w:pPr>
      <w:r w:rsidRPr="00986F85">
        <w:rPr>
          <w:rFonts w:cs="Times New Roman"/>
        </w:rPr>
        <w:t>Forrás: EMIR-NAV adatbázis</w:t>
      </w:r>
    </w:p>
    <w:p w14:paraId="44E9B701" w14:textId="77777777" w:rsidR="000E0CCA" w:rsidRPr="00986F85" w:rsidRDefault="000E0CCA" w:rsidP="00B04415">
      <w:pPr>
        <w:spacing w:after="0" w:line="360" w:lineRule="auto"/>
        <w:jc w:val="both"/>
        <w:rPr>
          <w:rFonts w:cs="Times New Roman"/>
          <w:b/>
          <w:szCs w:val="24"/>
        </w:rPr>
      </w:pPr>
    </w:p>
    <w:p w14:paraId="551E7941" w14:textId="77777777" w:rsidR="001C2B77" w:rsidRPr="00986F85" w:rsidRDefault="005F0CDE" w:rsidP="00B04415">
      <w:pPr>
        <w:spacing w:after="0" w:line="360" w:lineRule="auto"/>
        <w:jc w:val="both"/>
        <w:rPr>
          <w:rFonts w:cs="Times New Roman"/>
          <w:b/>
          <w:szCs w:val="24"/>
        </w:rPr>
      </w:pPr>
      <w:r w:rsidRPr="00986F85">
        <w:rPr>
          <w:rFonts w:cs="Times New Roman"/>
          <w:b/>
          <w:szCs w:val="24"/>
        </w:rPr>
        <w:t xml:space="preserve">Vállalati </w:t>
      </w:r>
      <w:r w:rsidR="001C2B77" w:rsidRPr="00986F85">
        <w:rPr>
          <w:rFonts w:cs="Times New Roman"/>
          <w:b/>
          <w:szCs w:val="24"/>
        </w:rPr>
        <w:t xml:space="preserve">életciklus </w:t>
      </w:r>
    </w:p>
    <w:p w14:paraId="0D1E8EEE" w14:textId="77777777" w:rsidR="000E0CCA" w:rsidRPr="00986F85" w:rsidRDefault="000E0CCA" w:rsidP="000E0CCA">
      <w:pPr>
        <w:spacing w:after="0" w:line="360" w:lineRule="auto"/>
        <w:jc w:val="both"/>
        <w:rPr>
          <w:rFonts w:cs="Times New Roman"/>
          <w:noProof/>
          <w:szCs w:val="24"/>
          <w:lang w:eastAsia="en-US"/>
        </w:rPr>
      </w:pPr>
      <w:r w:rsidRPr="00986F85">
        <w:rPr>
          <w:rFonts w:cs="Times New Roman"/>
          <w:noProof/>
          <w:szCs w:val="24"/>
          <w:lang w:eastAsia="en-US"/>
        </w:rPr>
        <w:t>A kezelt vállalatokat az alapítástól számított idő szerinti korcsoportokra osztva vizsgáltuk a kormegoszlást az egyes ágazatokban. Tesztje</w:t>
      </w:r>
      <w:r w:rsidR="008263D3" w:rsidRPr="00986F85">
        <w:rPr>
          <w:rFonts w:cs="Times New Roman"/>
          <w:noProof/>
          <w:szCs w:val="24"/>
          <w:lang w:eastAsia="en-US"/>
        </w:rPr>
        <w:t>ink alapján i</w:t>
      </w:r>
      <w:r w:rsidRPr="00986F85">
        <w:rPr>
          <w:rFonts w:cs="Times New Roman"/>
          <w:noProof/>
          <w:szCs w:val="24"/>
          <w:lang w:eastAsia="en-US"/>
        </w:rPr>
        <w:t xml:space="preserve">dővel nem változik az alábbi eloszlás érdemben 2006 és 2011 között. </w:t>
      </w:r>
    </w:p>
    <w:p w14:paraId="685DEB8B" w14:textId="77777777" w:rsidR="00CF3CEC" w:rsidRPr="00986F85" w:rsidRDefault="007E1F98" w:rsidP="004A1D51">
      <w:pPr>
        <w:pStyle w:val="Kpalrs"/>
        <w:keepNext/>
        <w:jc w:val="center"/>
        <w:rPr>
          <w:rFonts w:cs="Times New Roman"/>
        </w:rPr>
      </w:pPr>
      <w:r w:rsidRPr="00986F85">
        <w:lastRenderedPageBreak/>
        <w:fldChar w:fldCharType="begin"/>
      </w:r>
      <w:r w:rsidR="00CF3CEC" w:rsidRPr="00986F85">
        <w:instrText xml:space="preserve"> SEQ ábra \* ARABIC </w:instrText>
      </w:r>
      <w:r w:rsidRPr="00986F85">
        <w:fldChar w:fldCharType="separate"/>
      </w:r>
      <w:bookmarkStart w:id="49" w:name="_Toc230854345"/>
      <w:r w:rsidR="00CF3CEC" w:rsidRPr="00986F85">
        <w:t>13</w:t>
      </w:r>
      <w:r w:rsidRPr="00986F85">
        <w:fldChar w:fldCharType="end"/>
      </w:r>
      <w:r w:rsidR="00CF3CEC" w:rsidRPr="00986F85">
        <w:t xml:space="preserve">. ábra: </w:t>
      </w:r>
      <w:r w:rsidR="001A6BE1" w:rsidRPr="00986F85">
        <w:t>GOP2.1.1.A és KMOP1.2.1.A nyertes cégek v</w:t>
      </w:r>
      <w:r w:rsidR="00CF3CEC" w:rsidRPr="00986F85">
        <w:t>állalati korcsoportok szerinti megoszlás ágazatonként, 2006</w:t>
      </w:r>
      <w:bookmarkEnd w:id="49"/>
    </w:p>
    <w:p w14:paraId="76221E57" w14:textId="77777777" w:rsidR="00680A97" w:rsidRPr="00986F85" w:rsidRDefault="00680A97" w:rsidP="004A1D51">
      <w:pPr>
        <w:pStyle w:val="Kpalrs"/>
        <w:keepNext/>
        <w:jc w:val="center"/>
        <w:rPr>
          <w:rFonts w:cs="Times New Roman"/>
        </w:rPr>
      </w:pPr>
      <w:r w:rsidRPr="00986F85">
        <w:rPr>
          <w:noProof/>
          <w:lang w:eastAsia="hu-HU"/>
        </w:rPr>
        <w:drawing>
          <wp:inline distT="0" distB="0" distL="0" distR="0" wp14:anchorId="73C11ED5" wp14:editId="52C8D39A">
            <wp:extent cx="5754370" cy="2687955"/>
            <wp:effectExtent l="0" t="0" r="36830" b="29845"/>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5F2F08F" w14:textId="77777777" w:rsidR="000E0CCA" w:rsidRPr="00986F85" w:rsidRDefault="00680A97" w:rsidP="000E0CCA">
      <w:pPr>
        <w:spacing w:after="0" w:line="360" w:lineRule="auto"/>
        <w:jc w:val="both"/>
        <w:rPr>
          <w:rFonts w:cs="Times New Roman"/>
          <w:noProof/>
          <w:szCs w:val="24"/>
          <w:lang w:val="en-US" w:eastAsia="en-US"/>
        </w:rPr>
      </w:pPr>
      <w:r w:rsidRPr="00986F85">
        <w:rPr>
          <w:noProof/>
          <w:lang w:eastAsia="hu-HU"/>
        </w:rPr>
        <w:drawing>
          <wp:inline distT="0" distB="0" distL="0" distR="0" wp14:anchorId="7D6AAF75" wp14:editId="00DA06A8">
            <wp:extent cx="5726430" cy="2813685"/>
            <wp:effectExtent l="0" t="0" r="13970" b="31115"/>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40368A8" w14:textId="77777777" w:rsidR="00680A97" w:rsidRPr="00986F85" w:rsidRDefault="00680A97" w:rsidP="00680A97">
      <w:pPr>
        <w:pStyle w:val="Kpalrs"/>
        <w:keepNext/>
        <w:jc w:val="center"/>
        <w:rPr>
          <w:rFonts w:cs="Times New Roman"/>
        </w:rPr>
      </w:pPr>
      <w:r w:rsidRPr="00986F85">
        <w:rPr>
          <w:rFonts w:cs="Times New Roman"/>
        </w:rPr>
        <w:t>Forrás: EMIR-NAV adatbázis</w:t>
      </w:r>
    </w:p>
    <w:p w14:paraId="31D2AC2E" w14:textId="77777777" w:rsidR="00680A97" w:rsidRPr="00986F85" w:rsidRDefault="00680A97" w:rsidP="004A1D51">
      <w:pPr>
        <w:spacing w:after="0" w:line="360" w:lineRule="auto"/>
        <w:jc w:val="center"/>
        <w:rPr>
          <w:rFonts w:cs="Times New Roman"/>
          <w:i/>
          <w:noProof/>
          <w:szCs w:val="24"/>
          <w:lang w:val="en-US" w:eastAsia="en-US"/>
        </w:rPr>
      </w:pPr>
    </w:p>
    <w:p w14:paraId="7A242E8F" w14:textId="77777777" w:rsidR="00AE6B56" w:rsidRPr="00986F85" w:rsidRDefault="001C2B77" w:rsidP="00B04415">
      <w:pPr>
        <w:spacing w:after="0" w:line="360" w:lineRule="auto"/>
        <w:jc w:val="both"/>
        <w:rPr>
          <w:rFonts w:cs="Times New Roman"/>
          <w:b/>
          <w:szCs w:val="24"/>
        </w:rPr>
      </w:pPr>
      <w:r w:rsidRPr="00986F85">
        <w:rPr>
          <w:rFonts w:cs="Times New Roman"/>
          <w:b/>
          <w:szCs w:val="24"/>
        </w:rPr>
        <w:t xml:space="preserve">Vállalati </w:t>
      </w:r>
      <w:r w:rsidR="005F0CDE" w:rsidRPr="00986F85">
        <w:rPr>
          <w:rFonts w:cs="Times New Roman"/>
          <w:b/>
          <w:szCs w:val="24"/>
        </w:rPr>
        <w:t>eredményesség</w:t>
      </w:r>
      <w:r w:rsidRPr="00986F85">
        <w:rPr>
          <w:rFonts w:cs="Times New Roman"/>
          <w:b/>
          <w:szCs w:val="24"/>
        </w:rPr>
        <w:t xml:space="preserve"> és termelékenység</w:t>
      </w:r>
    </w:p>
    <w:p w14:paraId="591B1996" w14:textId="77777777" w:rsidR="0063534D" w:rsidRPr="00986F85" w:rsidRDefault="00584894" w:rsidP="0063534D">
      <w:pPr>
        <w:jc w:val="both"/>
      </w:pPr>
      <w:r w:rsidRPr="00986F85">
        <w:t>A GOP21.1.</w:t>
      </w:r>
      <w:r w:rsidR="0018149E" w:rsidRPr="00986F85">
        <w:t xml:space="preserve">A </w:t>
      </w:r>
      <w:r w:rsidRPr="00986F85">
        <w:t xml:space="preserve">és KMOP1.2.1.A </w:t>
      </w:r>
      <w:r w:rsidR="0018149E" w:rsidRPr="00986F85">
        <w:t>konstrukció</w:t>
      </w:r>
      <w:r w:rsidRPr="00986F85">
        <w:t>k</w:t>
      </w:r>
      <w:r w:rsidR="0018149E" w:rsidRPr="00986F85">
        <w:t>ban érintett</w:t>
      </w:r>
      <w:r w:rsidRPr="00986F85">
        <w:t xml:space="preserve"> mintánk </w:t>
      </w:r>
      <w:r w:rsidR="00536C5B" w:rsidRPr="00986F85">
        <w:t>reprezentatív</w:t>
      </w:r>
      <w:r w:rsidR="0018149E" w:rsidRPr="00986F85">
        <w:t xml:space="preserve"> </w:t>
      </w:r>
      <w:r w:rsidRPr="00986F85">
        <w:t xml:space="preserve">vállakozása eredményességét és termelékénységét is elemeztük. </w:t>
      </w:r>
      <w:r w:rsidR="00757BC6" w:rsidRPr="00986F85">
        <w:t xml:space="preserve">Mint az alábbi táblázatban látható, a </w:t>
      </w:r>
      <w:r w:rsidRPr="00986F85">
        <w:t>med</w:t>
      </w:r>
      <w:r w:rsidR="00462380" w:rsidRPr="00986F85">
        <w:t>i</w:t>
      </w:r>
      <w:r w:rsidRPr="00986F85">
        <w:t xml:space="preserve">án vállalkozás </w:t>
      </w:r>
      <w:r w:rsidR="00536C5B" w:rsidRPr="00986F85">
        <w:t xml:space="preserve">nettó árbevétele, foglalkoztatotti létszáma, tárgyi eszköz állománya nőtt, az </w:t>
      </w:r>
      <w:r w:rsidR="0018149E" w:rsidRPr="00986F85">
        <w:t xml:space="preserve">egy foglalkoztatottra eső nettó árbevétele nem számottevően, de </w:t>
      </w:r>
      <w:r w:rsidR="00536C5B" w:rsidRPr="00986F85">
        <w:t xml:space="preserve">szintén </w:t>
      </w:r>
      <w:r w:rsidR="00536C5B" w:rsidRPr="00986F85">
        <w:lastRenderedPageBreak/>
        <w:t>növekedett, épp úgy, mint tőkeintenzitása. Míg a válla</w:t>
      </w:r>
      <w:r w:rsidR="00462380" w:rsidRPr="00986F85">
        <w:t>l</w:t>
      </w:r>
      <w:r w:rsidR="00536C5B" w:rsidRPr="00986F85">
        <w:t>kozás nyerességessége kicsit csökkent, az egy főre eső hozzáadott értéke nőtt a vizsgált időszakban.</w:t>
      </w:r>
    </w:p>
    <w:p w14:paraId="7FB17039" w14:textId="77777777" w:rsidR="0063534D" w:rsidRPr="00986F85" w:rsidRDefault="0063534D" w:rsidP="0063534D">
      <w:pPr>
        <w:jc w:val="both"/>
      </w:pPr>
      <w:r w:rsidRPr="00986F85">
        <w:t>Fontos megjegyezni, hogy ezek a mutatók nem alkalmasak sem általánosításra, sem a kontroll sokaság reprezentatív vállalatának mutatóival való összevetésre. Erős óvatosággal kezelendők, hiszen – mint ahogy az alábbi táblázatban látható – jelentős az érintett céges állományon belüli szórás minden mutató esetében, valamint az alábbi számításokat nominális értékekkel végeztük. Az időszakot jellemző (kumulált) inflációs ráta pedig 35,2 százalék volt. A változások reálértéke így lényegesen kisebb az itt jelzettnél.</w:t>
      </w:r>
    </w:p>
    <w:p w14:paraId="552B27A7" w14:textId="77777777" w:rsidR="002D6142" w:rsidRPr="00986F85" w:rsidRDefault="007E1F98" w:rsidP="004A1D51">
      <w:pPr>
        <w:pStyle w:val="Kpalrs"/>
        <w:keepNext/>
        <w:jc w:val="center"/>
      </w:pPr>
      <w:r w:rsidRPr="00986F85">
        <w:fldChar w:fldCharType="begin"/>
      </w:r>
      <w:r w:rsidR="002D6142" w:rsidRPr="00986F85">
        <w:instrText xml:space="preserve"> SEQ táblázat \* ARABIC </w:instrText>
      </w:r>
      <w:r w:rsidRPr="00986F85">
        <w:fldChar w:fldCharType="separate"/>
      </w:r>
      <w:bookmarkStart w:id="50" w:name="_Toc230854359"/>
      <w:r w:rsidR="00255252" w:rsidRPr="00986F85">
        <w:t>14</w:t>
      </w:r>
      <w:r w:rsidRPr="00986F85">
        <w:fldChar w:fldCharType="end"/>
      </w:r>
      <w:r w:rsidR="002D6142" w:rsidRPr="00986F85">
        <w:t xml:space="preserve">. táblázat: </w:t>
      </w:r>
      <w:r w:rsidR="00231E03" w:rsidRPr="00986F85">
        <w:t>Kezelt</w:t>
      </w:r>
      <w:r w:rsidR="002D6142" w:rsidRPr="00986F85">
        <w:t xml:space="preserve"> vállalkozások főbb indikátorainak változása (2011/2006)</w:t>
      </w:r>
      <w:bookmarkEnd w:id="50"/>
    </w:p>
    <w:tbl>
      <w:tblPr>
        <w:tblW w:w="9214" w:type="dxa"/>
        <w:tblInd w:w="70" w:type="dxa"/>
        <w:tblCellMar>
          <w:left w:w="70" w:type="dxa"/>
          <w:right w:w="70" w:type="dxa"/>
        </w:tblCellMar>
        <w:tblLook w:val="04A0" w:firstRow="1" w:lastRow="0" w:firstColumn="1" w:lastColumn="0" w:noHBand="0" w:noVBand="1"/>
      </w:tblPr>
      <w:tblGrid>
        <w:gridCol w:w="3138"/>
        <w:gridCol w:w="1492"/>
        <w:gridCol w:w="929"/>
        <w:gridCol w:w="1350"/>
        <w:gridCol w:w="894"/>
        <w:gridCol w:w="1411"/>
      </w:tblGrid>
      <w:tr w:rsidR="001031F6" w:rsidRPr="00986F85" w14:paraId="1F24CF89" w14:textId="77777777" w:rsidTr="001031F6">
        <w:trPr>
          <w:trHeight w:val="285"/>
        </w:trPr>
        <w:tc>
          <w:tcPr>
            <w:tcW w:w="3138" w:type="dxa"/>
            <w:tcBorders>
              <w:top w:val="nil"/>
              <w:left w:val="nil"/>
              <w:bottom w:val="nil"/>
              <w:right w:val="nil"/>
            </w:tcBorders>
            <w:shd w:val="clear" w:color="auto" w:fill="B10000"/>
            <w:noWrap/>
            <w:vAlign w:val="bottom"/>
            <w:hideMark/>
          </w:tcPr>
          <w:p w14:paraId="739D0FB3" w14:textId="77777777" w:rsidR="001031F6" w:rsidRPr="00986F85" w:rsidRDefault="001031F6" w:rsidP="0019620C">
            <w:pPr>
              <w:spacing w:after="0" w:line="240" w:lineRule="auto"/>
              <w:rPr>
                <w:rFonts w:eastAsia="Times New Roman" w:cs="Times New Roman"/>
                <w:color w:val="FFFFFF"/>
                <w:lang w:eastAsia="hu-HU"/>
              </w:rPr>
            </w:pPr>
            <w:r w:rsidRPr="00986F85">
              <w:rPr>
                <w:rFonts w:eastAsia="Times New Roman"/>
                <w:color w:val="FFFFFF"/>
                <w:lang w:eastAsia="hu-HU"/>
              </w:rPr>
              <w:t>Nyertes</w:t>
            </w:r>
            <w:r w:rsidRPr="00986F85">
              <w:rPr>
                <w:rFonts w:eastAsia="Times New Roman" w:cs="Times New Roman"/>
                <w:color w:val="FFFFFF"/>
                <w:lang w:eastAsia="hu-HU"/>
              </w:rPr>
              <w:t xml:space="preserve"> cég teljesítménymutatói</w:t>
            </w:r>
          </w:p>
        </w:tc>
        <w:tc>
          <w:tcPr>
            <w:tcW w:w="1492" w:type="dxa"/>
            <w:tcBorders>
              <w:top w:val="nil"/>
              <w:left w:val="nil"/>
              <w:bottom w:val="nil"/>
              <w:right w:val="nil"/>
            </w:tcBorders>
            <w:shd w:val="clear" w:color="auto" w:fill="B10000"/>
            <w:noWrap/>
            <w:vAlign w:val="bottom"/>
            <w:hideMark/>
          </w:tcPr>
          <w:p w14:paraId="6B7044A7" w14:textId="77777777" w:rsidR="001031F6" w:rsidRPr="00986F85" w:rsidRDefault="001031F6" w:rsidP="0019620C">
            <w:pPr>
              <w:spacing w:after="0" w:line="240" w:lineRule="auto"/>
              <w:jc w:val="center"/>
              <w:rPr>
                <w:rFonts w:eastAsia="Times New Roman"/>
                <w:color w:val="FFFFFF"/>
                <w:lang w:eastAsia="hu-HU"/>
              </w:rPr>
            </w:pPr>
            <w:r w:rsidRPr="00986F85">
              <w:rPr>
                <w:rFonts w:eastAsia="Times New Roman"/>
                <w:color w:val="FFFFFF"/>
                <w:lang w:eastAsia="hu-HU"/>
              </w:rPr>
              <w:t>Átlag</w:t>
            </w:r>
          </w:p>
        </w:tc>
        <w:tc>
          <w:tcPr>
            <w:tcW w:w="929" w:type="dxa"/>
            <w:tcBorders>
              <w:top w:val="nil"/>
              <w:left w:val="nil"/>
              <w:bottom w:val="nil"/>
              <w:right w:val="nil"/>
            </w:tcBorders>
            <w:shd w:val="clear" w:color="auto" w:fill="B10000"/>
            <w:noWrap/>
            <w:vAlign w:val="bottom"/>
            <w:hideMark/>
          </w:tcPr>
          <w:p w14:paraId="4D06B9F8" w14:textId="77777777" w:rsidR="001031F6" w:rsidRPr="00986F85" w:rsidRDefault="001031F6" w:rsidP="0019620C">
            <w:pPr>
              <w:spacing w:after="0" w:line="240" w:lineRule="auto"/>
              <w:jc w:val="center"/>
              <w:rPr>
                <w:rFonts w:eastAsia="Times New Roman"/>
                <w:color w:val="FFFFFF"/>
                <w:lang w:eastAsia="hu-HU"/>
              </w:rPr>
            </w:pPr>
            <w:r w:rsidRPr="00986F85">
              <w:rPr>
                <w:rFonts w:eastAsia="Times New Roman"/>
                <w:color w:val="FFFFFF"/>
                <w:lang w:eastAsia="hu-HU"/>
              </w:rPr>
              <w:t>Szórás</w:t>
            </w:r>
          </w:p>
        </w:tc>
        <w:tc>
          <w:tcPr>
            <w:tcW w:w="1350" w:type="dxa"/>
            <w:tcBorders>
              <w:top w:val="nil"/>
              <w:left w:val="nil"/>
              <w:bottom w:val="nil"/>
              <w:right w:val="nil"/>
            </w:tcBorders>
            <w:shd w:val="clear" w:color="auto" w:fill="B10000"/>
            <w:noWrap/>
            <w:vAlign w:val="bottom"/>
            <w:hideMark/>
          </w:tcPr>
          <w:p w14:paraId="16195050" w14:textId="77777777" w:rsidR="001031F6" w:rsidRPr="00986F85" w:rsidRDefault="001031F6" w:rsidP="0019620C">
            <w:pPr>
              <w:spacing w:after="0" w:line="240" w:lineRule="auto"/>
              <w:jc w:val="center"/>
              <w:rPr>
                <w:rFonts w:eastAsia="Times New Roman"/>
                <w:color w:val="FFFFFF"/>
                <w:lang w:eastAsia="hu-HU"/>
              </w:rPr>
            </w:pPr>
            <w:r w:rsidRPr="00986F85">
              <w:rPr>
                <w:rFonts w:eastAsia="Times New Roman"/>
                <w:color w:val="FFFFFF"/>
                <w:lang w:eastAsia="hu-HU"/>
              </w:rPr>
              <w:t>Alsó kvartilis</w:t>
            </w:r>
          </w:p>
        </w:tc>
        <w:tc>
          <w:tcPr>
            <w:tcW w:w="894" w:type="dxa"/>
            <w:tcBorders>
              <w:top w:val="nil"/>
              <w:left w:val="nil"/>
              <w:bottom w:val="nil"/>
              <w:right w:val="nil"/>
            </w:tcBorders>
            <w:shd w:val="clear" w:color="auto" w:fill="B10000"/>
            <w:noWrap/>
            <w:vAlign w:val="bottom"/>
            <w:hideMark/>
          </w:tcPr>
          <w:p w14:paraId="642AD225" w14:textId="77777777" w:rsidR="001031F6" w:rsidRPr="00986F85" w:rsidRDefault="001031F6" w:rsidP="0019620C">
            <w:pPr>
              <w:spacing w:after="0" w:line="240" w:lineRule="auto"/>
              <w:jc w:val="center"/>
              <w:rPr>
                <w:rFonts w:eastAsia="Times New Roman"/>
                <w:color w:val="FFFFFF"/>
                <w:lang w:eastAsia="hu-HU"/>
              </w:rPr>
            </w:pPr>
            <w:r w:rsidRPr="00986F85">
              <w:rPr>
                <w:rFonts w:eastAsia="Times New Roman"/>
                <w:color w:val="FFFFFF"/>
                <w:lang w:eastAsia="hu-HU"/>
              </w:rPr>
              <w:t>Medián</w:t>
            </w:r>
          </w:p>
        </w:tc>
        <w:tc>
          <w:tcPr>
            <w:tcW w:w="1411" w:type="dxa"/>
            <w:tcBorders>
              <w:top w:val="nil"/>
              <w:left w:val="nil"/>
              <w:bottom w:val="nil"/>
              <w:right w:val="nil"/>
            </w:tcBorders>
            <w:shd w:val="clear" w:color="auto" w:fill="B10000"/>
            <w:noWrap/>
            <w:vAlign w:val="bottom"/>
            <w:hideMark/>
          </w:tcPr>
          <w:p w14:paraId="59CCC169" w14:textId="77777777" w:rsidR="001031F6" w:rsidRPr="00986F85" w:rsidRDefault="001031F6" w:rsidP="0019620C">
            <w:pPr>
              <w:spacing w:after="0" w:line="240" w:lineRule="auto"/>
              <w:jc w:val="center"/>
              <w:rPr>
                <w:rFonts w:eastAsia="Times New Roman"/>
                <w:color w:val="FFFFFF"/>
                <w:lang w:eastAsia="hu-HU"/>
              </w:rPr>
            </w:pPr>
            <w:r w:rsidRPr="00986F85">
              <w:rPr>
                <w:rFonts w:eastAsia="Times New Roman"/>
                <w:color w:val="FFFFFF"/>
                <w:lang w:eastAsia="hu-HU"/>
              </w:rPr>
              <w:t>Felső kvartilis</w:t>
            </w:r>
          </w:p>
        </w:tc>
      </w:tr>
      <w:tr w:rsidR="001031F6" w:rsidRPr="00986F85" w14:paraId="4ECF4BFB" w14:textId="77777777" w:rsidTr="001031F6">
        <w:trPr>
          <w:trHeight w:val="285"/>
        </w:trPr>
        <w:tc>
          <w:tcPr>
            <w:tcW w:w="3138" w:type="dxa"/>
            <w:tcBorders>
              <w:top w:val="nil"/>
              <w:left w:val="nil"/>
              <w:bottom w:val="nil"/>
              <w:right w:val="nil"/>
            </w:tcBorders>
            <w:shd w:val="clear" w:color="auto" w:fill="auto"/>
            <w:noWrap/>
            <w:vAlign w:val="bottom"/>
            <w:hideMark/>
          </w:tcPr>
          <w:p w14:paraId="623A6DF2" w14:textId="77777777" w:rsidR="001031F6" w:rsidRPr="00986F85" w:rsidRDefault="001031F6" w:rsidP="0019620C">
            <w:pPr>
              <w:spacing w:after="0" w:line="240" w:lineRule="auto"/>
              <w:rPr>
                <w:rFonts w:eastAsia="Times New Roman"/>
                <w:color w:val="000000"/>
                <w:lang w:eastAsia="hu-HU"/>
              </w:rPr>
            </w:pPr>
            <w:r w:rsidRPr="00986F85">
              <w:rPr>
                <w:rFonts w:eastAsia="Times New Roman"/>
                <w:color w:val="000000"/>
                <w:lang w:eastAsia="hu-HU"/>
              </w:rPr>
              <w:t>Foglalkoztatottak száma (%)</w:t>
            </w:r>
          </w:p>
        </w:tc>
        <w:tc>
          <w:tcPr>
            <w:tcW w:w="1492" w:type="dxa"/>
            <w:tcBorders>
              <w:top w:val="nil"/>
              <w:left w:val="nil"/>
              <w:bottom w:val="nil"/>
              <w:right w:val="nil"/>
            </w:tcBorders>
            <w:shd w:val="clear" w:color="auto" w:fill="auto"/>
            <w:noWrap/>
            <w:vAlign w:val="bottom"/>
            <w:hideMark/>
          </w:tcPr>
          <w:p w14:paraId="7698B913"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18.6</w:t>
            </w:r>
          </w:p>
        </w:tc>
        <w:tc>
          <w:tcPr>
            <w:tcW w:w="929" w:type="dxa"/>
            <w:tcBorders>
              <w:top w:val="nil"/>
              <w:left w:val="nil"/>
              <w:bottom w:val="nil"/>
              <w:right w:val="nil"/>
            </w:tcBorders>
            <w:shd w:val="clear" w:color="auto" w:fill="auto"/>
            <w:noWrap/>
            <w:vAlign w:val="bottom"/>
            <w:hideMark/>
          </w:tcPr>
          <w:p w14:paraId="5C00F7C6"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64.8</w:t>
            </w:r>
          </w:p>
        </w:tc>
        <w:tc>
          <w:tcPr>
            <w:tcW w:w="1350" w:type="dxa"/>
            <w:tcBorders>
              <w:top w:val="nil"/>
              <w:left w:val="nil"/>
              <w:bottom w:val="nil"/>
              <w:right w:val="nil"/>
            </w:tcBorders>
            <w:shd w:val="clear" w:color="auto" w:fill="auto"/>
            <w:noWrap/>
            <w:vAlign w:val="bottom"/>
            <w:hideMark/>
          </w:tcPr>
          <w:p w14:paraId="2C2E5A19"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-14.3</w:t>
            </w:r>
          </w:p>
        </w:tc>
        <w:tc>
          <w:tcPr>
            <w:tcW w:w="894" w:type="dxa"/>
            <w:tcBorders>
              <w:top w:val="nil"/>
              <w:left w:val="nil"/>
              <w:bottom w:val="nil"/>
              <w:right w:val="nil"/>
            </w:tcBorders>
            <w:shd w:val="clear" w:color="auto" w:fill="auto"/>
            <w:noWrap/>
            <w:vAlign w:val="bottom"/>
            <w:hideMark/>
          </w:tcPr>
          <w:p w14:paraId="09432B88"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8.3</w:t>
            </w:r>
          </w:p>
        </w:tc>
        <w:tc>
          <w:tcPr>
            <w:tcW w:w="1411" w:type="dxa"/>
            <w:tcBorders>
              <w:top w:val="nil"/>
              <w:left w:val="nil"/>
              <w:bottom w:val="nil"/>
              <w:right w:val="nil"/>
            </w:tcBorders>
            <w:shd w:val="clear" w:color="auto" w:fill="auto"/>
            <w:noWrap/>
            <w:vAlign w:val="bottom"/>
            <w:hideMark/>
          </w:tcPr>
          <w:p w14:paraId="70E9A797"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38.3</w:t>
            </w:r>
          </w:p>
        </w:tc>
      </w:tr>
      <w:tr w:rsidR="001031F6" w:rsidRPr="00986F85" w14:paraId="5B9FCE0B" w14:textId="77777777" w:rsidTr="001031F6">
        <w:trPr>
          <w:trHeight w:val="285"/>
        </w:trPr>
        <w:tc>
          <w:tcPr>
            <w:tcW w:w="3138" w:type="dxa"/>
            <w:tcBorders>
              <w:top w:val="nil"/>
              <w:left w:val="nil"/>
              <w:bottom w:val="nil"/>
              <w:right w:val="nil"/>
            </w:tcBorders>
            <w:shd w:val="clear" w:color="auto" w:fill="auto"/>
            <w:noWrap/>
            <w:vAlign w:val="bottom"/>
            <w:hideMark/>
          </w:tcPr>
          <w:p w14:paraId="01A2CD68" w14:textId="77777777" w:rsidR="001031F6" w:rsidRPr="00986F85" w:rsidRDefault="001031F6" w:rsidP="0019620C">
            <w:pPr>
              <w:spacing w:after="0" w:line="240" w:lineRule="auto"/>
              <w:rPr>
                <w:rFonts w:eastAsia="Times New Roman"/>
                <w:color w:val="000000"/>
                <w:lang w:eastAsia="hu-HU"/>
              </w:rPr>
            </w:pPr>
            <w:r w:rsidRPr="00986F85">
              <w:rPr>
                <w:rFonts w:eastAsia="Times New Roman"/>
                <w:color w:val="000000"/>
                <w:lang w:eastAsia="hu-HU"/>
              </w:rPr>
              <w:t>Nettó árbevétel (%)</w:t>
            </w:r>
          </w:p>
        </w:tc>
        <w:tc>
          <w:tcPr>
            <w:tcW w:w="1492" w:type="dxa"/>
            <w:tcBorders>
              <w:top w:val="nil"/>
              <w:left w:val="nil"/>
              <w:bottom w:val="nil"/>
              <w:right w:val="nil"/>
            </w:tcBorders>
            <w:shd w:val="clear" w:color="auto" w:fill="auto"/>
            <w:noWrap/>
            <w:vAlign w:val="bottom"/>
            <w:hideMark/>
          </w:tcPr>
          <w:p w14:paraId="5DAEAD80"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63.5</w:t>
            </w:r>
          </w:p>
        </w:tc>
        <w:tc>
          <w:tcPr>
            <w:tcW w:w="929" w:type="dxa"/>
            <w:tcBorders>
              <w:top w:val="nil"/>
              <w:left w:val="nil"/>
              <w:bottom w:val="nil"/>
              <w:right w:val="nil"/>
            </w:tcBorders>
            <w:shd w:val="clear" w:color="auto" w:fill="auto"/>
            <w:noWrap/>
            <w:vAlign w:val="bottom"/>
            <w:hideMark/>
          </w:tcPr>
          <w:p w14:paraId="1142F37A"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415.5</w:t>
            </w:r>
          </w:p>
        </w:tc>
        <w:tc>
          <w:tcPr>
            <w:tcW w:w="1350" w:type="dxa"/>
            <w:tcBorders>
              <w:top w:val="nil"/>
              <w:left w:val="nil"/>
              <w:bottom w:val="nil"/>
              <w:right w:val="nil"/>
            </w:tcBorders>
            <w:shd w:val="clear" w:color="auto" w:fill="auto"/>
            <w:noWrap/>
            <w:vAlign w:val="bottom"/>
            <w:hideMark/>
          </w:tcPr>
          <w:p w14:paraId="50834472"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-16.1</w:t>
            </w:r>
          </w:p>
        </w:tc>
        <w:tc>
          <w:tcPr>
            <w:tcW w:w="894" w:type="dxa"/>
            <w:tcBorders>
              <w:top w:val="nil"/>
              <w:left w:val="nil"/>
              <w:bottom w:val="nil"/>
              <w:right w:val="nil"/>
            </w:tcBorders>
            <w:shd w:val="clear" w:color="auto" w:fill="auto"/>
            <w:noWrap/>
            <w:vAlign w:val="bottom"/>
            <w:hideMark/>
          </w:tcPr>
          <w:p w14:paraId="56E59AEF"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22.2</w:t>
            </w:r>
          </w:p>
        </w:tc>
        <w:tc>
          <w:tcPr>
            <w:tcW w:w="1411" w:type="dxa"/>
            <w:tcBorders>
              <w:top w:val="nil"/>
              <w:left w:val="nil"/>
              <w:bottom w:val="nil"/>
              <w:right w:val="nil"/>
            </w:tcBorders>
            <w:shd w:val="clear" w:color="auto" w:fill="auto"/>
            <w:noWrap/>
            <w:vAlign w:val="bottom"/>
            <w:hideMark/>
          </w:tcPr>
          <w:p w14:paraId="4175B4A4"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64.9</w:t>
            </w:r>
          </w:p>
        </w:tc>
      </w:tr>
      <w:tr w:rsidR="001031F6" w:rsidRPr="00986F85" w14:paraId="566DDA83" w14:textId="77777777" w:rsidTr="001031F6">
        <w:trPr>
          <w:trHeight w:val="285"/>
        </w:trPr>
        <w:tc>
          <w:tcPr>
            <w:tcW w:w="3138" w:type="dxa"/>
            <w:tcBorders>
              <w:top w:val="nil"/>
              <w:left w:val="nil"/>
              <w:bottom w:val="nil"/>
              <w:right w:val="nil"/>
            </w:tcBorders>
            <w:shd w:val="clear" w:color="auto" w:fill="auto"/>
            <w:noWrap/>
            <w:vAlign w:val="bottom"/>
            <w:hideMark/>
          </w:tcPr>
          <w:p w14:paraId="1CB06D5D" w14:textId="77777777" w:rsidR="001031F6" w:rsidRPr="00986F85" w:rsidRDefault="001031F6" w:rsidP="0019620C">
            <w:pPr>
              <w:spacing w:after="0" w:line="240" w:lineRule="auto"/>
              <w:rPr>
                <w:rFonts w:eastAsia="Times New Roman"/>
                <w:color w:val="000000"/>
                <w:lang w:eastAsia="hu-HU"/>
              </w:rPr>
            </w:pPr>
            <w:r w:rsidRPr="00986F85">
              <w:rPr>
                <w:rFonts w:eastAsia="Times New Roman"/>
                <w:color w:val="000000"/>
                <w:lang w:eastAsia="hu-HU"/>
              </w:rPr>
              <w:t>Egy foglalkoztatottra eső árbevétel (%)</w:t>
            </w:r>
          </w:p>
        </w:tc>
        <w:tc>
          <w:tcPr>
            <w:tcW w:w="1492" w:type="dxa"/>
            <w:tcBorders>
              <w:top w:val="nil"/>
              <w:left w:val="nil"/>
              <w:bottom w:val="nil"/>
              <w:right w:val="nil"/>
            </w:tcBorders>
            <w:shd w:val="clear" w:color="auto" w:fill="auto"/>
            <w:noWrap/>
            <w:vAlign w:val="bottom"/>
            <w:hideMark/>
          </w:tcPr>
          <w:p w14:paraId="37605BCE"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46.6</w:t>
            </w:r>
          </w:p>
        </w:tc>
        <w:tc>
          <w:tcPr>
            <w:tcW w:w="929" w:type="dxa"/>
            <w:tcBorders>
              <w:top w:val="nil"/>
              <w:left w:val="nil"/>
              <w:bottom w:val="nil"/>
              <w:right w:val="nil"/>
            </w:tcBorders>
            <w:shd w:val="clear" w:color="auto" w:fill="auto"/>
            <w:noWrap/>
            <w:vAlign w:val="bottom"/>
            <w:hideMark/>
          </w:tcPr>
          <w:p w14:paraId="06AED192"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440.8</w:t>
            </w:r>
          </w:p>
        </w:tc>
        <w:tc>
          <w:tcPr>
            <w:tcW w:w="1350" w:type="dxa"/>
            <w:tcBorders>
              <w:top w:val="nil"/>
              <w:left w:val="nil"/>
              <w:bottom w:val="nil"/>
              <w:right w:val="nil"/>
            </w:tcBorders>
            <w:shd w:val="clear" w:color="auto" w:fill="auto"/>
            <w:noWrap/>
            <w:vAlign w:val="bottom"/>
            <w:hideMark/>
          </w:tcPr>
          <w:p w14:paraId="7BAA7872"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-16.5</w:t>
            </w:r>
          </w:p>
        </w:tc>
        <w:tc>
          <w:tcPr>
            <w:tcW w:w="894" w:type="dxa"/>
            <w:tcBorders>
              <w:top w:val="nil"/>
              <w:left w:val="nil"/>
              <w:bottom w:val="nil"/>
              <w:right w:val="nil"/>
            </w:tcBorders>
            <w:shd w:val="clear" w:color="auto" w:fill="auto"/>
            <w:noWrap/>
            <w:vAlign w:val="bottom"/>
            <w:hideMark/>
          </w:tcPr>
          <w:p w14:paraId="55DBA646"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12.4</w:t>
            </w:r>
          </w:p>
        </w:tc>
        <w:tc>
          <w:tcPr>
            <w:tcW w:w="1411" w:type="dxa"/>
            <w:tcBorders>
              <w:top w:val="nil"/>
              <w:left w:val="nil"/>
              <w:bottom w:val="nil"/>
              <w:right w:val="nil"/>
            </w:tcBorders>
            <w:shd w:val="clear" w:color="auto" w:fill="auto"/>
            <w:noWrap/>
            <w:vAlign w:val="bottom"/>
            <w:hideMark/>
          </w:tcPr>
          <w:p w14:paraId="6686A4D1"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45.6</w:t>
            </w:r>
          </w:p>
        </w:tc>
      </w:tr>
      <w:tr w:rsidR="001031F6" w:rsidRPr="00986F85" w14:paraId="41FA8A08" w14:textId="77777777" w:rsidTr="001031F6">
        <w:trPr>
          <w:trHeight w:val="285"/>
        </w:trPr>
        <w:tc>
          <w:tcPr>
            <w:tcW w:w="3138" w:type="dxa"/>
            <w:tcBorders>
              <w:top w:val="nil"/>
              <w:left w:val="nil"/>
              <w:bottom w:val="nil"/>
              <w:right w:val="nil"/>
            </w:tcBorders>
            <w:shd w:val="clear" w:color="auto" w:fill="auto"/>
            <w:noWrap/>
            <w:vAlign w:val="bottom"/>
            <w:hideMark/>
          </w:tcPr>
          <w:p w14:paraId="4F64C5B4" w14:textId="77777777" w:rsidR="001031F6" w:rsidRPr="00986F85" w:rsidRDefault="001031F6" w:rsidP="0019620C">
            <w:pPr>
              <w:spacing w:after="0" w:line="240" w:lineRule="auto"/>
              <w:rPr>
                <w:rFonts w:eastAsia="Times New Roman"/>
                <w:color w:val="000000"/>
                <w:lang w:eastAsia="hu-HU"/>
              </w:rPr>
            </w:pPr>
            <w:r w:rsidRPr="00986F85">
              <w:rPr>
                <w:rFonts w:eastAsia="Times New Roman"/>
                <w:color w:val="000000"/>
                <w:lang w:eastAsia="hu-HU"/>
              </w:rPr>
              <w:t>Tárgyi eszköz (%)</w:t>
            </w:r>
          </w:p>
        </w:tc>
        <w:tc>
          <w:tcPr>
            <w:tcW w:w="1492" w:type="dxa"/>
            <w:tcBorders>
              <w:top w:val="nil"/>
              <w:left w:val="nil"/>
              <w:bottom w:val="nil"/>
              <w:right w:val="nil"/>
            </w:tcBorders>
            <w:shd w:val="clear" w:color="auto" w:fill="auto"/>
            <w:noWrap/>
            <w:vAlign w:val="bottom"/>
            <w:hideMark/>
          </w:tcPr>
          <w:p w14:paraId="68017CBB"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207.6</w:t>
            </w:r>
          </w:p>
        </w:tc>
        <w:tc>
          <w:tcPr>
            <w:tcW w:w="929" w:type="dxa"/>
            <w:tcBorders>
              <w:top w:val="nil"/>
              <w:left w:val="nil"/>
              <w:bottom w:val="nil"/>
              <w:right w:val="nil"/>
            </w:tcBorders>
            <w:shd w:val="clear" w:color="auto" w:fill="auto"/>
            <w:noWrap/>
            <w:vAlign w:val="bottom"/>
            <w:hideMark/>
          </w:tcPr>
          <w:p w14:paraId="1C1AF2D2"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1433.4</w:t>
            </w:r>
          </w:p>
        </w:tc>
        <w:tc>
          <w:tcPr>
            <w:tcW w:w="1350" w:type="dxa"/>
            <w:tcBorders>
              <w:top w:val="nil"/>
              <w:left w:val="nil"/>
              <w:bottom w:val="nil"/>
              <w:right w:val="nil"/>
            </w:tcBorders>
            <w:shd w:val="clear" w:color="auto" w:fill="auto"/>
            <w:noWrap/>
            <w:vAlign w:val="bottom"/>
            <w:hideMark/>
          </w:tcPr>
          <w:p w14:paraId="50E21072"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-3.0</w:t>
            </w:r>
          </w:p>
        </w:tc>
        <w:tc>
          <w:tcPr>
            <w:tcW w:w="894" w:type="dxa"/>
            <w:tcBorders>
              <w:top w:val="nil"/>
              <w:left w:val="nil"/>
              <w:bottom w:val="nil"/>
              <w:right w:val="nil"/>
            </w:tcBorders>
            <w:shd w:val="clear" w:color="auto" w:fill="auto"/>
            <w:noWrap/>
            <w:vAlign w:val="bottom"/>
            <w:hideMark/>
          </w:tcPr>
          <w:p w14:paraId="0B9DBB10"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34.5</w:t>
            </w:r>
          </w:p>
        </w:tc>
        <w:tc>
          <w:tcPr>
            <w:tcW w:w="1411" w:type="dxa"/>
            <w:tcBorders>
              <w:top w:val="nil"/>
              <w:left w:val="nil"/>
              <w:bottom w:val="nil"/>
              <w:right w:val="nil"/>
            </w:tcBorders>
            <w:shd w:val="clear" w:color="auto" w:fill="auto"/>
            <w:noWrap/>
            <w:vAlign w:val="bottom"/>
            <w:hideMark/>
          </w:tcPr>
          <w:p w14:paraId="3D1DF987"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112.0</w:t>
            </w:r>
          </w:p>
        </w:tc>
      </w:tr>
      <w:tr w:rsidR="001031F6" w:rsidRPr="00986F85" w14:paraId="4D2994CA" w14:textId="77777777" w:rsidTr="001031F6">
        <w:trPr>
          <w:trHeight w:val="285"/>
        </w:trPr>
        <w:tc>
          <w:tcPr>
            <w:tcW w:w="3138" w:type="dxa"/>
            <w:tcBorders>
              <w:top w:val="nil"/>
              <w:left w:val="nil"/>
              <w:bottom w:val="nil"/>
              <w:right w:val="nil"/>
            </w:tcBorders>
            <w:shd w:val="clear" w:color="auto" w:fill="auto"/>
            <w:noWrap/>
            <w:vAlign w:val="bottom"/>
            <w:hideMark/>
          </w:tcPr>
          <w:p w14:paraId="438E3484" w14:textId="77777777" w:rsidR="001031F6" w:rsidRPr="00986F85" w:rsidRDefault="001031F6" w:rsidP="0019620C">
            <w:pPr>
              <w:spacing w:after="0" w:line="240" w:lineRule="auto"/>
              <w:rPr>
                <w:rFonts w:eastAsia="Times New Roman"/>
                <w:color w:val="000000"/>
                <w:lang w:eastAsia="hu-HU"/>
              </w:rPr>
            </w:pPr>
            <w:r w:rsidRPr="00986F85">
              <w:rPr>
                <w:rFonts w:eastAsia="Times New Roman"/>
                <w:color w:val="000000"/>
                <w:lang w:eastAsia="hu-HU"/>
              </w:rPr>
              <w:t>Tőkeintenzitás (%)</w:t>
            </w:r>
          </w:p>
        </w:tc>
        <w:tc>
          <w:tcPr>
            <w:tcW w:w="1492" w:type="dxa"/>
            <w:tcBorders>
              <w:top w:val="nil"/>
              <w:left w:val="nil"/>
              <w:bottom w:val="nil"/>
              <w:right w:val="nil"/>
            </w:tcBorders>
            <w:shd w:val="clear" w:color="auto" w:fill="auto"/>
            <w:noWrap/>
            <w:vAlign w:val="bottom"/>
            <w:hideMark/>
          </w:tcPr>
          <w:p w14:paraId="41817D1A"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186.6</w:t>
            </w:r>
          </w:p>
        </w:tc>
        <w:tc>
          <w:tcPr>
            <w:tcW w:w="929" w:type="dxa"/>
            <w:tcBorders>
              <w:top w:val="nil"/>
              <w:left w:val="nil"/>
              <w:bottom w:val="nil"/>
              <w:right w:val="nil"/>
            </w:tcBorders>
            <w:shd w:val="clear" w:color="auto" w:fill="auto"/>
            <w:noWrap/>
            <w:vAlign w:val="bottom"/>
            <w:hideMark/>
          </w:tcPr>
          <w:p w14:paraId="1FA91D6C"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1512.8</w:t>
            </w:r>
          </w:p>
        </w:tc>
        <w:tc>
          <w:tcPr>
            <w:tcW w:w="1350" w:type="dxa"/>
            <w:tcBorders>
              <w:top w:val="nil"/>
              <w:left w:val="nil"/>
              <w:bottom w:val="nil"/>
              <w:right w:val="nil"/>
            </w:tcBorders>
            <w:shd w:val="clear" w:color="auto" w:fill="auto"/>
            <w:noWrap/>
            <w:vAlign w:val="bottom"/>
            <w:hideMark/>
          </w:tcPr>
          <w:p w14:paraId="35DA7CF2"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-9.8</w:t>
            </w:r>
          </w:p>
        </w:tc>
        <w:tc>
          <w:tcPr>
            <w:tcW w:w="894" w:type="dxa"/>
            <w:tcBorders>
              <w:top w:val="nil"/>
              <w:left w:val="nil"/>
              <w:bottom w:val="nil"/>
              <w:right w:val="nil"/>
            </w:tcBorders>
            <w:shd w:val="clear" w:color="auto" w:fill="auto"/>
            <w:noWrap/>
            <w:vAlign w:val="bottom"/>
            <w:hideMark/>
          </w:tcPr>
          <w:p w14:paraId="19F8190C"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27.3</w:t>
            </w:r>
          </w:p>
        </w:tc>
        <w:tc>
          <w:tcPr>
            <w:tcW w:w="1411" w:type="dxa"/>
            <w:tcBorders>
              <w:top w:val="nil"/>
              <w:left w:val="nil"/>
              <w:bottom w:val="nil"/>
              <w:right w:val="nil"/>
            </w:tcBorders>
            <w:shd w:val="clear" w:color="auto" w:fill="auto"/>
            <w:noWrap/>
            <w:vAlign w:val="bottom"/>
            <w:hideMark/>
          </w:tcPr>
          <w:p w14:paraId="5DE59FA0"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115.0</w:t>
            </w:r>
          </w:p>
        </w:tc>
      </w:tr>
      <w:tr w:rsidR="001031F6" w:rsidRPr="00986F85" w14:paraId="6A3605D4" w14:textId="77777777" w:rsidTr="001031F6">
        <w:trPr>
          <w:trHeight w:val="285"/>
        </w:trPr>
        <w:tc>
          <w:tcPr>
            <w:tcW w:w="3138" w:type="dxa"/>
            <w:tcBorders>
              <w:top w:val="nil"/>
              <w:left w:val="nil"/>
              <w:bottom w:val="nil"/>
              <w:right w:val="nil"/>
            </w:tcBorders>
            <w:shd w:val="clear" w:color="auto" w:fill="auto"/>
            <w:noWrap/>
            <w:vAlign w:val="bottom"/>
            <w:hideMark/>
          </w:tcPr>
          <w:p w14:paraId="4F3DF727" w14:textId="77777777" w:rsidR="001031F6" w:rsidRPr="00986F85" w:rsidRDefault="001031F6" w:rsidP="0019620C">
            <w:pPr>
              <w:spacing w:after="0" w:line="240" w:lineRule="auto"/>
              <w:rPr>
                <w:rFonts w:eastAsia="Times New Roman"/>
                <w:color w:val="000000"/>
                <w:lang w:eastAsia="hu-HU"/>
              </w:rPr>
            </w:pPr>
            <w:r w:rsidRPr="00986F85">
              <w:rPr>
                <w:rFonts w:eastAsia="Times New Roman"/>
                <w:color w:val="000000"/>
                <w:lang w:eastAsia="hu-HU"/>
              </w:rPr>
              <w:t>Jegyzett tőke</w:t>
            </w:r>
          </w:p>
        </w:tc>
        <w:tc>
          <w:tcPr>
            <w:tcW w:w="1492" w:type="dxa"/>
            <w:tcBorders>
              <w:top w:val="nil"/>
              <w:left w:val="nil"/>
              <w:bottom w:val="nil"/>
              <w:right w:val="nil"/>
            </w:tcBorders>
            <w:shd w:val="clear" w:color="auto" w:fill="auto"/>
            <w:noWrap/>
            <w:vAlign w:val="bottom"/>
            <w:hideMark/>
          </w:tcPr>
          <w:p w14:paraId="173F70FB"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31.8</w:t>
            </w:r>
          </w:p>
        </w:tc>
        <w:tc>
          <w:tcPr>
            <w:tcW w:w="929" w:type="dxa"/>
            <w:tcBorders>
              <w:top w:val="nil"/>
              <w:left w:val="nil"/>
              <w:bottom w:val="nil"/>
              <w:right w:val="nil"/>
            </w:tcBorders>
            <w:shd w:val="clear" w:color="auto" w:fill="auto"/>
            <w:noWrap/>
            <w:vAlign w:val="bottom"/>
            <w:hideMark/>
          </w:tcPr>
          <w:p w14:paraId="77DE108B"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224.5</w:t>
            </w:r>
          </w:p>
        </w:tc>
        <w:tc>
          <w:tcPr>
            <w:tcW w:w="1350" w:type="dxa"/>
            <w:tcBorders>
              <w:top w:val="nil"/>
              <w:left w:val="nil"/>
              <w:bottom w:val="nil"/>
              <w:right w:val="nil"/>
            </w:tcBorders>
            <w:shd w:val="clear" w:color="auto" w:fill="auto"/>
            <w:noWrap/>
            <w:vAlign w:val="bottom"/>
            <w:hideMark/>
          </w:tcPr>
          <w:p w14:paraId="1D2D89A7"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0.0</w:t>
            </w:r>
          </w:p>
        </w:tc>
        <w:tc>
          <w:tcPr>
            <w:tcW w:w="894" w:type="dxa"/>
            <w:tcBorders>
              <w:top w:val="nil"/>
              <w:left w:val="nil"/>
              <w:bottom w:val="nil"/>
              <w:right w:val="nil"/>
            </w:tcBorders>
            <w:shd w:val="clear" w:color="auto" w:fill="auto"/>
            <w:noWrap/>
            <w:vAlign w:val="bottom"/>
            <w:hideMark/>
          </w:tcPr>
          <w:p w14:paraId="77068788"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0.0</w:t>
            </w:r>
          </w:p>
        </w:tc>
        <w:tc>
          <w:tcPr>
            <w:tcW w:w="1411" w:type="dxa"/>
            <w:tcBorders>
              <w:top w:val="nil"/>
              <w:left w:val="nil"/>
              <w:bottom w:val="nil"/>
              <w:right w:val="nil"/>
            </w:tcBorders>
            <w:shd w:val="clear" w:color="auto" w:fill="auto"/>
            <w:noWrap/>
            <w:vAlign w:val="bottom"/>
            <w:hideMark/>
          </w:tcPr>
          <w:p w14:paraId="508A71A1"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0.0</w:t>
            </w:r>
          </w:p>
        </w:tc>
      </w:tr>
      <w:tr w:rsidR="001031F6" w:rsidRPr="00986F85" w14:paraId="7D6847D3" w14:textId="77777777" w:rsidTr="001031F6">
        <w:trPr>
          <w:trHeight w:val="285"/>
        </w:trPr>
        <w:tc>
          <w:tcPr>
            <w:tcW w:w="3138" w:type="dxa"/>
            <w:tcBorders>
              <w:top w:val="nil"/>
              <w:left w:val="nil"/>
              <w:bottom w:val="nil"/>
              <w:right w:val="nil"/>
            </w:tcBorders>
            <w:shd w:val="clear" w:color="auto" w:fill="auto"/>
            <w:noWrap/>
            <w:vAlign w:val="bottom"/>
            <w:hideMark/>
          </w:tcPr>
          <w:p w14:paraId="358A75C6" w14:textId="77777777" w:rsidR="001031F6" w:rsidRPr="00986F85" w:rsidRDefault="001031F6" w:rsidP="0019620C">
            <w:pPr>
              <w:spacing w:after="0" w:line="240" w:lineRule="auto"/>
              <w:rPr>
                <w:rFonts w:eastAsia="Times New Roman"/>
                <w:color w:val="000000"/>
                <w:lang w:eastAsia="hu-HU"/>
              </w:rPr>
            </w:pPr>
            <w:r w:rsidRPr="00986F85">
              <w:rPr>
                <w:rFonts w:eastAsia="Times New Roman"/>
                <w:color w:val="000000"/>
                <w:lang w:eastAsia="hu-HU"/>
              </w:rPr>
              <w:t>Egy foglalkoztatottra eső jegyzett tőke (%)</w:t>
            </w:r>
          </w:p>
        </w:tc>
        <w:tc>
          <w:tcPr>
            <w:tcW w:w="1492" w:type="dxa"/>
            <w:tcBorders>
              <w:top w:val="nil"/>
              <w:left w:val="nil"/>
              <w:bottom w:val="nil"/>
              <w:right w:val="nil"/>
            </w:tcBorders>
            <w:shd w:val="clear" w:color="auto" w:fill="auto"/>
            <w:noWrap/>
            <w:vAlign w:val="bottom"/>
            <w:hideMark/>
          </w:tcPr>
          <w:p w14:paraId="1BD50C04"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39.5</w:t>
            </w:r>
          </w:p>
        </w:tc>
        <w:tc>
          <w:tcPr>
            <w:tcW w:w="929" w:type="dxa"/>
            <w:tcBorders>
              <w:top w:val="nil"/>
              <w:left w:val="nil"/>
              <w:bottom w:val="nil"/>
              <w:right w:val="nil"/>
            </w:tcBorders>
            <w:shd w:val="clear" w:color="auto" w:fill="auto"/>
            <w:noWrap/>
            <w:vAlign w:val="bottom"/>
            <w:hideMark/>
          </w:tcPr>
          <w:p w14:paraId="573ABC2F"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225.8</w:t>
            </w:r>
          </w:p>
        </w:tc>
        <w:tc>
          <w:tcPr>
            <w:tcW w:w="1350" w:type="dxa"/>
            <w:tcBorders>
              <w:top w:val="nil"/>
              <w:left w:val="nil"/>
              <w:bottom w:val="nil"/>
              <w:right w:val="nil"/>
            </w:tcBorders>
            <w:shd w:val="clear" w:color="auto" w:fill="auto"/>
            <w:noWrap/>
            <w:vAlign w:val="bottom"/>
            <w:hideMark/>
          </w:tcPr>
          <w:p w14:paraId="035242E6"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-26.9</w:t>
            </w:r>
          </w:p>
        </w:tc>
        <w:tc>
          <w:tcPr>
            <w:tcW w:w="894" w:type="dxa"/>
            <w:tcBorders>
              <w:top w:val="nil"/>
              <w:left w:val="nil"/>
              <w:bottom w:val="nil"/>
              <w:right w:val="nil"/>
            </w:tcBorders>
            <w:shd w:val="clear" w:color="auto" w:fill="auto"/>
            <w:noWrap/>
            <w:vAlign w:val="bottom"/>
            <w:hideMark/>
          </w:tcPr>
          <w:p w14:paraId="05DD33A5"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-5.7</w:t>
            </w:r>
          </w:p>
        </w:tc>
        <w:tc>
          <w:tcPr>
            <w:tcW w:w="1411" w:type="dxa"/>
            <w:tcBorders>
              <w:top w:val="nil"/>
              <w:left w:val="nil"/>
              <w:bottom w:val="nil"/>
              <w:right w:val="nil"/>
            </w:tcBorders>
            <w:shd w:val="clear" w:color="auto" w:fill="auto"/>
            <w:noWrap/>
            <w:vAlign w:val="bottom"/>
            <w:hideMark/>
          </w:tcPr>
          <w:p w14:paraId="1212FC5D"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30.0</w:t>
            </w:r>
          </w:p>
        </w:tc>
      </w:tr>
      <w:tr w:rsidR="001031F6" w:rsidRPr="00986F85" w14:paraId="15415072" w14:textId="77777777" w:rsidTr="001031F6">
        <w:trPr>
          <w:trHeight w:val="285"/>
        </w:trPr>
        <w:tc>
          <w:tcPr>
            <w:tcW w:w="3138" w:type="dxa"/>
            <w:tcBorders>
              <w:top w:val="nil"/>
              <w:left w:val="nil"/>
              <w:bottom w:val="nil"/>
              <w:right w:val="nil"/>
            </w:tcBorders>
            <w:shd w:val="clear" w:color="auto" w:fill="auto"/>
            <w:noWrap/>
            <w:vAlign w:val="bottom"/>
            <w:hideMark/>
          </w:tcPr>
          <w:p w14:paraId="2498689F" w14:textId="77777777" w:rsidR="001031F6" w:rsidRPr="00986F85" w:rsidRDefault="001031F6" w:rsidP="0019620C">
            <w:pPr>
              <w:spacing w:after="0" w:line="240" w:lineRule="auto"/>
              <w:rPr>
                <w:rFonts w:eastAsia="Times New Roman"/>
                <w:color w:val="000000"/>
                <w:lang w:eastAsia="hu-HU"/>
              </w:rPr>
            </w:pPr>
            <w:r w:rsidRPr="00986F85">
              <w:rPr>
                <w:rFonts w:eastAsia="Times New Roman"/>
                <w:color w:val="000000"/>
                <w:lang w:eastAsia="hu-HU"/>
              </w:rPr>
              <w:t>Likviditás</w:t>
            </w:r>
          </w:p>
        </w:tc>
        <w:tc>
          <w:tcPr>
            <w:tcW w:w="1492" w:type="dxa"/>
            <w:tcBorders>
              <w:top w:val="nil"/>
              <w:left w:val="nil"/>
              <w:bottom w:val="nil"/>
              <w:right w:val="nil"/>
            </w:tcBorders>
            <w:shd w:val="clear" w:color="auto" w:fill="auto"/>
            <w:noWrap/>
            <w:vAlign w:val="bottom"/>
            <w:hideMark/>
          </w:tcPr>
          <w:p w14:paraId="05F25A7B"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54.8</w:t>
            </w:r>
          </w:p>
        </w:tc>
        <w:tc>
          <w:tcPr>
            <w:tcW w:w="929" w:type="dxa"/>
            <w:tcBorders>
              <w:top w:val="nil"/>
              <w:left w:val="nil"/>
              <w:bottom w:val="nil"/>
              <w:right w:val="nil"/>
            </w:tcBorders>
            <w:shd w:val="clear" w:color="auto" w:fill="auto"/>
            <w:noWrap/>
            <w:vAlign w:val="bottom"/>
            <w:hideMark/>
          </w:tcPr>
          <w:p w14:paraId="3D85D56F"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196.4</w:t>
            </w:r>
          </w:p>
        </w:tc>
        <w:tc>
          <w:tcPr>
            <w:tcW w:w="1350" w:type="dxa"/>
            <w:tcBorders>
              <w:top w:val="nil"/>
              <w:left w:val="nil"/>
              <w:bottom w:val="nil"/>
              <w:right w:val="nil"/>
            </w:tcBorders>
            <w:shd w:val="clear" w:color="auto" w:fill="auto"/>
            <w:noWrap/>
            <w:vAlign w:val="bottom"/>
            <w:hideMark/>
          </w:tcPr>
          <w:p w14:paraId="5259D85E"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-29.1</w:t>
            </w:r>
          </w:p>
        </w:tc>
        <w:tc>
          <w:tcPr>
            <w:tcW w:w="894" w:type="dxa"/>
            <w:tcBorders>
              <w:top w:val="nil"/>
              <w:left w:val="nil"/>
              <w:bottom w:val="nil"/>
              <w:right w:val="nil"/>
            </w:tcBorders>
            <w:shd w:val="clear" w:color="auto" w:fill="auto"/>
            <w:noWrap/>
            <w:vAlign w:val="bottom"/>
            <w:hideMark/>
          </w:tcPr>
          <w:p w14:paraId="5BCE6E35"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4.3</w:t>
            </w:r>
          </w:p>
        </w:tc>
        <w:tc>
          <w:tcPr>
            <w:tcW w:w="1411" w:type="dxa"/>
            <w:tcBorders>
              <w:top w:val="nil"/>
              <w:left w:val="nil"/>
              <w:bottom w:val="nil"/>
              <w:right w:val="nil"/>
            </w:tcBorders>
            <w:shd w:val="clear" w:color="auto" w:fill="auto"/>
            <w:noWrap/>
            <w:vAlign w:val="bottom"/>
            <w:hideMark/>
          </w:tcPr>
          <w:p w14:paraId="1966BBDA"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71.3</w:t>
            </w:r>
          </w:p>
        </w:tc>
      </w:tr>
      <w:tr w:rsidR="001031F6" w:rsidRPr="00986F85" w14:paraId="7DD3EEF2" w14:textId="77777777" w:rsidTr="001031F6">
        <w:trPr>
          <w:trHeight w:val="285"/>
        </w:trPr>
        <w:tc>
          <w:tcPr>
            <w:tcW w:w="3138" w:type="dxa"/>
            <w:tcBorders>
              <w:top w:val="nil"/>
              <w:left w:val="nil"/>
              <w:bottom w:val="nil"/>
              <w:right w:val="nil"/>
            </w:tcBorders>
            <w:shd w:val="clear" w:color="auto" w:fill="auto"/>
            <w:noWrap/>
            <w:vAlign w:val="bottom"/>
            <w:hideMark/>
          </w:tcPr>
          <w:p w14:paraId="05B7EC60" w14:textId="77777777" w:rsidR="001031F6" w:rsidRPr="00986F85" w:rsidRDefault="001031F6" w:rsidP="0019620C">
            <w:pPr>
              <w:spacing w:after="0" w:line="240" w:lineRule="auto"/>
              <w:rPr>
                <w:rFonts w:eastAsia="Times New Roman" w:cs="Times New Roman"/>
                <w:color w:val="000000"/>
                <w:lang w:eastAsia="hu-HU"/>
              </w:rPr>
            </w:pPr>
            <w:r w:rsidRPr="00986F85">
              <w:rPr>
                <w:rFonts w:eastAsia="Times New Roman"/>
                <w:color w:val="000000"/>
                <w:lang w:eastAsia="hu-HU"/>
              </w:rPr>
              <w:t>Üzemi eredmény</w:t>
            </w:r>
            <w:r w:rsidR="00A72167" w:rsidRPr="00986F85">
              <w:rPr>
                <w:rFonts w:eastAsia="Times New Roman" w:cs="Times New Roman"/>
                <w:color w:val="000000"/>
                <w:lang w:eastAsia="hu-HU"/>
              </w:rPr>
              <w:t xml:space="preserve"> (e Ft)</w:t>
            </w:r>
          </w:p>
        </w:tc>
        <w:tc>
          <w:tcPr>
            <w:tcW w:w="1492" w:type="dxa"/>
            <w:tcBorders>
              <w:top w:val="nil"/>
              <w:left w:val="nil"/>
              <w:bottom w:val="nil"/>
              <w:right w:val="nil"/>
            </w:tcBorders>
            <w:shd w:val="clear" w:color="auto" w:fill="auto"/>
            <w:noWrap/>
            <w:vAlign w:val="bottom"/>
            <w:hideMark/>
          </w:tcPr>
          <w:p w14:paraId="7BF3D2DF"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5646.6</w:t>
            </w:r>
          </w:p>
        </w:tc>
        <w:tc>
          <w:tcPr>
            <w:tcW w:w="929" w:type="dxa"/>
            <w:tcBorders>
              <w:top w:val="nil"/>
              <w:left w:val="nil"/>
              <w:bottom w:val="nil"/>
              <w:right w:val="nil"/>
            </w:tcBorders>
            <w:shd w:val="clear" w:color="auto" w:fill="auto"/>
            <w:noWrap/>
            <w:vAlign w:val="bottom"/>
            <w:hideMark/>
          </w:tcPr>
          <w:p w14:paraId="53EDB776"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68013.4</w:t>
            </w:r>
          </w:p>
        </w:tc>
        <w:tc>
          <w:tcPr>
            <w:tcW w:w="1350" w:type="dxa"/>
            <w:tcBorders>
              <w:top w:val="nil"/>
              <w:left w:val="nil"/>
              <w:bottom w:val="nil"/>
              <w:right w:val="nil"/>
            </w:tcBorders>
            <w:shd w:val="clear" w:color="auto" w:fill="auto"/>
            <w:noWrap/>
            <w:vAlign w:val="bottom"/>
            <w:hideMark/>
          </w:tcPr>
          <w:p w14:paraId="61A40CD9"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-12781.5</w:t>
            </w:r>
          </w:p>
        </w:tc>
        <w:tc>
          <w:tcPr>
            <w:tcW w:w="894" w:type="dxa"/>
            <w:tcBorders>
              <w:top w:val="nil"/>
              <w:left w:val="nil"/>
              <w:bottom w:val="nil"/>
              <w:right w:val="nil"/>
            </w:tcBorders>
            <w:shd w:val="clear" w:color="auto" w:fill="auto"/>
            <w:noWrap/>
            <w:vAlign w:val="bottom"/>
            <w:hideMark/>
          </w:tcPr>
          <w:p w14:paraId="6D8DB8A5"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347.5</w:t>
            </w:r>
          </w:p>
        </w:tc>
        <w:tc>
          <w:tcPr>
            <w:tcW w:w="1411" w:type="dxa"/>
            <w:tcBorders>
              <w:top w:val="nil"/>
              <w:left w:val="nil"/>
              <w:bottom w:val="nil"/>
              <w:right w:val="nil"/>
            </w:tcBorders>
            <w:shd w:val="clear" w:color="auto" w:fill="auto"/>
            <w:noWrap/>
            <w:vAlign w:val="bottom"/>
            <w:hideMark/>
          </w:tcPr>
          <w:p w14:paraId="70F18DA5"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12210.0</w:t>
            </w:r>
          </w:p>
        </w:tc>
      </w:tr>
      <w:tr w:rsidR="001031F6" w:rsidRPr="00986F85" w14:paraId="6BE8B9CE" w14:textId="77777777" w:rsidTr="001031F6">
        <w:trPr>
          <w:trHeight w:val="285"/>
        </w:trPr>
        <w:tc>
          <w:tcPr>
            <w:tcW w:w="3138" w:type="dxa"/>
            <w:tcBorders>
              <w:top w:val="nil"/>
              <w:left w:val="nil"/>
              <w:bottom w:val="nil"/>
              <w:right w:val="nil"/>
            </w:tcBorders>
            <w:shd w:val="clear" w:color="auto" w:fill="auto"/>
            <w:noWrap/>
            <w:vAlign w:val="bottom"/>
            <w:hideMark/>
          </w:tcPr>
          <w:p w14:paraId="4682AB6E" w14:textId="77777777" w:rsidR="001031F6" w:rsidRPr="00986F85" w:rsidRDefault="001031F6" w:rsidP="0019620C">
            <w:pPr>
              <w:spacing w:after="0" w:line="240" w:lineRule="auto"/>
              <w:rPr>
                <w:rFonts w:eastAsia="Times New Roman" w:cs="Times New Roman"/>
                <w:color w:val="000000"/>
                <w:lang w:eastAsia="hu-HU"/>
              </w:rPr>
            </w:pPr>
            <w:r w:rsidRPr="00986F85">
              <w:rPr>
                <w:rFonts w:eastAsia="Times New Roman"/>
                <w:color w:val="000000"/>
                <w:lang w:eastAsia="hu-HU"/>
              </w:rPr>
              <w:t>Egy foglalkoztatottra eső üzemi eredmény</w:t>
            </w:r>
            <w:r w:rsidR="00A72167" w:rsidRPr="00986F85">
              <w:rPr>
                <w:rFonts w:eastAsia="Times New Roman" w:cs="Times New Roman"/>
                <w:color w:val="000000"/>
                <w:lang w:eastAsia="hu-HU"/>
              </w:rPr>
              <w:t xml:space="preserve"> (e Ft)</w:t>
            </w:r>
          </w:p>
        </w:tc>
        <w:tc>
          <w:tcPr>
            <w:tcW w:w="1492" w:type="dxa"/>
            <w:tcBorders>
              <w:top w:val="nil"/>
              <w:left w:val="nil"/>
              <w:bottom w:val="nil"/>
              <w:right w:val="nil"/>
            </w:tcBorders>
            <w:shd w:val="clear" w:color="auto" w:fill="auto"/>
            <w:noWrap/>
            <w:vAlign w:val="bottom"/>
            <w:hideMark/>
          </w:tcPr>
          <w:p w14:paraId="1DF77BFF"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-233.8</w:t>
            </w:r>
          </w:p>
        </w:tc>
        <w:tc>
          <w:tcPr>
            <w:tcW w:w="929" w:type="dxa"/>
            <w:tcBorders>
              <w:top w:val="nil"/>
              <w:left w:val="nil"/>
              <w:bottom w:val="nil"/>
              <w:right w:val="nil"/>
            </w:tcBorders>
            <w:shd w:val="clear" w:color="auto" w:fill="auto"/>
            <w:noWrap/>
            <w:vAlign w:val="bottom"/>
            <w:hideMark/>
          </w:tcPr>
          <w:p w14:paraId="3A5CA1BB"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3363.4</w:t>
            </w:r>
          </w:p>
        </w:tc>
        <w:tc>
          <w:tcPr>
            <w:tcW w:w="1350" w:type="dxa"/>
            <w:tcBorders>
              <w:top w:val="nil"/>
              <w:left w:val="nil"/>
              <w:bottom w:val="nil"/>
              <w:right w:val="nil"/>
            </w:tcBorders>
            <w:shd w:val="clear" w:color="auto" w:fill="auto"/>
            <w:noWrap/>
            <w:vAlign w:val="bottom"/>
            <w:hideMark/>
          </w:tcPr>
          <w:p w14:paraId="0EB55056"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-849.7</w:t>
            </w:r>
          </w:p>
        </w:tc>
        <w:tc>
          <w:tcPr>
            <w:tcW w:w="894" w:type="dxa"/>
            <w:tcBorders>
              <w:top w:val="nil"/>
              <w:left w:val="nil"/>
              <w:bottom w:val="nil"/>
              <w:right w:val="nil"/>
            </w:tcBorders>
            <w:shd w:val="clear" w:color="auto" w:fill="auto"/>
            <w:noWrap/>
            <w:vAlign w:val="bottom"/>
            <w:hideMark/>
          </w:tcPr>
          <w:p w14:paraId="5CD7BF11"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-69.8</w:t>
            </w:r>
          </w:p>
        </w:tc>
        <w:tc>
          <w:tcPr>
            <w:tcW w:w="1411" w:type="dxa"/>
            <w:tcBorders>
              <w:top w:val="nil"/>
              <w:left w:val="nil"/>
              <w:bottom w:val="nil"/>
              <w:right w:val="nil"/>
            </w:tcBorders>
            <w:shd w:val="clear" w:color="auto" w:fill="auto"/>
            <w:noWrap/>
            <w:vAlign w:val="bottom"/>
            <w:hideMark/>
          </w:tcPr>
          <w:p w14:paraId="5BC9E87C"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551.7</w:t>
            </w:r>
          </w:p>
        </w:tc>
      </w:tr>
      <w:tr w:rsidR="001031F6" w:rsidRPr="00986F85" w14:paraId="08C0D5F0" w14:textId="77777777" w:rsidTr="001031F6">
        <w:trPr>
          <w:trHeight w:val="285"/>
        </w:trPr>
        <w:tc>
          <w:tcPr>
            <w:tcW w:w="3138" w:type="dxa"/>
            <w:tcBorders>
              <w:top w:val="nil"/>
              <w:left w:val="nil"/>
              <w:bottom w:val="nil"/>
              <w:right w:val="nil"/>
            </w:tcBorders>
            <w:shd w:val="clear" w:color="auto" w:fill="auto"/>
            <w:noWrap/>
            <w:vAlign w:val="bottom"/>
            <w:hideMark/>
          </w:tcPr>
          <w:p w14:paraId="5A2D0F17" w14:textId="77777777" w:rsidR="001031F6" w:rsidRPr="00986F85" w:rsidRDefault="001031F6" w:rsidP="0019620C">
            <w:pPr>
              <w:spacing w:after="0" w:line="240" w:lineRule="auto"/>
              <w:rPr>
                <w:rFonts w:eastAsia="Times New Roman" w:cs="Times New Roman"/>
                <w:color w:val="000000"/>
                <w:lang w:eastAsia="hu-HU"/>
              </w:rPr>
            </w:pPr>
            <w:r w:rsidRPr="00986F85">
              <w:rPr>
                <w:rFonts w:eastAsia="Times New Roman"/>
                <w:color w:val="000000"/>
                <w:lang w:eastAsia="hu-HU"/>
              </w:rPr>
              <w:t>Hozzáadott érték</w:t>
            </w:r>
            <w:r w:rsidR="00A72167" w:rsidRPr="00986F85">
              <w:rPr>
                <w:rFonts w:eastAsia="Times New Roman" w:cs="Times New Roman"/>
                <w:color w:val="000000"/>
                <w:lang w:eastAsia="hu-HU"/>
              </w:rPr>
              <w:t xml:space="preserve"> (e Ft)</w:t>
            </w:r>
          </w:p>
        </w:tc>
        <w:tc>
          <w:tcPr>
            <w:tcW w:w="1492" w:type="dxa"/>
            <w:tcBorders>
              <w:top w:val="nil"/>
              <w:left w:val="nil"/>
              <w:bottom w:val="nil"/>
              <w:right w:val="nil"/>
            </w:tcBorders>
            <w:shd w:val="clear" w:color="auto" w:fill="auto"/>
            <w:noWrap/>
            <w:vAlign w:val="bottom"/>
            <w:hideMark/>
          </w:tcPr>
          <w:p w14:paraId="0DA8DDEB"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27231.7</w:t>
            </w:r>
          </w:p>
        </w:tc>
        <w:tc>
          <w:tcPr>
            <w:tcW w:w="929" w:type="dxa"/>
            <w:tcBorders>
              <w:top w:val="nil"/>
              <w:left w:val="nil"/>
              <w:bottom w:val="nil"/>
              <w:right w:val="nil"/>
            </w:tcBorders>
            <w:shd w:val="clear" w:color="auto" w:fill="auto"/>
            <w:noWrap/>
            <w:vAlign w:val="bottom"/>
            <w:hideMark/>
          </w:tcPr>
          <w:p w14:paraId="22563DD0"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95991.9</w:t>
            </w:r>
          </w:p>
        </w:tc>
        <w:tc>
          <w:tcPr>
            <w:tcW w:w="1350" w:type="dxa"/>
            <w:tcBorders>
              <w:top w:val="nil"/>
              <w:left w:val="nil"/>
              <w:bottom w:val="nil"/>
              <w:right w:val="nil"/>
            </w:tcBorders>
            <w:shd w:val="clear" w:color="auto" w:fill="auto"/>
            <w:noWrap/>
            <w:vAlign w:val="bottom"/>
            <w:hideMark/>
          </w:tcPr>
          <w:p w14:paraId="618E2C4D"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-7468.5</w:t>
            </w:r>
          </w:p>
        </w:tc>
        <w:tc>
          <w:tcPr>
            <w:tcW w:w="894" w:type="dxa"/>
            <w:tcBorders>
              <w:top w:val="nil"/>
              <w:left w:val="nil"/>
              <w:bottom w:val="nil"/>
              <w:right w:val="nil"/>
            </w:tcBorders>
            <w:shd w:val="clear" w:color="auto" w:fill="auto"/>
            <w:noWrap/>
            <w:vAlign w:val="bottom"/>
            <w:hideMark/>
          </w:tcPr>
          <w:p w14:paraId="26467AB6"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9277.0</w:t>
            </w:r>
          </w:p>
        </w:tc>
        <w:tc>
          <w:tcPr>
            <w:tcW w:w="1411" w:type="dxa"/>
            <w:tcBorders>
              <w:top w:val="nil"/>
              <w:left w:val="nil"/>
              <w:bottom w:val="nil"/>
              <w:right w:val="nil"/>
            </w:tcBorders>
            <w:shd w:val="clear" w:color="auto" w:fill="auto"/>
            <w:noWrap/>
            <w:vAlign w:val="bottom"/>
            <w:hideMark/>
          </w:tcPr>
          <w:p w14:paraId="78DE71CE"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38592.0</w:t>
            </w:r>
          </w:p>
        </w:tc>
      </w:tr>
      <w:tr w:rsidR="001031F6" w:rsidRPr="00986F85" w14:paraId="3A8A5BE9" w14:textId="77777777" w:rsidTr="001031F6">
        <w:trPr>
          <w:trHeight w:val="285"/>
        </w:trPr>
        <w:tc>
          <w:tcPr>
            <w:tcW w:w="3138" w:type="dxa"/>
            <w:tcBorders>
              <w:top w:val="nil"/>
              <w:left w:val="nil"/>
              <w:bottom w:val="nil"/>
              <w:right w:val="nil"/>
            </w:tcBorders>
            <w:shd w:val="clear" w:color="auto" w:fill="auto"/>
            <w:noWrap/>
            <w:vAlign w:val="bottom"/>
            <w:hideMark/>
          </w:tcPr>
          <w:p w14:paraId="68DC1374" w14:textId="77777777" w:rsidR="001031F6" w:rsidRPr="00986F85" w:rsidRDefault="001031F6" w:rsidP="0019620C">
            <w:pPr>
              <w:spacing w:after="0" w:line="240" w:lineRule="auto"/>
              <w:rPr>
                <w:rFonts w:eastAsia="Times New Roman" w:cs="Times New Roman"/>
                <w:color w:val="000000"/>
                <w:lang w:eastAsia="hu-HU"/>
              </w:rPr>
            </w:pPr>
            <w:r w:rsidRPr="00986F85">
              <w:rPr>
                <w:rFonts w:eastAsia="Times New Roman"/>
                <w:color w:val="000000"/>
                <w:lang w:eastAsia="hu-HU"/>
              </w:rPr>
              <w:t>Egy foglalkoztatottra eső hozzáadott érték</w:t>
            </w:r>
            <w:r w:rsidR="00A72167" w:rsidRPr="00986F85">
              <w:rPr>
                <w:rFonts w:eastAsia="Times New Roman" w:cs="Times New Roman"/>
                <w:color w:val="000000"/>
                <w:lang w:eastAsia="hu-HU"/>
              </w:rPr>
              <w:t xml:space="preserve"> (e Ft)</w:t>
            </w:r>
          </w:p>
        </w:tc>
        <w:tc>
          <w:tcPr>
            <w:tcW w:w="1492" w:type="dxa"/>
            <w:tcBorders>
              <w:top w:val="nil"/>
              <w:left w:val="nil"/>
              <w:bottom w:val="nil"/>
              <w:right w:val="nil"/>
            </w:tcBorders>
            <w:shd w:val="clear" w:color="auto" w:fill="auto"/>
            <w:noWrap/>
            <w:vAlign w:val="bottom"/>
            <w:hideMark/>
          </w:tcPr>
          <w:p w14:paraId="5DE33CFA"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351.8</w:t>
            </w:r>
          </w:p>
        </w:tc>
        <w:tc>
          <w:tcPr>
            <w:tcW w:w="929" w:type="dxa"/>
            <w:tcBorders>
              <w:top w:val="nil"/>
              <w:left w:val="nil"/>
              <w:bottom w:val="nil"/>
              <w:right w:val="nil"/>
            </w:tcBorders>
            <w:shd w:val="clear" w:color="auto" w:fill="auto"/>
            <w:noWrap/>
            <w:vAlign w:val="bottom"/>
            <w:hideMark/>
          </w:tcPr>
          <w:p w14:paraId="71A73BFA"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3924.3</w:t>
            </w:r>
          </w:p>
        </w:tc>
        <w:tc>
          <w:tcPr>
            <w:tcW w:w="1350" w:type="dxa"/>
            <w:tcBorders>
              <w:top w:val="nil"/>
              <w:left w:val="nil"/>
              <w:bottom w:val="nil"/>
              <w:right w:val="nil"/>
            </w:tcBorders>
            <w:shd w:val="clear" w:color="auto" w:fill="auto"/>
            <w:noWrap/>
            <w:vAlign w:val="bottom"/>
            <w:hideMark/>
          </w:tcPr>
          <w:p w14:paraId="37B4DB02"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-502.7</w:t>
            </w:r>
          </w:p>
        </w:tc>
        <w:tc>
          <w:tcPr>
            <w:tcW w:w="894" w:type="dxa"/>
            <w:tcBorders>
              <w:top w:val="nil"/>
              <w:left w:val="nil"/>
              <w:bottom w:val="nil"/>
              <w:right w:val="nil"/>
            </w:tcBorders>
            <w:shd w:val="clear" w:color="auto" w:fill="auto"/>
            <w:noWrap/>
            <w:vAlign w:val="bottom"/>
            <w:hideMark/>
          </w:tcPr>
          <w:p w14:paraId="3042B8DD"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421.2</w:t>
            </w:r>
          </w:p>
        </w:tc>
        <w:tc>
          <w:tcPr>
            <w:tcW w:w="1411" w:type="dxa"/>
            <w:tcBorders>
              <w:top w:val="nil"/>
              <w:left w:val="nil"/>
              <w:bottom w:val="nil"/>
              <w:right w:val="nil"/>
            </w:tcBorders>
            <w:shd w:val="clear" w:color="auto" w:fill="auto"/>
            <w:noWrap/>
            <w:vAlign w:val="bottom"/>
            <w:hideMark/>
          </w:tcPr>
          <w:p w14:paraId="0ABAC7A9"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1305.4</w:t>
            </w:r>
          </w:p>
        </w:tc>
      </w:tr>
      <w:tr w:rsidR="001031F6" w:rsidRPr="00986F85" w14:paraId="47413965" w14:textId="77777777" w:rsidTr="001031F6">
        <w:trPr>
          <w:trHeight w:val="285"/>
        </w:trPr>
        <w:tc>
          <w:tcPr>
            <w:tcW w:w="3138" w:type="dxa"/>
            <w:tcBorders>
              <w:top w:val="nil"/>
              <w:left w:val="nil"/>
              <w:bottom w:val="nil"/>
              <w:right w:val="nil"/>
            </w:tcBorders>
            <w:shd w:val="clear" w:color="auto" w:fill="auto"/>
            <w:noWrap/>
            <w:vAlign w:val="bottom"/>
            <w:hideMark/>
          </w:tcPr>
          <w:p w14:paraId="68F4D85A" w14:textId="77777777" w:rsidR="001031F6" w:rsidRPr="00986F85" w:rsidRDefault="001031F6" w:rsidP="0019620C">
            <w:pPr>
              <w:spacing w:after="0" w:line="240" w:lineRule="auto"/>
              <w:rPr>
                <w:rFonts w:eastAsia="Times New Roman"/>
                <w:color w:val="000000"/>
                <w:lang w:eastAsia="hu-HU"/>
              </w:rPr>
            </w:pPr>
            <w:r w:rsidRPr="00986F85">
              <w:rPr>
                <w:rFonts w:eastAsia="Times New Roman"/>
                <w:color w:val="000000"/>
                <w:lang w:eastAsia="hu-HU"/>
              </w:rPr>
              <w:t>ROA</w:t>
            </w:r>
          </w:p>
        </w:tc>
        <w:tc>
          <w:tcPr>
            <w:tcW w:w="1492" w:type="dxa"/>
            <w:tcBorders>
              <w:top w:val="nil"/>
              <w:left w:val="nil"/>
              <w:bottom w:val="nil"/>
              <w:right w:val="nil"/>
            </w:tcBorders>
            <w:shd w:val="clear" w:color="auto" w:fill="auto"/>
            <w:noWrap/>
            <w:vAlign w:val="bottom"/>
            <w:hideMark/>
          </w:tcPr>
          <w:p w14:paraId="141CE551"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-0.350</w:t>
            </w:r>
          </w:p>
        </w:tc>
        <w:tc>
          <w:tcPr>
            <w:tcW w:w="929" w:type="dxa"/>
            <w:tcBorders>
              <w:top w:val="nil"/>
              <w:left w:val="nil"/>
              <w:bottom w:val="nil"/>
              <w:right w:val="nil"/>
            </w:tcBorders>
            <w:shd w:val="clear" w:color="auto" w:fill="auto"/>
            <w:noWrap/>
            <w:vAlign w:val="bottom"/>
            <w:hideMark/>
          </w:tcPr>
          <w:p w14:paraId="33960821"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7.686</w:t>
            </w:r>
          </w:p>
        </w:tc>
        <w:tc>
          <w:tcPr>
            <w:tcW w:w="1350" w:type="dxa"/>
            <w:tcBorders>
              <w:top w:val="nil"/>
              <w:left w:val="nil"/>
              <w:bottom w:val="nil"/>
              <w:right w:val="nil"/>
            </w:tcBorders>
            <w:shd w:val="clear" w:color="auto" w:fill="auto"/>
            <w:noWrap/>
            <w:vAlign w:val="bottom"/>
            <w:hideMark/>
          </w:tcPr>
          <w:p w14:paraId="1DC29A34"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-0.113</w:t>
            </w:r>
          </w:p>
        </w:tc>
        <w:tc>
          <w:tcPr>
            <w:tcW w:w="894" w:type="dxa"/>
            <w:tcBorders>
              <w:top w:val="nil"/>
              <w:left w:val="nil"/>
              <w:bottom w:val="nil"/>
              <w:right w:val="nil"/>
            </w:tcBorders>
            <w:shd w:val="clear" w:color="auto" w:fill="auto"/>
            <w:noWrap/>
            <w:vAlign w:val="bottom"/>
            <w:hideMark/>
          </w:tcPr>
          <w:p w14:paraId="4DA289EB"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-0.027</w:t>
            </w:r>
          </w:p>
        </w:tc>
        <w:tc>
          <w:tcPr>
            <w:tcW w:w="1411" w:type="dxa"/>
            <w:tcBorders>
              <w:top w:val="nil"/>
              <w:left w:val="nil"/>
              <w:bottom w:val="nil"/>
              <w:right w:val="nil"/>
            </w:tcBorders>
            <w:shd w:val="clear" w:color="auto" w:fill="auto"/>
            <w:noWrap/>
            <w:vAlign w:val="bottom"/>
            <w:hideMark/>
          </w:tcPr>
          <w:p w14:paraId="6F91CBB8" w14:textId="77777777" w:rsidR="001031F6" w:rsidRPr="00986F85" w:rsidRDefault="001031F6" w:rsidP="0019620C">
            <w:pPr>
              <w:spacing w:after="0" w:line="240" w:lineRule="auto"/>
              <w:jc w:val="center"/>
              <w:rPr>
                <w:rFonts w:eastAsia="Times New Roman"/>
                <w:color w:val="000000"/>
                <w:lang w:eastAsia="hu-HU"/>
              </w:rPr>
            </w:pPr>
            <w:r w:rsidRPr="00986F85">
              <w:rPr>
                <w:rFonts w:eastAsia="Times New Roman"/>
                <w:color w:val="000000"/>
                <w:lang w:eastAsia="hu-HU"/>
              </w:rPr>
              <w:t>0.030</w:t>
            </w:r>
          </w:p>
        </w:tc>
      </w:tr>
    </w:tbl>
    <w:p w14:paraId="2C43B2BB" w14:textId="77777777" w:rsidR="004E034D" w:rsidRPr="00986F85" w:rsidRDefault="004E034D" w:rsidP="00C32AE7">
      <w:pPr>
        <w:spacing w:after="0" w:line="360" w:lineRule="auto"/>
        <w:jc w:val="center"/>
        <w:rPr>
          <w:rFonts w:cs="Times New Roman"/>
          <w:i/>
          <w:szCs w:val="24"/>
        </w:rPr>
      </w:pPr>
      <w:r w:rsidRPr="00986F85">
        <w:rPr>
          <w:rFonts w:cs="Times New Roman"/>
          <w:i/>
          <w:szCs w:val="24"/>
        </w:rPr>
        <w:t xml:space="preserve">Forrás: </w:t>
      </w:r>
      <w:r w:rsidR="00BC3CDE" w:rsidRPr="00986F85">
        <w:rPr>
          <w:rFonts w:cs="Times New Roman"/>
          <w:i/>
          <w:szCs w:val="24"/>
        </w:rPr>
        <w:t>EMIR-</w:t>
      </w:r>
      <w:r w:rsidRPr="00986F85">
        <w:rPr>
          <w:rFonts w:cs="Times New Roman"/>
          <w:i/>
          <w:szCs w:val="24"/>
        </w:rPr>
        <w:t>NAV adatbázis</w:t>
      </w:r>
    </w:p>
    <w:p w14:paraId="3C2C7E02" w14:textId="77777777" w:rsidR="0063534D" w:rsidRPr="00986F85" w:rsidRDefault="0063534D" w:rsidP="00C32AE7">
      <w:pPr>
        <w:spacing w:after="0" w:line="360" w:lineRule="auto"/>
        <w:jc w:val="center"/>
        <w:rPr>
          <w:rFonts w:cs="Times New Roman"/>
          <w:i/>
          <w:szCs w:val="24"/>
        </w:rPr>
      </w:pPr>
    </w:p>
    <w:p w14:paraId="11EAF6E9" w14:textId="77777777" w:rsidR="00740EEE" w:rsidRPr="00986F85" w:rsidRDefault="00740EEE" w:rsidP="00740EEE">
      <w:pPr>
        <w:spacing w:after="0" w:line="360" w:lineRule="auto"/>
        <w:jc w:val="both"/>
        <w:rPr>
          <w:rFonts w:cs="Times New Roman"/>
          <w:i/>
          <w:szCs w:val="24"/>
        </w:rPr>
      </w:pPr>
      <w:r w:rsidRPr="00986F85">
        <w:rPr>
          <w:rFonts w:cs="Times New Roman"/>
          <w:i/>
          <w:szCs w:val="24"/>
        </w:rPr>
        <w:t>Vizsgált sokasá</w:t>
      </w:r>
      <w:r w:rsidR="00231E03" w:rsidRPr="00986F85">
        <w:rPr>
          <w:rFonts w:cs="Times New Roman"/>
          <w:i/>
          <w:szCs w:val="24"/>
        </w:rPr>
        <w:t>g: 2007-2011 között, GOP2.1.1.</w:t>
      </w:r>
      <w:r w:rsidRPr="00986F85">
        <w:rPr>
          <w:rFonts w:cs="Times New Roman"/>
          <w:i/>
          <w:szCs w:val="24"/>
        </w:rPr>
        <w:t>A</w:t>
      </w:r>
      <w:r w:rsidR="00231E03" w:rsidRPr="00986F85">
        <w:rPr>
          <w:rFonts w:cs="Times New Roman"/>
          <w:i/>
          <w:szCs w:val="24"/>
        </w:rPr>
        <w:t xml:space="preserve"> és hozzá hasonló KMOP1.2.1. A</w:t>
      </w:r>
      <w:r w:rsidRPr="00986F85">
        <w:rPr>
          <w:rFonts w:cs="Times New Roman"/>
          <w:i/>
          <w:szCs w:val="24"/>
        </w:rPr>
        <w:t xml:space="preserve"> konstrukció</w:t>
      </w:r>
      <w:r w:rsidR="00231E03" w:rsidRPr="00986F85">
        <w:rPr>
          <w:rFonts w:cs="Times New Roman"/>
          <w:i/>
          <w:szCs w:val="24"/>
        </w:rPr>
        <w:t>k</w:t>
      </w:r>
      <w:r w:rsidRPr="00986F85">
        <w:rPr>
          <w:rFonts w:cs="Times New Roman"/>
          <w:i/>
          <w:szCs w:val="24"/>
        </w:rPr>
        <w:t xml:space="preserve"> kiírásain nyertes cégek, melyeknek létszáma minden évben legalább 6 fő</w:t>
      </w:r>
      <w:r w:rsidR="0052750A" w:rsidRPr="00986F85">
        <w:rPr>
          <w:rFonts w:cs="Times New Roman"/>
          <w:i/>
          <w:szCs w:val="24"/>
        </w:rPr>
        <w:t>.</w:t>
      </w:r>
    </w:p>
    <w:p w14:paraId="7E0EF67F" w14:textId="77777777" w:rsidR="00C32AE7" w:rsidRPr="00986F85" w:rsidRDefault="00C32AE7" w:rsidP="00C32AE7">
      <w:pPr>
        <w:spacing w:after="0" w:line="360" w:lineRule="auto"/>
        <w:jc w:val="center"/>
        <w:rPr>
          <w:rFonts w:cs="Times New Roman"/>
          <w:i/>
          <w:szCs w:val="24"/>
        </w:rPr>
      </w:pPr>
    </w:p>
    <w:p w14:paraId="1F136CA3" w14:textId="77777777" w:rsidR="0064585B" w:rsidRPr="00986F85" w:rsidRDefault="003C3302" w:rsidP="00B04415">
      <w:pPr>
        <w:spacing w:after="0" w:line="360" w:lineRule="auto"/>
        <w:jc w:val="both"/>
        <w:rPr>
          <w:rFonts w:cs="Times New Roman"/>
          <w:szCs w:val="24"/>
        </w:rPr>
      </w:pPr>
      <w:r w:rsidRPr="00986F85">
        <w:rPr>
          <w:rFonts w:cs="Times New Roman"/>
          <w:szCs w:val="24"/>
        </w:rPr>
        <w:t xml:space="preserve">A fenti képet árnyalja az alábbi kimutatás, mely 2008. évi válságot követően </w:t>
      </w:r>
      <w:r w:rsidR="002B0705" w:rsidRPr="00986F85">
        <w:rPr>
          <w:rFonts w:cs="Times New Roman"/>
          <w:szCs w:val="24"/>
        </w:rPr>
        <w:t xml:space="preserve">összegzi a vállalati teljesítménymuatókat </w:t>
      </w:r>
      <w:r w:rsidRPr="00986F85">
        <w:rPr>
          <w:rFonts w:cs="Times New Roman"/>
          <w:szCs w:val="24"/>
        </w:rPr>
        <w:t>az érintett nyertes cégek köré</w:t>
      </w:r>
      <w:r w:rsidR="002B0705" w:rsidRPr="00986F85">
        <w:rPr>
          <w:rFonts w:cs="Times New Roman"/>
          <w:szCs w:val="24"/>
        </w:rPr>
        <w:t xml:space="preserve">ben. Mint látható a válság érdemben érintette a kezelt cégeket is, melyek többsége </w:t>
      </w:r>
      <w:r w:rsidR="00226699" w:rsidRPr="00986F85">
        <w:rPr>
          <w:rFonts w:cs="Times New Roman"/>
          <w:i/>
          <w:szCs w:val="24"/>
        </w:rPr>
        <w:t xml:space="preserve">nota bene </w:t>
      </w:r>
      <w:r w:rsidR="002B0705" w:rsidRPr="00986F85">
        <w:rPr>
          <w:rFonts w:cs="Times New Roman"/>
          <w:szCs w:val="24"/>
        </w:rPr>
        <w:t xml:space="preserve">2009 végére még nem kapta meg, illetve zárta le a fejlesztési támogatást/ projektjét. </w:t>
      </w:r>
    </w:p>
    <w:p w14:paraId="473B5E7D" w14:textId="77777777" w:rsidR="002B0705" w:rsidRPr="00986F85" w:rsidRDefault="002B0705" w:rsidP="00B04415">
      <w:pPr>
        <w:spacing w:after="0" w:line="360" w:lineRule="auto"/>
        <w:jc w:val="both"/>
        <w:rPr>
          <w:rFonts w:cs="Times New Roman"/>
          <w:szCs w:val="24"/>
        </w:rPr>
      </w:pPr>
    </w:p>
    <w:p w14:paraId="4BA4C0DE" w14:textId="77777777" w:rsidR="002B0705" w:rsidRPr="00986F85" w:rsidRDefault="007E1F98" w:rsidP="004A1D51">
      <w:pPr>
        <w:pStyle w:val="Kpalrs"/>
        <w:keepNext/>
        <w:jc w:val="center"/>
      </w:pPr>
      <w:r w:rsidRPr="00986F85">
        <w:fldChar w:fldCharType="begin"/>
      </w:r>
      <w:r w:rsidR="00336934" w:rsidRPr="00986F85">
        <w:instrText xml:space="preserve"> SEQ táblázat \* ARABIC </w:instrText>
      </w:r>
      <w:r w:rsidRPr="00986F85">
        <w:fldChar w:fldCharType="separate"/>
      </w:r>
      <w:bookmarkStart w:id="51" w:name="_Toc230854360"/>
      <w:r w:rsidR="00336934" w:rsidRPr="00986F85">
        <w:t>15</w:t>
      </w:r>
      <w:r w:rsidRPr="00986F85">
        <w:fldChar w:fldCharType="end"/>
      </w:r>
      <w:r w:rsidR="00336934" w:rsidRPr="00986F85">
        <w:t>. táblázat: Kezelt vállalkozások főbb indikátorainak változása (2011/2006)</w:t>
      </w:r>
      <w:bookmarkEnd w:id="51"/>
    </w:p>
    <w:tbl>
      <w:tblPr>
        <w:tblW w:w="9310" w:type="dxa"/>
        <w:tblInd w:w="70" w:type="dxa"/>
        <w:tblCellMar>
          <w:left w:w="70" w:type="dxa"/>
          <w:right w:w="70" w:type="dxa"/>
        </w:tblCellMar>
        <w:tblLook w:val="04A0" w:firstRow="1" w:lastRow="0" w:firstColumn="1" w:lastColumn="0" w:noHBand="0" w:noVBand="1"/>
      </w:tblPr>
      <w:tblGrid>
        <w:gridCol w:w="3138"/>
        <w:gridCol w:w="1549"/>
        <w:gridCol w:w="929"/>
        <w:gridCol w:w="1352"/>
        <w:gridCol w:w="946"/>
        <w:gridCol w:w="1413"/>
      </w:tblGrid>
      <w:tr w:rsidR="00226699" w:rsidRPr="00986F85" w14:paraId="41D3F2E4" w14:textId="77777777" w:rsidTr="00226699">
        <w:trPr>
          <w:trHeight w:val="285"/>
        </w:trPr>
        <w:tc>
          <w:tcPr>
            <w:tcW w:w="3138" w:type="dxa"/>
            <w:tcBorders>
              <w:top w:val="nil"/>
              <w:left w:val="nil"/>
              <w:bottom w:val="nil"/>
              <w:right w:val="nil"/>
            </w:tcBorders>
            <w:shd w:val="clear" w:color="auto" w:fill="B10000"/>
            <w:noWrap/>
            <w:vAlign w:val="bottom"/>
            <w:hideMark/>
          </w:tcPr>
          <w:p w14:paraId="0A87EE3A" w14:textId="77777777" w:rsidR="00226699" w:rsidRPr="00986F85" w:rsidRDefault="00226699" w:rsidP="00893AFC">
            <w:pPr>
              <w:spacing w:after="0" w:line="240" w:lineRule="auto"/>
              <w:rPr>
                <w:rFonts w:eastAsia="Times New Roman" w:cs="Times New Roman"/>
                <w:b/>
                <w:color w:val="FFFFFF" w:themeColor="background1"/>
                <w:lang w:eastAsia="hu-HU"/>
              </w:rPr>
            </w:pPr>
            <w:r w:rsidRPr="00986F85">
              <w:rPr>
                <w:rFonts w:eastAsia="Times New Roman" w:cs="Times New Roman"/>
                <w:b/>
                <w:color w:val="FFFFFF" w:themeColor="background1"/>
                <w:lang w:eastAsia="hu-HU"/>
              </w:rPr>
              <w:t>Vállalati teljesítménymutatók</w:t>
            </w:r>
          </w:p>
        </w:tc>
        <w:tc>
          <w:tcPr>
            <w:tcW w:w="1549" w:type="dxa"/>
            <w:tcBorders>
              <w:top w:val="nil"/>
              <w:left w:val="nil"/>
              <w:bottom w:val="nil"/>
              <w:right w:val="nil"/>
            </w:tcBorders>
            <w:shd w:val="clear" w:color="auto" w:fill="B10000"/>
            <w:noWrap/>
            <w:vAlign w:val="bottom"/>
            <w:hideMark/>
          </w:tcPr>
          <w:p w14:paraId="1BCAD7ED" w14:textId="77777777" w:rsidR="00226699" w:rsidRPr="00986F85" w:rsidRDefault="00226699" w:rsidP="00893AFC">
            <w:pPr>
              <w:spacing w:after="0" w:line="240" w:lineRule="auto"/>
              <w:jc w:val="center"/>
              <w:rPr>
                <w:rFonts w:eastAsia="Times New Roman"/>
                <w:b/>
                <w:color w:val="FFFFFF" w:themeColor="background1"/>
                <w:lang w:eastAsia="hu-HU"/>
              </w:rPr>
            </w:pPr>
            <w:r w:rsidRPr="00986F85">
              <w:rPr>
                <w:rFonts w:eastAsia="Times New Roman"/>
                <w:b/>
                <w:color w:val="FFFFFF" w:themeColor="background1"/>
                <w:lang w:eastAsia="hu-HU"/>
              </w:rPr>
              <w:t>Átlag</w:t>
            </w:r>
          </w:p>
        </w:tc>
        <w:tc>
          <w:tcPr>
            <w:tcW w:w="929" w:type="dxa"/>
            <w:tcBorders>
              <w:top w:val="nil"/>
              <w:left w:val="nil"/>
              <w:bottom w:val="nil"/>
              <w:right w:val="nil"/>
            </w:tcBorders>
            <w:shd w:val="clear" w:color="auto" w:fill="B10000"/>
            <w:noWrap/>
            <w:vAlign w:val="bottom"/>
            <w:hideMark/>
          </w:tcPr>
          <w:p w14:paraId="4FCA630F" w14:textId="77777777" w:rsidR="00226699" w:rsidRPr="00986F85" w:rsidRDefault="00226699" w:rsidP="00893AFC">
            <w:pPr>
              <w:spacing w:after="0" w:line="240" w:lineRule="auto"/>
              <w:jc w:val="center"/>
              <w:rPr>
                <w:rFonts w:eastAsia="Times New Roman"/>
                <w:b/>
                <w:color w:val="FFFFFF" w:themeColor="background1"/>
                <w:lang w:eastAsia="hu-HU"/>
              </w:rPr>
            </w:pPr>
            <w:r w:rsidRPr="00986F85">
              <w:rPr>
                <w:rFonts w:eastAsia="Times New Roman"/>
                <w:b/>
                <w:color w:val="FFFFFF" w:themeColor="background1"/>
                <w:lang w:eastAsia="hu-HU"/>
              </w:rPr>
              <w:t>Szórás</w:t>
            </w:r>
          </w:p>
        </w:tc>
        <w:tc>
          <w:tcPr>
            <w:tcW w:w="1352" w:type="dxa"/>
            <w:tcBorders>
              <w:top w:val="nil"/>
              <w:left w:val="nil"/>
              <w:bottom w:val="nil"/>
              <w:right w:val="nil"/>
            </w:tcBorders>
            <w:shd w:val="clear" w:color="auto" w:fill="B10000"/>
            <w:noWrap/>
            <w:vAlign w:val="bottom"/>
            <w:hideMark/>
          </w:tcPr>
          <w:p w14:paraId="224706A0" w14:textId="77777777" w:rsidR="00226699" w:rsidRPr="00986F85" w:rsidRDefault="00226699" w:rsidP="00893AFC">
            <w:pPr>
              <w:spacing w:after="0" w:line="240" w:lineRule="auto"/>
              <w:jc w:val="center"/>
              <w:rPr>
                <w:rFonts w:eastAsia="Times New Roman"/>
                <w:b/>
                <w:color w:val="FFFFFF" w:themeColor="background1"/>
                <w:lang w:eastAsia="hu-HU"/>
              </w:rPr>
            </w:pPr>
            <w:r w:rsidRPr="00986F85">
              <w:rPr>
                <w:rFonts w:eastAsia="Times New Roman"/>
                <w:b/>
                <w:color w:val="FFFFFF" w:themeColor="background1"/>
                <w:lang w:eastAsia="hu-HU"/>
              </w:rPr>
              <w:t>Alsó kvartilis</w:t>
            </w:r>
          </w:p>
        </w:tc>
        <w:tc>
          <w:tcPr>
            <w:tcW w:w="929" w:type="dxa"/>
            <w:tcBorders>
              <w:top w:val="nil"/>
              <w:left w:val="nil"/>
              <w:bottom w:val="nil"/>
              <w:right w:val="nil"/>
            </w:tcBorders>
            <w:shd w:val="clear" w:color="auto" w:fill="B10000"/>
            <w:noWrap/>
            <w:vAlign w:val="bottom"/>
            <w:hideMark/>
          </w:tcPr>
          <w:p w14:paraId="19D5E93E" w14:textId="77777777" w:rsidR="00226699" w:rsidRPr="00986F85" w:rsidRDefault="00226699" w:rsidP="00893AFC">
            <w:pPr>
              <w:spacing w:after="0" w:line="240" w:lineRule="auto"/>
              <w:jc w:val="center"/>
              <w:rPr>
                <w:rFonts w:eastAsia="Times New Roman"/>
                <w:b/>
                <w:color w:val="FFFFFF" w:themeColor="background1"/>
                <w:lang w:eastAsia="hu-HU"/>
              </w:rPr>
            </w:pPr>
            <w:r w:rsidRPr="00986F85">
              <w:rPr>
                <w:rFonts w:eastAsia="Times New Roman"/>
                <w:b/>
                <w:color w:val="FFFFFF" w:themeColor="background1"/>
                <w:lang w:eastAsia="hu-HU"/>
              </w:rPr>
              <w:t>Medián</w:t>
            </w:r>
          </w:p>
        </w:tc>
        <w:tc>
          <w:tcPr>
            <w:tcW w:w="1413" w:type="dxa"/>
            <w:tcBorders>
              <w:top w:val="nil"/>
              <w:left w:val="nil"/>
              <w:bottom w:val="nil"/>
              <w:right w:val="nil"/>
            </w:tcBorders>
            <w:shd w:val="clear" w:color="auto" w:fill="B10000"/>
            <w:noWrap/>
            <w:vAlign w:val="bottom"/>
            <w:hideMark/>
          </w:tcPr>
          <w:p w14:paraId="3E619D15" w14:textId="77777777" w:rsidR="00226699" w:rsidRPr="00986F85" w:rsidRDefault="00226699" w:rsidP="00893AFC">
            <w:pPr>
              <w:spacing w:after="0" w:line="240" w:lineRule="auto"/>
              <w:jc w:val="center"/>
              <w:rPr>
                <w:rFonts w:eastAsia="Times New Roman"/>
                <w:b/>
                <w:color w:val="FFFFFF" w:themeColor="background1"/>
                <w:lang w:eastAsia="hu-HU"/>
              </w:rPr>
            </w:pPr>
            <w:r w:rsidRPr="00986F85">
              <w:rPr>
                <w:rFonts w:eastAsia="Times New Roman"/>
                <w:b/>
                <w:color w:val="FFFFFF" w:themeColor="background1"/>
                <w:lang w:eastAsia="hu-HU"/>
              </w:rPr>
              <w:t>Felső kvartilis</w:t>
            </w:r>
          </w:p>
        </w:tc>
      </w:tr>
      <w:tr w:rsidR="00226699" w:rsidRPr="00986F85" w14:paraId="37F034C4" w14:textId="77777777" w:rsidTr="00226699">
        <w:trPr>
          <w:trHeight w:val="285"/>
        </w:trPr>
        <w:tc>
          <w:tcPr>
            <w:tcW w:w="3138" w:type="dxa"/>
            <w:tcBorders>
              <w:top w:val="nil"/>
              <w:left w:val="nil"/>
              <w:bottom w:val="nil"/>
              <w:right w:val="nil"/>
            </w:tcBorders>
            <w:shd w:val="clear" w:color="auto" w:fill="auto"/>
            <w:noWrap/>
            <w:vAlign w:val="bottom"/>
            <w:hideMark/>
          </w:tcPr>
          <w:p w14:paraId="7B19DA82" w14:textId="77777777" w:rsidR="00226699" w:rsidRPr="00986F85" w:rsidRDefault="00226699" w:rsidP="00893AFC">
            <w:pPr>
              <w:spacing w:after="0" w:line="240" w:lineRule="auto"/>
              <w:rPr>
                <w:rFonts w:eastAsia="Times New Roman"/>
                <w:color w:val="000000"/>
                <w:lang w:eastAsia="hu-HU"/>
              </w:rPr>
            </w:pPr>
            <w:r w:rsidRPr="00986F85">
              <w:rPr>
                <w:rFonts w:eastAsia="Times New Roman"/>
                <w:color w:val="000000"/>
                <w:lang w:eastAsia="hu-HU"/>
              </w:rPr>
              <w:t>Foglalkoztatottak száma (%)</w:t>
            </w:r>
          </w:p>
        </w:tc>
        <w:tc>
          <w:tcPr>
            <w:tcW w:w="1549" w:type="dxa"/>
            <w:tcBorders>
              <w:top w:val="nil"/>
              <w:left w:val="nil"/>
              <w:bottom w:val="nil"/>
              <w:right w:val="nil"/>
            </w:tcBorders>
            <w:shd w:val="clear" w:color="auto" w:fill="auto"/>
            <w:noWrap/>
            <w:vAlign w:val="bottom"/>
            <w:hideMark/>
          </w:tcPr>
          <w:p w14:paraId="29E0AA95"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0.2</w:t>
            </w:r>
          </w:p>
        </w:tc>
        <w:tc>
          <w:tcPr>
            <w:tcW w:w="929" w:type="dxa"/>
            <w:tcBorders>
              <w:top w:val="nil"/>
              <w:left w:val="nil"/>
              <w:bottom w:val="nil"/>
              <w:right w:val="nil"/>
            </w:tcBorders>
            <w:shd w:val="clear" w:color="auto" w:fill="auto"/>
            <w:noWrap/>
            <w:vAlign w:val="bottom"/>
            <w:hideMark/>
          </w:tcPr>
          <w:p w14:paraId="2AFCEBA0"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24.8</w:t>
            </w:r>
          </w:p>
        </w:tc>
        <w:tc>
          <w:tcPr>
            <w:tcW w:w="1352" w:type="dxa"/>
            <w:tcBorders>
              <w:top w:val="nil"/>
              <w:left w:val="nil"/>
              <w:bottom w:val="nil"/>
              <w:right w:val="nil"/>
            </w:tcBorders>
            <w:shd w:val="clear" w:color="auto" w:fill="auto"/>
            <w:noWrap/>
            <w:vAlign w:val="bottom"/>
            <w:hideMark/>
          </w:tcPr>
          <w:p w14:paraId="43E81644"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-10.0</w:t>
            </w:r>
          </w:p>
        </w:tc>
        <w:tc>
          <w:tcPr>
            <w:tcW w:w="929" w:type="dxa"/>
            <w:tcBorders>
              <w:top w:val="nil"/>
              <w:left w:val="nil"/>
              <w:bottom w:val="nil"/>
              <w:right w:val="nil"/>
            </w:tcBorders>
            <w:shd w:val="clear" w:color="auto" w:fill="auto"/>
            <w:noWrap/>
            <w:vAlign w:val="bottom"/>
            <w:hideMark/>
          </w:tcPr>
          <w:p w14:paraId="39AB10EF"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0.0</w:t>
            </w:r>
          </w:p>
        </w:tc>
        <w:tc>
          <w:tcPr>
            <w:tcW w:w="1413" w:type="dxa"/>
            <w:tcBorders>
              <w:top w:val="nil"/>
              <w:left w:val="nil"/>
              <w:bottom w:val="nil"/>
              <w:right w:val="nil"/>
            </w:tcBorders>
            <w:shd w:val="clear" w:color="auto" w:fill="auto"/>
            <w:noWrap/>
            <w:vAlign w:val="bottom"/>
            <w:hideMark/>
          </w:tcPr>
          <w:p w14:paraId="72B57FAE"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6.9</w:t>
            </w:r>
          </w:p>
        </w:tc>
      </w:tr>
      <w:tr w:rsidR="00226699" w:rsidRPr="00986F85" w14:paraId="482B3DF2" w14:textId="77777777" w:rsidTr="00226699">
        <w:trPr>
          <w:trHeight w:val="285"/>
        </w:trPr>
        <w:tc>
          <w:tcPr>
            <w:tcW w:w="3138" w:type="dxa"/>
            <w:tcBorders>
              <w:top w:val="nil"/>
              <w:left w:val="nil"/>
              <w:bottom w:val="nil"/>
              <w:right w:val="nil"/>
            </w:tcBorders>
            <w:shd w:val="clear" w:color="auto" w:fill="auto"/>
            <w:noWrap/>
            <w:vAlign w:val="bottom"/>
            <w:hideMark/>
          </w:tcPr>
          <w:p w14:paraId="1525151A" w14:textId="77777777" w:rsidR="00226699" w:rsidRPr="00986F85" w:rsidRDefault="00226699" w:rsidP="00893AFC">
            <w:pPr>
              <w:spacing w:after="0" w:line="240" w:lineRule="auto"/>
              <w:rPr>
                <w:rFonts w:eastAsia="Times New Roman"/>
                <w:color w:val="000000"/>
                <w:lang w:eastAsia="hu-HU"/>
              </w:rPr>
            </w:pPr>
            <w:r w:rsidRPr="00986F85">
              <w:rPr>
                <w:rFonts w:eastAsia="Times New Roman"/>
                <w:color w:val="000000"/>
                <w:lang w:eastAsia="hu-HU"/>
              </w:rPr>
              <w:t>Nettó árbevétel (%)</w:t>
            </w:r>
          </w:p>
        </w:tc>
        <w:tc>
          <w:tcPr>
            <w:tcW w:w="1549" w:type="dxa"/>
            <w:tcBorders>
              <w:top w:val="nil"/>
              <w:left w:val="nil"/>
              <w:bottom w:val="nil"/>
              <w:right w:val="nil"/>
            </w:tcBorders>
            <w:shd w:val="clear" w:color="auto" w:fill="auto"/>
            <w:noWrap/>
            <w:vAlign w:val="bottom"/>
            <w:hideMark/>
          </w:tcPr>
          <w:p w14:paraId="4AA74E60"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9.0</w:t>
            </w:r>
          </w:p>
        </w:tc>
        <w:tc>
          <w:tcPr>
            <w:tcW w:w="929" w:type="dxa"/>
            <w:tcBorders>
              <w:top w:val="nil"/>
              <w:left w:val="nil"/>
              <w:bottom w:val="nil"/>
              <w:right w:val="nil"/>
            </w:tcBorders>
            <w:shd w:val="clear" w:color="auto" w:fill="auto"/>
            <w:noWrap/>
            <w:vAlign w:val="bottom"/>
            <w:hideMark/>
          </w:tcPr>
          <w:p w14:paraId="0F76A11B"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233.2</w:t>
            </w:r>
          </w:p>
        </w:tc>
        <w:tc>
          <w:tcPr>
            <w:tcW w:w="1352" w:type="dxa"/>
            <w:tcBorders>
              <w:top w:val="nil"/>
              <w:left w:val="nil"/>
              <w:bottom w:val="nil"/>
              <w:right w:val="nil"/>
            </w:tcBorders>
            <w:shd w:val="clear" w:color="auto" w:fill="auto"/>
            <w:noWrap/>
            <w:vAlign w:val="bottom"/>
            <w:hideMark/>
          </w:tcPr>
          <w:p w14:paraId="550F2F52"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-22.9</w:t>
            </w:r>
          </w:p>
        </w:tc>
        <w:tc>
          <w:tcPr>
            <w:tcW w:w="929" w:type="dxa"/>
            <w:tcBorders>
              <w:top w:val="nil"/>
              <w:left w:val="nil"/>
              <w:bottom w:val="nil"/>
              <w:right w:val="nil"/>
            </w:tcBorders>
            <w:shd w:val="clear" w:color="auto" w:fill="auto"/>
            <w:noWrap/>
            <w:vAlign w:val="bottom"/>
            <w:hideMark/>
          </w:tcPr>
          <w:p w14:paraId="42974491"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-6.1</w:t>
            </w:r>
          </w:p>
        </w:tc>
        <w:tc>
          <w:tcPr>
            <w:tcW w:w="1413" w:type="dxa"/>
            <w:tcBorders>
              <w:top w:val="nil"/>
              <w:left w:val="nil"/>
              <w:bottom w:val="nil"/>
              <w:right w:val="nil"/>
            </w:tcBorders>
            <w:shd w:val="clear" w:color="auto" w:fill="auto"/>
            <w:noWrap/>
            <w:vAlign w:val="bottom"/>
            <w:hideMark/>
          </w:tcPr>
          <w:p w14:paraId="402E381B"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6.8</w:t>
            </w:r>
          </w:p>
        </w:tc>
      </w:tr>
      <w:tr w:rsidR="00226699" w:rsidRPr="00986F85" w14:paraId="32C129B7" w14:textId="77777777" w:rsidTr="00226699">
        <w:trPr>
          <w:trHeight w:val="285"/>
        </w:trPr>
        <w:tc>
          <w:tcPr>
            <w:tcW w:w="3138" w:type="dxa"/>
            <w:tcBorders>
              <w:top w:val="nil"/>
              <w:left w:val="nil"/>
              <w:bottom w:val="nil"/>
              <w:right w:val="nil"/>
            </w:tcBorders>
            <w:shd w:val="clear" w:color="auto" w:fill="auto"/>
            <w:noWrap/>
            <w:vAlign w:val="bottom"/>
            <w:hideMark/>
          </w:tcPr>
          <w:p w14:paraId="3DF45A76" w14:textId="77777777" w:rsidR="00226699" w:rsidRPr="00986F85" w:rsidRDefault="00226699" w:rsidP="00893AFC">
            <w:pPr>
              <w:spacing w:after="0" w:line="240" w:lineRule="auto"/>
              <w:rPr>
                <w:rFonts w:eastAsia="Times New Roman"/>
                <w:color w:val="000000"/>
                <w:lang w:eastAsia="hu-HU"/>
              </w:rPr>
            </w:pPr>
            <w:r w:rsidRPr="00986F85">
              <w:rPr>
                <w:rFonts w:eastAsia="Times New Roman"/>
                <w:color w:val="000000"/>
                <w:lang w:eastAsia="hu-HU"/>
              </w:rPr>
              <w:t>Egy foglalkoztatottra eső árbevétel (%)</w:t>
            </w:r>
          </w:p>
        </w:tc>
        <w:tc>
          <w:tcPr>
            <w:tcW w:w="1549" w:type="dxa"/>
            <w:tcBorders>
              <w:top w:val="nil"/>
              <w:left w:val="nil"/>
              <w:bottom w:val="nil"/>
              <w:right w:val="nil"/>
            </w:tcBorders>
            <w:shd w:val="clear" w:color="auto" w:fill="auto"/>
            <w:noWrap/>
            <w:vAlign w:val="bottom"/>
            <w:hideMark/>
          </w:tcPr>
          <w:p w14:paraId="623F29C5"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7.8</w:t>
            </w:r>
          </w:p>
        </w:tc>
        <w:tc>
          <w:tcPr>
            <w:tcW w:w="929" w:type="dxa"/>
            <w:tcBorders>
              <w:top w:val="nil"/>
              <w:left w:val="nil"/>
              <w:bottom w:val="nil"/>
              <w:right w:val="nil"/>
            </w:tcBorders>
            <w:shd w:val="clear" w:color="auto" w:fill="auto"/>
            <w:noWrap/>
            <w:vAlign w:val="bottom"/>
            <w:hideMark/>
          </w:tcPr>
          <w:p w14:paraId="2C3260A8"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178.6</w:t>
            </w:r>
          </w:p>
        </w:tc>
        <w:tc>
          <w:tcPr>
            <w:tcW w:w="1352" w:type="dxa"/>
            <w:tcBorders>
              <w:top w:val="nil"/>
              <w:left w:val="nil"/>
              <w:bottom w:val="nil"/>
              <w:right w:val="nil"/>
            </w:tcBorders>
            <w:shd w:val="clear" w:color="auto" w:fill="auto"/>
            <w:noWrap/>
            <w:vAlign w:val="bottom"/>
            <w:hideMark/>
          </w:tcPr>
          <w:p w14:paraId="23B2CAB3"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-20.7</w:t>
            </w:r>
          </w:p>
        </w:tc>
        <w:tc>
          <w:tcPr>
            <w:tcW w:w="929" w:type="dxa"/>
            <w:tcBorders>
              <w:top w:val="nil"/>
              <w:left w:val="nil"/>
              <w:bottom w:val="nil"/>
              <w:right w:val="nil"/>
            </w:tcBorders>
            <w:shd w:val="clear" w:color="auto" w:fill="auto"/>
            <w:noWrap/>
            <w:vAlign w:val="bottom"/>
            <w:hideMark/>
          </w:tcPr>
          <w:p w14:paraId="1D16FB50"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-5.5</w:t>
            </w:r>
          </w:p>
        </w:tc>
        <w:tc>
          <w:tcPr>
            <w:tcW w:w="1413" w:type="dxa"/>
            <w:tcBorders>
              <w:top w:val="nil"/>
              <w:left w:val="nil"/>
              <w:bottom w:val="nil"/>
              <w:right w:val="nil"/>
            </w:tcBorders>
            <w:shd w:val="clear" w:color="auto" w:fill="auto"/>
            <w:noWrap/>
            <w:vAlign w:val="bottom"/>
            <w:hideMark/>
          </w:tcPr>
          <w:p w14:paraId="15B3EE14"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9.1</w:t>
            </w:r>
          </w:p>
        </w:tc>
      </w:tr>
      <w:tr w:rsidR="00226699" w:rsidRPr="00986F85" w14:paraId="3F733F32" w14:textId="77777777" w:rsidTr="00226699">
        <w:trPr>
          <w:trHeight w:val="285"/>
        </w:trPr>
        <w:tc>
          <w:tcPr>
            <w:tcW w:w="3138" w:type="dxa"/>
            <w:tcBorders>
              <w:top w:val="nil"/>
              <w:left w:val="nil"/>
              <w:bottom w:val="nil"/>
              <w:right w:val="nil"/>
            </w:tcBorders>
            <w:shd w:val="clear" w:color="auto" w:fill="auto"/>
            <w:noWrap/>
            <w:vAlign w:val="bottom"/>
            <w:hideMark/>
          </w:tcPr>
          <w:p w14:paraId="376A3104" w14:textId="77777777" w:rsidR="00226699" w:rsidRPr="00986F85" w:rsidRDefault="00226699" w:rsidP="00893AFC">
            <w:pPr>
              <w:spacing w:after="0" w:line="240" w:lineRule="auto"/>
              <w:rPr>
                <w:rFonts w:eastAsia="Times New Roman"/>
                <w:color w:val="000000"/>
                <w:lang w:eastAsia="hu-HU"/>
              </w:rPr>
            </w:pPr>
            <w:r w:rsidRPr="00986F85">
              <w:rPr>
                <w:rFonts w:eastAsia="Times New Roman"/>
                <w:color w:val="000000"/>
                <w:lang w:eastAsia="hu-HU"/>
              </w:rPr>
              <w:t>Tárgyi eszköz (%)</w:t>
            </w:r>
          </w:p>
        </w:tc>
        <w:tc>
          <w:tcPr>
            <w:tcW w:w="1549" w:type="dxa"/>
            <w:tcBorders>
              <w:top w:val="nil"/>
              <w:left w:val="nil"/>
              <w:bottom w:val="nil"/>
              <w:right w:val="nil"/>
            </w:tcBorders>
            <w:shd w:val="clear" w:color="auto" w:fill="auto"/>
            <w:noWrap/>
            <w:vAlign w:val="bottom"/>
            <w:hideMark/>
          </w:tcPr>
          <w:p w14:paraId="7FE730A1"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14.3</w:t>
            </w:r>
          </w:p>
        </w:tc>
        <w:tc>
          <w:tcPr>
            <w:tcW w:w="929" w:type="dxa"/>
            <w:tcBorders>
              <w:top w:val="nil"/>
              <w:left w:val="nil"/>
              <w:bottom w:val="nil"/>
              <w:right w:val="nil"/>
            </w:tcBorders>
            <w:shd w:val="clear" w:color="auto" w:fill="auto"/>
            <w:noWrap/>
            <w:vAlign w:val="bottom"/>
            <w:hideMark/>
          </w:tcPr>
          <w:p w14:paraId="634189F2"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61.6</w:t>
            </w:r>
          </w:p>
        </w:tc>
        <w:tc>
          <w:tcPr>
            <w:tcW w:w="1352" w:type="dxa"/>
            <w:tcBorders>
              <w:top w:val="nil"/>
              <w:left w:val="nil"/>
              <w:bottom w:val="nil"/>
              <w:right w:val="nil"/>
            </w:tcBorders>
            <w:shd w:val="clear" w:color="auto" w:fill="auto"/>
            <w:noWrap/>
            <w:vAlign w:val="bottom"/>
            <w:hideMark/>
          </w:tcPr>
          <w:p w14:paraId="6455F3AF"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-9.8</w:t>
            </w:r>
          </w:p>
        </w:tc>
        <w:tc>
          <w:tcPr>
            <w:tcW w:w="929" w:type="dxa"/>
            <w:tcBorders>
              <w:top w:val="nil"/>
              <w:left w:val="nil"/>
              <w:bottom w:val="nil"/>
              <w:right w:val="nil"/>
            </w:tcBorders>
            <w:shd w:val="clear" w:color="auto" w:fill="auto"/>
            <w:noWrap/>
            <w:vAlign w:val="bottom"/>
            <w:hideMark/>
          </w:tcPr>
          <w:p w14:paraId="50727A8F"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-1.6</w:t>
            </w:r>
          </w:p>
        </w:tc>
        <w:tc>
          <w:tcPr>
            <w:tcW w:w="1413" w:type="dxa"/>
            <w:tcBorders>
              <w:top w:val="nil"/>
              <w:left w:val="nil"/>
              <w:bottom w:val="nil"/>
              <w:right w:val="nil"/>
            </w:tcBorders>
            <w:shd w:val="clear" w:color="auto" w:fill="auto"/>
            <w:noWrap/>
            <w:vAlign w:val="bottom"/>
            <w:hideMark/>
          </w:tcPr>
          <w:p w14:paraId="52D48EB3"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16.8</w:t>
            </w:r>
          </w:p>
        </w:tc>
      </w:tr>
      <w:tr w:rsidR="00226699" w:rsidRPr="00986F85" w14:paraId="42798AAF" w14:textId="77777777" w:rsidTr="00226699">
        <w:trPr>
          <w:trHeight w:val="285"/>
        </w:trPr>
        <w:tc>
          <w:tcPr>
            <w:tcW w:w="3138" w:type="dxa"/>
            <w:tcBorders>
              <w:top w:val="nil"/>
              <w:left w:val="nil"/>
              <w:bottom w:val="nil"/>
              <w:right w:val="nil"/>
            </w:tcBorders>
            <w:shd w:val="clear" w:color="auto" w:fill="auto"/>
            <w:noWrap/>
            <w:vAlign w:val="bottom"/>
            <w:hideMark/>
          </w:tcPr>
          <w:p w14:paraId="434C36A8" w14:textId="77777777" w:rsidR="00226699" w:rsidRPr="00986F85" w:rsidRDefault="00226699" w:rsidP="00893AFC">
            <w:pPr>
              <w:spacing w:after="0" w:line="240" w:lineRule="auto"/>
              <w:rPr>
                <w:rFonts w:eastAsia="Times New Roman"/>
                <w:color w:val="000000"/>
                <w:lang w:eastAsia="hu-HU"/>
              </w:rPr>
            </w:pPr>
            <w:r w:rsidRPr="00986F85">
              <w:rPr>
                <w:rFonts w:eastAsia="Times New Roman"/>
                <w:color w:val="000000"/>
                <w:lang w:eastAsia="hu-HU"/>
              </w:rPr>
              <w:t>Tőkeintenzitás (%)</w:t>
            </w:r>
          </w:p>
        </w:tc>
        <w:tc>
          <w:tcPr>
            <w:tcW w:w="1549" w:type="dxa"/>
            <w:tcBorders>
              <w:top w:val="nil"/>
              <w:left w:val="nil"/>
              <w:bottom w:val="nil"/>
              <w:right w:val="nil"/>
            </w:tcBorders>
            <w:shd w:val="clear" w:color="auto" w:fill="auto"/>
            <w:noWrap/>
            <w:vAlign w:val="bottom"/>
            <w:hideMark/>
          </w:tcPr>
          <w:p w14:paraId="5DD9AE89"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18.1</w:t>
            </w:r>
          </w:p>
        </w:tc>
        <w:tc>
          <w:tcPr>
            <w:tcW w:w="929" w:type="dxa"/>
            <w:tcBorders>
              <w:top w:val="nil"/>
              <w:left w:val="nil"/>
              <w:bottom w:val="nil"/>
              <w:right w:val="nil"/>
            </w:tcBorders>
            <w:shd w:val="clear" w:color="auto" w:fill="auto"/>
            <w:noWrap/>
            <w:vAlign w:val="bottom"/>
            <w:hideMark/>
          </w:tcPr>
          <w:p w14:paraId="0309A001"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63.8</w:t>
            </w:r>
          </w:p>
        </w:tc>
        <w:tc>
          <w:tcPr>
            <w:tcW w:w="1352" w:type="dxa"/>
            <w:tcBorders>
              <w:top w:val="nil"/>
              <w:left w:val="nil"/>
              <w:bottom w:val="nil"/>
              <w:right w:val="nil"/>
            </w:tcBorders>
            <w:shd w:val="clear" w:color="auto" w:fill="auto"/>
            <w:noWrap/>
            <w:vAlign w:val="bottom"/>
            <w:hideMark/>
          </w:tcPr>
          <w:p w14:paraId="234BFEDC"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-10.5</w:t>
            </w:r>
          </w:p>
        </w:tc>
        <w:tc>
          <w:tcPr>
            <w:tcW w:w="929" w:type="dxa"/>
            <w:tcBorders>
              <w:top w:val="nil"/>
              <w:left w:val="nil"/>
              <w:bottom w:val="nil"/>
              <w:right w:val="nil"/>
            </w:tcBorders>
            <w:shd w:val="clear" w:color="auto" w:fill="auto"/>
            <w:noWrap/>
            <w:vAlign w:val="bottom"/>
            <w:hideMark/>
          </w:tcPr>
          <w:p w14:paraId="357D161E"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2.4</w:t>
            </w:r>
          </w:p>
        </w:tc>
        <w:tc>
          <w:tcPr>
            <w:tcW w:w="1413" w:type="dxa"/>
            <w:tcBorders>
              <w:top w:val="nil"/>
              <w:left w:val="nil"/>
              <w:bottom w:val="nil"/>
              <w:right w:val="nil"/>
            </w:tcBorders>
            <w:shd w:val="clear" w:color="auto" w:fill="auto"/>
            <w:noWrap/>
            <w:vAlign w:val="bottom"/>
            <w:hideMark/>
          </w:tcPr>
          <w:p w14:paraId="1AC63F5D"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26.0</w:t>
            </w:r>
          </w:p>
        </w:tc>
      </w:tr>
      <w:tr w:rsidR="00226699" w:rsidRPr="00986F85" w14:paraId="7773B85D" w14:textId="77777777" w:rsidTr="00226699">
        <w:trPr>
          <w:trHeight w:val="285"/>
        </w:trPr>
        <w:tc>
          <w:tcPr>
            <w:tcW w:w="3138" w:type="dxa"/>
            <w:tcBorders>
              <w:top w:val="nil"/>
              <w:left w:val="nil"/>
              <w:bottom w:val="nil"/>
              <w:right w:val="nil"/>
            </w:tcBorders>
            <w:shd w:val="clear" w:color="auto" w:fill="auto"/>
            <w:noWrap/>
            <w:vAlign w:val="bottom"/>
            <w:hideMark/>
          </w:tcPr>
          <w:p w14:paraId="4BCA2262" w14:textId="77777777" w:rsidR="00226699" w:rsidRPr="00986F85" w:rsidRDefault="00226699" w:rsidP="00893AFC">
            <w:pPr>
              <w:spacing w:after="0" w:line="240" w:lineRule="auto"/>
              <w:rPr>
                <w:rFonts w:eastAsia="Times New Roman"/>
                <w:color w:val="000000"/>
                <w:lang w:eastAsia="hu-HU"/>
              </w:rPr>
            </w:pPr>
            <w:r w:rsidRPr="00986F85">
              <w:rPr>
                <w:rFonts w:eastAsia="Times New Roman"/>
                <w:color w:val="000000"/>
                <w:lang w:eastAsia="hu-HU"/>
              </w:rPr>
              <w:t>Jegyzett tőke</w:t>
            </w:r>
          </w:p>
        </w:tc>
        <w:tc>
          <w:tcPr>
            <w:tcW w:w="1549" w:type="dxa"/>
            <w:tcBorders>
              <w:top w:val="nil"/>
              <w:left w:val="nil"/>
              <w:bottom w:val="nil"/>
              <w:right w:val="nil"/>
            </w:tcBorders>
            <w:shd w:val="clear" w:color="auto" w:fill="auto"/>
            <w:noWrap/>
            <w:vAlign w:val="bottom"/>
            <w:hideMark/>
          </w:tcPr>
          <w:p w14:paraId="2495D608"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4.3</w:t>
            </w:r>
          </w:p>
        </w:tc>
        <w:tc>
          <w:tcPr>
            <w:tcW w:w="929" w:type="dxa"/>
            <w:tcBorders>
              <w:top w:val="nil"/>
              <w:left w:val="nil"/>
              <w:bottom w:val="nil"/>
              <w:right w:val="nil"/>
            </w:tcBorders>
            <w:shd w:val="clear" w:color="auto" w:fill="auto"/>
            <w:noWrap/>
            <w:vAlign w:val="bottom"/>
            <w:hideMark/>
          </w:tcPr>
          <w:p w14:paraId="2340AEE0"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62.5</w:t>
            </w:r>
          </w:p>
        </w:tc>
        <w:tc>
          <w:tcPr>
            <w:tcW w:w="1352" w:type="dxa"/>
            <w:tcBorders>
              <w:top w:val="nil"/>
              <w:left w:val="nil"/>
              <w:bottom w:val="nil"/>
              <w:right w:val="nil"/>
            </w:tcBorders>
            <w:shd w:val="clear" w:color="auto" w:fill="auto"/>
            <w:noWrap/>
            <w:vAlign w:val="bottom"/>
            <w:hideMark/>
          </w:tcPr>
          <w:p w14:paraId="0381832C"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0.0</w:t>
            </w:r>
          </w:p>
        </w:tc>
        <w:tc>
          <w:tcPr>
            <w:tcW w:w="929" w:type="dxa"/>
            <w:tcBorders>
              <w:top w:val="nil"/>
              <w:left w:val="nil"/>
              <w:bottom w:val="nil"/>
              <w:right w:val="nil"/>
            </w:tcBorders>
            <w:shd w:val="clear" w:color="auto" w:fill="auto"/>
            <w:noWrap/>
            <w:vAlign w:val="bottom"/>
            <w:hideMark/>
          </w:tcPr>
          <w:p w14:paraId="1A91E084"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0.0</w:t>
            </w:r>
          </w:p>
        </w:tc>
        <w:tc>
          <w:tcPr>
            <w:tcW w:w="1413" w:type="dxa"/>
            <w:tcBorders>
              <w:top w:val="nil"/>
              <w:left w:val="nil"/>
              <w:bottom w:val="nil"/>
              <w:right w:val="nil"/>
            </w:tcBorders>
            <w:shd w:val="clear" w:color="auto" w:fill="auto"/>
            <w:noWrap/>
            <w:vAlign w:val="bottom"/>
            <w:hideMark/>
          </w:tcPr>
          <w:p w14:paraId="695EDDE6"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0.0</w:t>
            </w:r>
          </w:p>
        </w:tc>
      </w:tr>
      <w:tr w:rsidR="00226699" w:rsidRPr="00986F85" w14:paraId="12745A27" w14:textId="77777777" w:rsidTr="00226699">
        <w:trPr>
          <w:trHeight w:val="285"/>
        </w:trPr>
        <w:tc>
          <w:tcPr>
            <w:tcW w:w="3138" w:type="dxa"/>
            <w:tcBorders>
              <w:top w:val="nil"/>
              <w:left w:val="nil"/>
              <w:bottom w:val="nil"/>
              <w:right w:val="nil"/>
            </w:tcBorders>
            <w:shd w:val="clear" w:color="auto" w:fill="auto"/>
            <w:noWrap/>
            <w:vAlign w:val="bottom"/>
            <w:hideMark/>
          </w:tcPr>
          <w:p w14:paraId="2D74B2A2" w14:textId="77777777" w:rsidR="00226699" w:rsidRPr="00986F85" w:rsidRDefault="00226699" w:rsidP="00893AFC">
            <w:pPr>
              <w:spacing w:after="0" w:line="240" w:lineRule="auto"/>
              <w:rPr>
                <w:rFonts w:eastAsia="Times New Roman"/>
                <w:color w:val="000000"/>
                <w:lang w:eastAsia="hu-HU"/>
              </w:rPr>
            </w:pPr>
            <w:r w:rsidRPr="00986F85">
              <w:rPr>
                <w:rFonts w:eastAsia="Times New Roman"/>
                <w:color w:val="000000"/>
                <w:lang w:eastAsia="hu-HU"/>
              </w:rPr>
              <w:t>Egy foglalkoztatottra eső jegyzett tőke (%)</w:t>
            </w:r>
          </w:p>
        </w:tc>
        <w:tc>
          <w:tcPr>
            <w:tcW w:w="1549" w:type="dxa"/>
            <w:tcBorders>
              <w:top w:val="nil"/>
              <w:left w:val="nil"/>
              <w:bottom w:val="nil"/>
              <w:right w:val="nil"/>
            </w:tcBorders>
            <w:shd w:val="clear" w:color="auto" w:fill="auto"/>
            <w:noWrap/>
            <w:vAlign w:val="bottom"/>
            <w:hideMark/>
          </w:tcPr>
          <w:p w14:paraId="70F5CB96"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10.1</w:t>
            </w:r>
          </w:p>
        </w:tc>
        <w:tc>
          <w:tcPr>
            <w:tcW w:w="929" w:type="dxa"/>
            <w:tcBorders>
              <w:top w:val="nil"/>
              <w:left w:val="nil"/>
              <w:bottom w:val="nil"/>
              <w:right w:val="nil"/>
            </w:tcBorders>
            <w:shd w:val="clear" w:color="auto" w:fill="auto"/>
            <w:noWrap/>
            <w:vAlign w:val="bottom"/>
            <w:hideMark/>
          </w:tcPr>
          <w:p w14:paraId="2090386C"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77.2</w:t>
            </w:r>
          </w:p>
        </w:tc>
        <w:tc>
          <w:tcPr>
            <w:tcW w:w="1352" w:type="dxa"/>
            <w:tcBorders>
              <w:top w:val="nil"/>
              <w:left w:val="nil"/>
              <w:bottom w:val="nil"/>
              <w:right w:val="nil"/>
            </w:tcBorders>
            <w:shd w:val="clear" w:color="auto" w:fill="auto"/>
            <w:noWrap/>
            <w:vAlign w:val="bottom"/>
            <w:hideMark/>
          </w:tcPr>
          <w:p w14:paraId="57D155AF"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-7.1</w:t>
            </w:r>
          </w:p>
        </w:tc>
        <w:tc>
          <w:tcPr>
            <w:tcW w:w="929" w:type="dxa"/>
            <w:tcBorders>
              <w:top w:val="nil"/>
              <w:left w:val="nil"/>
              <w:bottom w:val="nil"/>
              <w:right w:val="nil"/>
            </w:tcBorders>
            <w:shd w:val="clear" w:color="auto" w:fill="auto"/>
            <w:noWrap/>
            <w:vAlign w:val="bottom"/>
            <w:hideMark/>
          </w:tcPr>
          <w:p w14:paraId="14D0FB3C"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0.0</w:t>
            </w:r>
          </w:p>
        </w:tc>
        <w:tc>
          <w:tcPr>
            <w:tcW w:w="1413" w:type="dxa"/>
            <w:tcBorders>
              <w:top w:val="nil"/>
              <w:left w:val="nil"/>
              <w:bottom w:val="nil"/>
              <w:right w:val="nil"/>
            </w:tcBorders>
            <w:shd w:val="clear" w:color="auto" w:fill="auto"/>
            <w:noWrap/>
            <w:vAlign w:val="bottom"/>
            <w:hideMark/>
          </w:tcPr>
          <w:p w14:paraId="3042EC6A"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11.1</w:t>
            </w:r>
          </w:p>
        </w:tc>
      </w:tr>
      <w:tr w:rsidR="00226699" w:rsidRPr="00986F85" w14:paraId="12744BB3" w14:textId="77777777" w:rsidTr="00226699">
        <w:trPr>
          <w:trHeight w:val="285"/>
        </w:trPr>
        <w:tc>
          <w:tcPr>
            <w:tcW w:w="3138" w:type="dxa"/>
            <w:tcBorders>
              <w:top w:val="nil"/>
              <w:left w:val="nil"/>
              <w:bottom w:val="nil"/>
              <w:right w:val="nil"/>
            </w:tcBorders>
            <w:shd w:val="clear" w:color="auto" w:fill="auto"/>
            <w:noWrap/>
            <w:vAlign w:val="bottom"/>
            <w:hideMark/>
          </w:tcPr>
          <w:p w14:paraId="14B35420" w14:textId="77777777" w:rsidR="00226699" w:rsidRPr="00986F85" w:rsidRDefault="00226699" w:rsidP="00893AFC">
            <w:pPr>
              <w:spacing w:after="0" w:line="240" w:lineRule="auto"/>
              <w:rPr>
                <w:rFonts w:eastAsia="Times New Roman"/>
                <w:color w:val="000000"/>
                <w:lang w:eastAsia="hu-HU"/>
              </w:rPr>
            </w:pPr>
            <w:r w:rsidRPr="00986F85">
              <w:rPr>
                <w:rFonts w:eastAsia="Times New Roman"/>
                <w:color w:val="000000"/>
                <w:lang w:eastAsia="hu-HU"/>
              </w:rPr>
              <w:t>Likviditás</w:t>
            </w:r>
          </w:p>
        </w:tc>
        <w:tc>
          <w:tcPr>
            <w:tcW w:w="1549" w:type="dxa"/>
            <w:tcBorders>
              <w:top w:val="nil"/>
              <w:left w:val="nil"/>
              <w:bottom w:val="nil"/>
              <w:right w:val="nil"/>
            </w:tcBorders>
            <w:shd w:val="clear" w:color="auto" w:fill="auto"/>
            <w:noWrap/>
            <w:vAlign w:val="bottom"/>
            <w:hideMark/>
          </w:tcPr>
          <w:p w14:paraId="3EAF0DD1"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23.6</w:t>
            </w:r>
          </w:p>
        </w:tc>
        <w:tc>
          <w:tcPr>
            <w:tcW w:w="929" w:type="dxa"/>
            <w:tcBorders>
              <w:top w:val="nil"/>
              <w:left w:val="nil"/>
              <w:bottom w:val="nil"/>
              <w:right w:val="nil"/>
            </w:tcBorders>
            <w:shd w:val="clear" w:color="auto" w:fill="auto"/>
            <w:noWrap/>
            <w:vAlign w:val="bottom"/>
            <w:hideMark/>
          </w:tcPr>
          <w:p w14:paraId="5CB1DB9F"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83.4</w:t>
            </w:r>
          </w:p>
        </w:tc>
        <w:tc>
          <w:tcPr>
            <w:tcW w:w="1352" w:type="dxa"/>
            <w:tcBorders>
              <w:top w:val="nil"/>
              <w:left w:val="nil"/>
              <w:bottom w:val="nil"/>
              <w:right w:val="nil"/>
            </w:tcBorders>
            <w:shd w:val="clear" w:color="auto" w:fill="auto"/>
            <w:noWrap/>
            <w:vAlign w:val="bottom"/>
            <w:hideMark/>
          </w:tcPr>
          <w:p w14:paraId="2E4354A7"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-14.2</w:t>
            </w:r>
          </w:p>
        </w:tc>
        <w:tc>
          <w:tcPr>
            <w:tcW w:w="929" w:type="dxa"/>
            <w:tcBorders>
              <w:top w:val="nil"/>
              <w:left w:val="nil"/>
              <w:bottom w:val="nil"/>
              <w:right w:val="nil"/>
            </w:tcBorders>
            <w:shd w:val="clear" w:color="auto" w:fill="auto"/>
            <w:noWrap/>
            <w:vAlign w:val="bottom"/>
            <w:hideMark/>
          </w:tcPr>
          <w:p w14:paraId="6813681A"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5.8</w:t>
            </w:r>
          </w:p>
        </w:tc>
        <w:tc>
          <w:tcPr>
            <w:tcW w:w="1413" w:type="dxa"/>
            <w:tcBorders>
              <w:top w:val="nil"/>
              <w:left w:val="nil"/>
              <w:bottom w:val="nil"/>
              <w:right w:val="nil"/>
            </w:tcBorders>
            <w:shd w:val="clear" w:color="auto" w:fill="auto"/>
            <w:noWrap/>
            <w:vAlign w:val="bottom"/>
            <w:hideMark/>
          </w:tcPr>
          <w:p w14:paraId="4B8D9AB1"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36.0</w:t>
            </w:r>
          </w:p>
        </w:tc>
      </w:tr>
      <w:tr w:rsidR="00226699" w:rsidRPr="00986F85" w14:paraId="618FEEF8" w14:textId="77777777" w:rsidTr="00226699">
        <w:trPr>
          <w:trHeight w:val="285"/>
        </w:trPr>
        <w:tc>
          <w:tcPr>
            <w:tcW w:w="3138" w:type="dxa"/>
            <w:tcBorders>
              <w:top w:val="nil"/>
              <w:left w:val="nil"/>
              <w:bottom w:val="nil"/>
              <w:right w:val="nil"/>
            </w:tcBorders>
            <w:shd w:val="clear" w:color="auto" w:fill="auto"/>
            <w:noWrap/>
            <w:vAlign w:val="bottom"/>
            <w:hideMark/>
          </w:tcPr>
          <w:p w14:paraId="1288CBE0" w14:textId="77777777" w:rsidR="00226699" w:rsidRPr="00986F85" w:rsidRDefault="00226699" w:rsidP="00893AFC">
            <w:pPr>
              <w:spacing w:after="0" w:line="240" w:lineRule="auto"/>
              <w:rPr>
                <w:rFonts w:eastAsia="Times New Roman"/>
                <w:color w:val="000000"/>
                <w:lang w:eastAsia="hu-HU"/>
              </w:rPr>
            </w:pPr>
            <w:r w:rsidRPr="00986F85">
              <w:rPr>
                <w:rFonts w:eastAsia="Times New Roman"/>
                <w:color w:val="000000"/>
                <w:lang w:eastAsia="hu-HU"/>
              </w:rPr>
              <w:t>Üzemi eredmény</w:t>
            </w:r>
          </w:p>
        </w:tc>
        <w:tc>
          <w:tcPr>
            <w:tcW w:w="1549" w:type="dxa"/>
            <w:tcBorders>
              <w:top w:val="nil"/>
              <w:left w:val="nil"/>
              <w:bottom w:val="nil"/>
              <w:right w:val="nil"/>
            </w:tcBorders>
            <w:shd w:val="clear" w:color="auto" w:fill="auto"/>
            <w:noWrap/>
            <w:vAlign w:val="bottom"/>
            <w:hideMark/>
          </w:tcPr>
          <w:p w14:paraId="25020C8B"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-6911.5</w:t>
            </w:r>
          </w:p>
        </w:tc>
        <w:tc>
          <w:tcPr>
            <w:tcW w:w="929" w:type="dxa"/>
            <w:tcBorders>
              <w:top w:val="nil"/>
              <w:left w:val="nil"/>
              <w:bottom w:val="nil"/>
              <w:right w:val="nil"/>
            </w:tcBorders>
            <w:shd w:val="clear" w:color="auto" w:fill="auto"/>
            <w:noWrap/>
            <w:vAlign w:val="bottom"/>
            <w:hideMark/>
          </w:tcPr>
          <w:p w14:paraId="5AA804DD"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52005.0</w:t>
            </w:r>
          </w:p>
        </w:tc>
        <w:tc>
          <w:tcPr>
            <w:tcW w:w="1352" w:type="dxa"/>
            <w:tcBorders>
              <w:top w:val="nil"/>
              <w:left w:val="nil"/>
              <w:bottom w:val="nil"/>
              <w:right w:val="nil"/>
            </w:tcBorders>
            <w:shd w:val="clear" w:color="auto" w:fill="auto"/>
            <w:noWrap/>
            <w:vAlign w:val="bottom"/>
            <w:hideMark/>
          </w:tcPr>
          <w:p w14:paraId="7ACF805A"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-15733.5</w:t>
            </w:r>
          </w:p>
        </w:tc>
        <w:tc>
          <w:tcPr>
            <w:tcW w:w="929" w:type="dxa"/>
            <w:tcBorders>
              <w:top w:val="nil"/>
              <w:left w:val="nil"/>
              <w:bottom w:val="nil"/>
              <w:right w:val="nil"/>
            </w:tcBorders>
            <w:shd w:val="clear" w:color="auto" w:fill="auto"/>
            <w:noWrap/>
            <w:vAlign w:val="bottom"/>
            <w:hideMark/>
          </w:tcPr>
          <w:p w14:paraId="057BF662"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-2042.5</w:t>
            </w:r>
          </w:p>
        </w:tc>
        <w:tc>
          <w:tcPr>
            <w:tcW w:w="1413" w:type="dxa"/>
            <w:tcBorders>
              <w:top w:val="nil"/>
              <w:left w:val="nil"/>
              <w:bottom w:val="nil"/>
              <w:right w:val="nil"/>
            </w:tcBorders>
            <w:shd w:val="clear" w:color="auto" w:fill="auto"/>
            <w:noWrap/>
            <w:vAlign w:val="bottom"/>
            <w:hideMark/>
          </w:tcPr>
          <w:p w14:paraId="7FA7C079"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4159.5</w:t>
            </w:r>
          </w:p>
        </w:tc>
      </w:tr>
      <w:tr w:rsidR="00226699" w:rsidRPr="00986F85" w14:paraId="00AA63EF" w14:textId="77777777" w:rsidTr="00226699">
        <w:trPr>
          <w:trHeight w:val="285"/>
        </w:trPr>
        <w:tc>
          <w:tcPr>
            <w:tcW w:w="3138" w:type="dxa"/>
            <w:tcBorders>
              <w:top w:val="nil"/>
              <w:left w:val="nil"/>
              <w:bottom w:val="nil"/>
              <w:right w:val="nil"/>
            </w:tcBorders>
            <w:shd w:val="clear" w:color="auto" w:fill="auto"/>
            <w:noWrap/>
            <w:vAlign w:val="bottom"/>
            <w:hideMark/>
          </w:tcPr>
          <w:p w14:paraId="69CF9A99" w14:textId="77777777" w:rsidR="00226699" w:rsidRPr="00986F85" w:rsidRDefault="00226699" w:rsidP="00893AFC">
            <w:pPr>
              <w:spacing w:after="0" w:line="240" w:lineRule="auto"/>
              <w:rPr>
                <w:rFonts w:eastAsia="Times New Roman"/>
                <w:color w:val="000000"/>
                <w:lang w:eastAsia="hu-HU"/>
              </w:rPr>
            </w:pPr>
            <w:r w:rsidRPr="00986F85">
              <w:rPr>
                <w:rFonts w:eastAsia="Times New Roman"/>
                <w:color w:val="000000"/>
                <w:lang w:eastAsia="hu-HU"/>
              </w:rPr>
              <w:t>Egy foglalkoztatottra eső üzemi eredmény</w:t>
            </w:r>
          </w:p>
        </w:tc>
        <w:tc>
          <w:tcPr>
            <w:tcW w:w="1549" w:type="dxa"/>
            <w:tcBorders>
              <w:top w:val="nil"/>
              <w:left w:val="nil"/>
              <w:bottom w:val="nil"/>
              <w:right w:val="nil"/>
            </w:tcBorders>
            <w:shd w:val="clear" w:color="auto" w:fill="auto"/>
            <w:noWrap/>
            <w:vAlign w:val="bottom"/>
            <w:hideMark/>
          </w:tcPr>
          <w:p w14:paraId="5C6ADF1C"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-517.7</w:t>
            </w:r>
          </w:p>
        </w:tc>
        <w:tc>
          <w:tcPr>
            <w:tcW w:w="929" w:type="dxa"/>
            <w:tcBorders>
              <w:top w:val="nil"/>
              <w:left w:val="nil"/>
              <w:bottom w:val="nil"/>
              <w:right w:val="nil"/>
            </w:tcBorders>
            <w:shd w:val="clear" w:color="auto" w:fill="auto"/>
            <w:noWrap/>
            <w:vAlign w:val="bottom"/>
            <w:hideMark/>
          </w:tcPr>
          <w:p w14:paraId="0AFE14DC"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2649.0</w:t>
            </w:r>
          </w:p>
        </w:tc>
        <w:tc>
          <w:tcPr>
            <w:tcW w:w="1352" w:type="dxa"/>
            <w:tcBorders>
              <w:top w:val="nil"/>
              <w:left w:val="nil"/>
              <w:bottom w:val="nil"/>
              <w:right w:val="nil"/>
            </w:tcBorders>
            <w:shd w:val="clear" w:color="auto" w:fill="auto"/>
            <w:noWrap/>
            <w:vAlign w:val="bottom"/>
            <w:hideMark/>
          </w:tcPr>
          <w:p w14:paraId="5072EDAC"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-904.4</w:t>
            </w:r>
          </w:p>
        </w:tc>
        <w:tc>
          <w:tcPr>
            <w:tcW w:w="929" w:type="dxa"/>
            <w:tcBorders>
              <w:top w:val="nil"/>
              <w:left w:val="nil"/>
              <w:bottom w:val="nil"/>
              <w:right w:val="nil"/>
            </w:tcBorders>
            <w:shd w:val="clear" w:color="auto" w:fill="auto"/>
            <w:noWrap/>
            <w:vAlign w:val="bottom"/>
            <w:hideMark/>
          </w:tcPr>
          <w:p w14:paraId="6414D0B3"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-137.4</w:t>
            </w:r>
          </w:p>
        </w:tc>
        <w:tc>
          <w:tcPr>
            <w:tcW w:w="1413" w:type="dxa"/>
            <w:tcBorders>
              <w:top w:val="nil"/>
              <w:left w:val="nil"/>
              <w:bottom w:val="nil"/>
              <w:right w:val="nil"/>
            </w:tcBorders>
            <w:shd w:val="clear" w:color="auto" w:fill="auto"/>
            <w:noWrap/>
            <w:vAlign w:val="bottom"/>
            <w:hideMark/>
          </w:tcPr>
          <w:p w14:paraId="0D974E7A"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238.1</w:t>
            </w:r>
          </w:p>
        </w:tc>
      </w:tr>
      <w:tr w:rsidR="00226699" w:rsidRPr="00986F85" w14:paraId="3935C1DE" w14:textId="77777777" w:rsidTr="00226699">
        <w:trPr>
          <w:trHeight w:val="285"/>
        </w:trPr>
        <w:tc>
          <w:tcPr>
            <w:tcW w:w="3138" w:type="dxa"/>
            <w:tcBorders>
              <w:top w:val="nil"/>
              <w:left w:val="nil"/>
              <w:bottom w:val="nil"/>
              <w:right w:val="nil"/>
            </w:tcBorders>
            <w:shd w:val="clear" w:color="auto" w:fill="auto"/>
            <w:noWrap/>
            <w:vAlign w:val="bottom"/>
            <w:hideMark/>
          </w:tcPr>
          <w:p w14:paraId="23C8717D" w14:textId="77777777" w:rsidR="00226699" w:rsidRPr="00986F85" w:rsidRDefault="00226699" w:rsidP="00893AFC">
            <w:pPr>
              <w:spacing w:after="0" w:line="240" w:lineRule="auto"/>
              <w:rPr>
                <w:rFonts w:eastAsia="Times New Roman"/>
                <w:color w:val="000000"/>
                <w:lang w:eastAsia="hu-HU"/>
              </w:rPr>
            </w:pPr>
            <w:r w:rsidRPr="00986F85">
              <w:rPr>
                <w:rFonts w:eastAsia="Times New Roman"/>
                <w:color w:val="000000"/>
                <w:lang w:eastAsia="hu-HU"/>
              </w:rPr>
              <w:t>Hozzáadott érték</w:t>
            </w:r>
          </w:p>
        </w:tc>
        <w:tc>
          <w:tcPr>
            <w:tcW w:w="1549" w:type="dxa"/>
            <w:tcBorders>
              <w:top w:val="nil"/>
              <w:left w:val="nil"/>
              <w:bottom w:val="nil"/>
              <w:right w:val="nil"/>
            </w:tcBorders>
            <w:shd w:val="clear" w:color="auto" w:fill="auto"/>
            <w:noWrap/>
            <w:vAlign w:val="bottom"/>
            <w:hideMark/>
          </w:tcPr>
          <w:p w14:paraId="5BB67B96"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-4472.7</w:t>
            </w:r>
          </w:p>
        </w:tc>
        <w:tc>
          <w:tcPr>
            <w:tcW w:w="929" w:type="dxa"/>
            <w:tcBorders>
              <w:top w:val="nil"/>
              <w:left w:val="nil"/>
              <w:bottom w:val="nil"/>
              <w:right w:val="nil"/>
            </w:tcBorders>
            <w:shd w:val="clear" w:color="auto" w:fill="auto"/>
            <w:noWrap/>
            <w:vAlign w:val="bottom"/>
            <w:hideMark/>
          </w:tcPr>
          <w:p w14:paraId="02B01129"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56559.4</w:t>
            </w:r>
          </w:p>
        </w:tc>
        <w:tc>
          <w:tcPr>
            <w:tcW w:w="1352" w:type="dxa"/>
            <w:tcBorders>
              <w:top w:val="nil"/>
              <w:left w:val="nil"/>
              <w:bottom w:val="nil"/>
              <w:right w:val="nil"/>
            </w:tcBorders>
            <w:shd w:val="clear" w:color="auto" w:fill="auto"/>
            <w:noWrap/>
            <w:vAlign w:val="bottom"/>
            <w:hideMark/>
          </w:tcPr>
          <w:p w14:paraId="378EFDA7"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-14658.0</w:t>
            </w:r>
          </w:p>
        </w:tc>
        <w:tc>
          <w:tcPr>
            <w:tcW w:w="929" w:type="dxa"/>
            <w:tcBorders>
              <w:top w:val="nil"/>
              <w:left w:val="nil"/>
              <w:bottom w:val="nil"/>
              <w:right w:val="nil"/>
            </w:tcBorders>
            <w:shd w:val="clear" w:color="auto" w:fill="auto"/>
            <w:noWrap/>
            <w:vAlign w:val="bottom"/>
            <w:hideMark/>
          </w:tcPr>
          <w:p w14:paraId="03A5CC83"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-2274.5</w:t>
            </w:r>
          </w:p>
        </w:tc>
        <w:tc>
          <w:tcPr>
            <w:tcW w:w="1413" w:type="dxa"/>
            <w:tcBorders>
              <w:top w:val="nil"/>
              <w:left w:val="nil"/>
              <w:bottom w:val="nil"/>
              <w:right w:val="nil"/>
            </w:tcBorders>
            <w:shd w:val="clear" w:color="auto" w:fill="auto"/>
            <w:noWrap/>
            <w:vAlign w:val="bottom"/>
            <w:hideMark/>
          </w:tcPr>
          <w:p w14:paraId="0AA363BB"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6847.5</w:t>
            </w:r>
          </w:p>
        </w:tc>
      </w:tr>
      <w:tr w:rsidR="00226699" w:rsidRPr="00986F85" w14:paraId="76D8C04D" w14:textId="77777777" w:rsidTr="00226699">
        <w:trPr>
          <w:trHeight w:val="285"/>
        </w:trPr>
        <w:tc>
          <w:tcPr>
            <w:tcW w:w="3138" w:type="dxa"/>
            <w:tcBorders>
              <w:top w:val="nil"/>
              <w:left w:val="nil"/>
              <w:bottom w:val="nil"/>
              <w:right w:val="nil"/>
            </w:tcBorders>
            <w:shd w:val="clear" w:color="auto" w:fill="auto"/>
            <w:noWrap/>
            <w:vAlign w:val="bottom"/>
            <w:hideMark/>
          </w:tcPr>
          <w:p w14:paraId="5E5B3FAF" w14:textId="77777777" w:rsidR="00226699" w:rsidRPr="00986F85" w:rsidRDefault="00226699" w:rsidP="00893AFC">
            <w:pPr>
              <w:spacing w:after="0" w:line="240" w:lineRule="auto"/>
              <w:rPr>
                <w:rFonts w:eastAsia="Times New Roman"/>
                <w:color w:val="000000"/>
                <w:lang w:eastAsia="hu-HU"/>
              </w:rPr>
            </w:pPr>
            <w:r w:rsidRPr="00986F85">
              <w:rPr>
                <w:rFonts w:eastAsia="Times New Roman"/>
                <w:color w:val="000000"/>
                <w:lang w:eastAsia="hu-HU"/>
              </w:rPr>
              <w:t>Egy foglalkoztatottra eső hozzáadott érték</w:t>
            </w:r>
          </w:p>
        </w:tc>
        <w:tc>
          <w:tcPr>
            <w:tcW w:w="1549" w:type="dxa"/>
            <w:tcBorders>
              <w:top w:val="nil"/>
              <w:left w:val="nil"/>
              <w:bottom w:val="nil"/>
              <w:right w:val="nil"/>
            </w:tcBorders>
            <w:shd w:val="clear" w:color="auto" w:fill="auto"/>
            <w:noWrap/>
            <w:vAlign w:val="bottom"/>
            <w:hideMark/>
          </w:tcPr>
          <w:p w14:paraId="6DA6F4D6"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-319.5</w:t>
            </w:r>
          </w:p>
        </w:tc>
        <w:tc>
          <w:tcPr>
            <w:tcW w:w="929" w:type="dxa"/>
            <w:tcBorders>
              <w:top w:val="nil"/>
              <w:left w:val="nil"/>
              <w:bottom w:val="nil"/>
              <w:right w:val="nil"/>
            </w:tcBorders>
            <w:shd w:val="clear" w:color="auto" w:fill="auto"/>
            <w:noWrap/>
            <w:vAlign w:val="bottom"/>
            <w:hideMark/>
          </w:tcPr>
          <w:p w14:paraId="390BB4E5"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2209.0</w:t>
            </w:r>
          </w:p>
        </w:tc>
        <w:tc>
          <w:tcPr>
            <w:tcW w:w="1352" w:type="dxa"/>
            <w:tcBorders>
              <w:top w:val="nil"/>
              <w:left w:val="nil"/>
              <w:bottom w:val="nil"/>
              <w:right w:val="nil"/>
            </w:tcBorders>
            <w:shd w:val="clear" w:color="auto" w:fill="auto"/>
            <w:noWrap/>
            <w:vAlign w:val="bottom"/>
            <w:hideMark/>
          </w:tcPr>
          <w:p w14:paraId="11279879"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-786.9</w:t>
            </w:r>
          </w:p>
        </w:tc>
        <w:tc>
          <w:tcPr>
            <w:tcW w:w="929" w:type="dxa"/>
            <w:tcBorders>
              <w:top w:val="nil"/>
              <w:left w:val="nil"/>
              <w:bottom w:val="nil"/>
              <w:right w:val="nil"/>
            </w:tcBorders>
            <w:shd w:val="clear" w:color="auto" w:fill="auto"/>
            <w:noWrap/>
            <w:vAlign w:val="bottom"/>
            <w:hideMark/>
          </w:tcPr>
          <w:p w14:paraId="37112749"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-49.5</w:t>
            </w:r>
          </w:p>
        </w:tc>
        <w:tc>
          <w:tcPr>
            <w:tcW w:w="1413" w:type="dxa"/>
            <w:tcBorders>
              <w:top w:val="nil"/>
              <w:left w:val="nil"/>
              <w:bottom w:val="nil"/>
              <w:right w:val="nil"/>
            </w:tcBorders>
            <w:shd w:val="clear" w:color="auto" w:fill="auto"/>
            <w:noWrap/>
            <w:vAlign w:val="bottom"/>
            <w:hideMark/>
          </w:tcPr>
          <w:p w14:paraId="281CE061"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372.4</w:t>
            </w:r>
          </w:p>
        </w:tc>
      </w:tr>
      <w:tr w:rsidR="00226699" w:rsidRPr="00986F85" w14:paraId="31AE762B" w14:textId="77777777" w:rsidTr="00226699">
        <w:trPr>
          <w:trHeight w:val="100"/>
        </w:trPr>
        <w:tc>
          <w:tcPr>
            <w:tcW w:w="3138" w:type="dxa"/>
            <w:tcBorders>
              <w:top w:val="nil"/>
              <w:left w:val="nil"/>
              <w:bottom w:val="nil"/>
              <w:right w:val="nil"/>
            </w:tcBorders>
            <w:shd w:val="clear" w:color="auto" w:fill="auto"/>
            <w:noWrap/>
            <w:vAlign w:val="bottom"/>
            <w:hideMark/>
          </w:tcPr>
          <w:p w14:paraId="74564CB8" w14:textId="77777777" w:rsidR="00226699" w:rsidRPr="00986F85" w:rsidRDefault="00226699" w:rsidP="00893AFC">
            <w:pPr>
              <w:spacing w:after="0" w:line="240" w:lineRule="auto"/>
              <w:rPr>
                <w:rFonts w:eastAsia="Times New Roman"/>
                <w:color w:val="000000"/>
                <w:lang w:eastAsia="hu-HU"/>
              </w:rPr>
            </w:pPr>
            <w:r w:rsidRPr="00986F85">
              <w:rPr>
                <w:rFonts w:eastAsia="Times New Roman"/>
                <w:color w:val="000000"/>
                <w:lang w:eastAsia="hu-HU"/>
              </w:rPr>
              <w:t>ROA</w:t>
            </w:r>
          </w:p>
        </w:tc>
        <w:tc>
          <w:tcPr>
            <w:tcW w:w="1549" w:type="dxa"/>
            <w:tcBorders>
              <w:top w:val="nil"/>
              <w:left w:val="nil"/>
              <w:bottom w:val="nil"/>
              <w:right w:val="nil"/>
            </w:tcBorders>
            <w:shd w:val="clear" w:color="auto" w:fill="auto"/>
            <w:noWrap/>
            <w:vAlign w:val="bottom"/>
            <w:hideMark/>
          </w:tcPr>
          <w:p w14:paraId="2DCA2DB3"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-0.040</w:t>
            </w:r>
          </w:p>
        </w:tc>
        <w:tc>
          <w:tcPr>
            <w:tcW w:w="929" w:type="dxa"/>
            <w:tcBorders>
              <w:top w:val="nil"/>
              <w:left w:val="nil"/>
              <w:bottom w:val="nil"/>
              <w:right w:val="nil"/>
            </w:tcBorders>
            <w:shd w:val="clear" w:color="auto" w:fill="auto"/>
            <w:noWrap/>
            <w:vAlign w:val="bottom"/>
            <w:hideMark/>
          </w:tcPr>
          <w:p w14:paraId="4047F36F"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0.138</w:t>
            </w:r>
          </w:p>
        </w:tc>
        <w:tc>
          <w:tcPr>
            <w:tcW w:w="1352" w:type="dxa"/>
            <w:tcBorders>
              <w:top w:val="nil"/>
              <w:left w:val="nil"/>
              <w:bottom w:val="nil"/>
              <w:right w:val="nil"/>
            </w:tcBorders>
            <w:shd w:val="clear" w:color="auto" w:fill="auto"/>
            <w:noWrap/>
            <w:vAlign w:val="bottom"/>
            <w:hideMark/>
          </w:tcPr>
          <w:p w14:paraId="2352C723"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-0.083</w:t>
            </w:r>
          </w:p>
        </w:tc>
        <w:tc>
          <w:tcPr>
            <w:tcW w:w="929" w:type="dxa"/>
            <w:tcBorders>
              <w:top w:val="nil"/>
              <w:left w:val="nil"/>
              <w:bottom w:val="nil"/>
              <w:right w:val="nil"/>
            </w:tcBorders>
            <w:shd w:val="clear" w:color="auto" w:fill="auto"/>
            <w:noWrap/>
            <w:vAlign w:val="bottom"/>
            <w:hideMark/>
          </w:tcPr>
          <w:p w14:paraId="39AE4D13"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-0.018</w:t>
            </w:r>
          </w:p>
        </w:tc>
        <w:tc>
          <w:tcPr>
            <w:tcW w:w="1413" w:type="dxa"/>
            <w:tcBorders>
              <w:top w:val="nil"/>
              <w:left w:val="nil"/>
              <w:bottom w:val="nil"/>
              <w:right w:val="nil"/>
            </w:tcBorders>
            <w:shd w:val="clear" w:color="auto" w:fill="auto"/>
            <w:noWrap/>
            <w:vAlign w:val="bottom"/>
            <w:hideMark/>
          </w:tcPr>
          <w:p w14:paraId="6ECFB70E" w14:textId="77777777" w:rsidR="00226699" w:rsidRPr="00986F85" w:rsidRDefault="00226699" w:rsidP="00893AFC">
            <w:pPr>
              <w:spacing w:after="0" w:line="240" w:lineRule="auto"/>
              <w:jc w:val="center"/>
              <w:rPr>
                <w:rFonts w:eastAsia="Times New Roman"/>
                <w:color w:val="000000"/>
                <w:lang w:eastAsia="hu-HU"/>
              </w:rPr>
            </w:pPr>
            <w:r w:rsidRPr="00986F85">
              <w:rPr>
                <w:rFonts w:eastAsia="Times New Roman"/>
                <w:color w:val="000000"/>
                <w:lang w:eastAsia="hu-HU"/>
              </w:rPr>
              <w:t>0.018</w:t>
            </w:r>
          </w:p>
        </w:tc>
      </w:tr>
    </w:tbl>
    <w:p w14:paraId="0CF8209F" w14:textId="77777777" w:rsidR="002B0705" w:rsidRPr="00986F85" w:rsidRDefault="002B0705" w:rsidP="00B04415">
      <w:pPr>
        <w:spacing w:after="0" w:line="360" w:lineRule="auto"/>
        <w:jc w:val="both"/>
        <w:rPr>
          <w:rFonts w:cs="Times New Roman"/>
          <w:szCs w:val="24"/>
        </w:rPr>
      </w:pPr>
    </w:p>
    <w:p w14:paraId="260834CD" w14:textId="77777777" w:rsidR="002B0705" w:rsidRPr="00986F85" w:rsidRDefault="002B0705" w:rsidP="002B0705">
      <w:pPr>
        <w:spacing w:after="0" w:line="360" w:lineRule="auto"/>
        <w:jc w:val="center"/>
        <w:rPr>
          <w:rFonts w:cs="Times New Roman"/>
          <w:i/>
          <w:szCs w:val="24"/>
        </w:rPr>
      </w:pPr>
      <w:r w:rsidRPr="00986F85">
        <w:rPr>
          <w:rFonts w:cs="Times New Roman"/>
          <w:i/>
          <w:szCs w:val="24"/>
        </w:rPr>
        <w:t>Forrás: EMIR-NAV adatbázis</w:t>
      </w:r>
    </w:p>
    <w:p w14:paraId="23DE696D" w14:textId="77777777" w:rsidR="002B0705" w:rsidRPr="00986F85" w:rsidRDefault="002B0705" w:rsidP="002B0705">
      <w:pPr>
        <w:spacing w:after="0" w:line="360" w:lineRule="auto"/>
        <w:jc w:val="both"/>
        <w:rPr>
          <w:rFonts w:cs="Times New Roman"/>
          <w:i/>
          <w:szCs w:val="24"/>
        </w:rPr>
      </w:pPr>
      <w:r w:rsidRPr="00986F85">
        <w:rPr>
          <w:rFonts w:cs="Times New Roman"/>
          <w:i/>
          <w:szCs w:val="24"/>
        </w:rPr>
        <w:t>Vizsgált sokaság: 2007-2011 között, GOP2.1.1.A és hozzá hasonló KMOP1.2.1. A konstrukciók kiírásain nyertes cégek, melyeknek létszáma minden évben legalább 6 fő.</w:t>
      </w:r>
    </w:p>
    <w:p w14:paraId="267F42FB" w14:textId="77777777" w:rsidR="003C3302" w:rsidRPr="00986F85" w:rsidRDefault="003C3302" w:rsidP="00B04415">
      <w:pPr>
        <w:spacing w:after="0" w:line="360" w:lineRule="auto"/>
        <w:jc w:val="both"/>
        <w:rPr>
          <w:rFonts w:cs="Times New Roman"/>
          <w:noProof/>
          <w:lang w:eastAsia="en-US"/>
        </w:rPr>
      </w:pPr>
    </w:p>
    <w:p w14:paraId="7B395C7D" w14:textId="77777777" w:rsidR="00DE4AEF" w:rsidRPr="00986F85" w:rsidRDefault="0064585B" w:rsidP="00B04415">
      <w:pPr>
        <w:spacing w:after="0" w:line="360" w:lineRule="auto"/>
        <w:jc w:val="both"/>
        <w:rPr>
          <w:rFonts w:cs="Times New Roman"/>
          <w:noProof/>
          <w:lang w:eastAsia="en-US"/>
        </w:rPr>
      </w:pPr>
      <w:r w:rsidRPr="00986F85">
        <w:rPr>
          <w:rFonts w:cs="Times New Roman"/>
          <w:noProof/>
          <w:lang w:eastAsia="en-US"/>
        </w:rPr>
        <w:t xml:space="preserve">Fontos megjegyezni, hogy a vállalati teljesítmény fenti </w:t>
      </w:r>
      <w:r w:rsidR="0090220D" w:rsidRPr="00986F85">
        <w:rPr>
          <w:rFonts w:cs="Times New Roman"/>
          <w:noProof/>
          <w:lang w:eastAsia="en-US"/>
        </w:rPr>
        <w:t xml:space="preserve">mutatói </w:t>
      </w:r>
      <w:r w:rsidRPr="00986F85">
        <w:rPr>
          <w:rFonts w:cs="Times New Roman"/>
          <w:noProof/>
          <w:lang w:eastAsia="en-US"/>
        </w:rPr>
        <w:t xml:space="preserve">nem előlegzik a hatásvizsgálat </w:t>
      </w:r>
      <w:r w:rsidR="003C3302" w:rsidRPr="00986F85">
        <w:rPr>
          <w:rFonts w:cs="Times New Roman"/>
          <w:noProof/>
          <w:lang w:eastAsia="en-US"/>
        </w:rPr>
        <w:t>(</w:t>
      </w:r>
      <w:r w:rsidRPr="00986F85">
        <w:rPr>
          <w:rFonts w:cs="Times New Roman"/>
          <w:noProof/>
          <w:lang w:eastAsia="en-US"/>
        </w:rPr>
        <w:t>pozitív</w:t>
      </w:r>
      <w:r w:rsidR="003C3302" w:rsidRPr="00986F85">
        <w:rPr>
          <w:rFonts w:cs="Times New Roman"/>
          <w:noProof/>
          <w:lang w:eastAsia="en-US"/>
        </w:rPr>
        <w:t>)</w:t>
      </w:r>
      <w:r w:rsidRPr="00986F85">
        <w:rPr>
          <w:rFonts w:cs="Times New Roman"/>
          <w:noProof/>
          <w:lang w:eastAsia="en-US"/>
        </w:rPr>
        <w:t xml:space="preserve"> eredményeit, hiszen ezek nem szűrik ki a programhatásokon túli hatásokat, illetve</w:t>
      </w:r>
      <w:r w:rsidR="0090220D" w:rsidRPr="00986F85">
        <w:rPr>
          <w:rFonts w:cs="Times New Roman"/>
          <w:noProof/>
          <w:lang w:eastAsia="en-US"/>
        </w:rPr>
        <w:t xml:space="preserve"> nem veszik figyelembe a</w:t>
      </w:r>
      <w:r w:rsidR="0009191A" w:rsidRPr="00986F85">
        <w:rPr>
          <w:rFonts w:cs="Times New Roman"/>
          <w:noProof/>
          <w:lang w:eastAsia="en-US"/>
        </w:rPr>
        <w:t xml:space="preserve"> vizsgált cégek heterogenitását, aza</w:t>
      </w:r>
      <w:r w:rsidR="0090220D" w:rsidRPr="00986F85">
        <w:rPr>
          <w:rFonts w:cs="Times New Roman"/>
          <w:noProof/>
          <w:lang w:eastAsia="en-US"/>
        </w:rPr>
        <w:t>z</w:t>
      </w:r>
      <w:r w:rsidR="0009191A" w:rsidRPr="00986F85">
        <w:rPr>
          <w:rFonts w:cs="Times New Roman"/>
          <w:noProof/>
          <w:lang w:eastAsia="en-US"/>
        </w:rPr>
        <w:t xml:space="preserve"> az</w:t>
      </w:r>
      <w:r w:rsidR="0090220D" w:rsidRPr="00986F85">
        <w:rPr>
          <w:rFonts w:cs="Times New Roman"/>
          <w:noProof/>
          <w:lang w:eastAsia="en-US"/>
        </w:rPr>
        <w:t xml:space="preserve"> egyedi vállalati jellemzőket</w:t>
      </w:r>
      <w:r w:rsidRPr="00986F85">
        <w:rPr>
          <w:rFonts w:cs="Times New Roman"/>
          <w:noProof/>
          <w:lang w:eastAsia="en-US"/>
        </w:rPr>
        <w:t xml:space="preserve">. </w:t>
      </w:r>
    </w:p>
    <w:p w14:paraId="629E2849" w14:textId="77777777" w:rsidR="009A68E7" w:rsidRPr="00986F85" w:rsidRDefault="009A68E7" w:rsidP="009A68E7">
      <w:pPr>
        <w:rPr>
          <w:rFonts w:cs="Times New Roman"/>
        </w:rPr>
      </w:pPr>
    </w:p>
    <w:p w14:paraId="687C628A" w14:textId="77777777" w:rsidR="009658BB" w:rsidRPr="00986F85" w:rsidRDefault="009658BB" w:rsidP="000E31EB">
      <w:pPr>
        <w:pStyle w:val="Cmsor2"/>
        <w:spacing w:before="0" w:after="0" w:line="360" w:lineRule="auto"/>
        <w:jc w:val="both"/>
        <w:rPr>
          <w:rFonts w:ascii="Myriad Pro" w:hAnsi="Myriad Pro"/>
          <w:szCs w:val="24"/>
        </w:rPr>
      </w:pPr>
      <w:r w:rsidRPr="00986F85">
        <w:rPr>
          <w:rFonts w:ascii="Myriad Pro" w:hAnsi="Myriad Pro"/>
          <w:szCs w:val="24"/>
        </w:rPr>
        <w:br w:type="page"/>
      </w:r>
    </w:p>
    <w:p w14:paraId="06DD492A" w14:textId="77777777" w:rsidR="000E31EB" w:rsidRPr="00986F85" w:rsidRDefault="00A45FCA" w:rsidP="000E31EB">
      <w:pPr>
        <w:pStyle w:val="Cmsor2"/>
        <w:spacing w:before="0" w:after="0" w:line="360" w:lineRule="auto"/>
        <w:jc w:val="both"/>
        <w:rPr>
          <w:rFonts w:ascii="Myriad Pro" w:hAnsi="Myriad Pro"/>
          <w:szCs w:val="24"/>
        </w:rPr>
      </w:pPr>
      <w:bookmarkStart w:id="52" w:name="_Toc230854323"/>
      <w:r w:rsidRPr="00986F85">
        <w:rPr>
          <w:rFonts w:ascii="Myriad Pro" w:hAnsi="Myriad Pro"/>
          <w:noProof/>
          <w:szCs w:val="24"/>
          <w:lang w:eastAsia="hu-HU"/>
        </w:rPr>
        <w:lastRenderedPageBreak/>
        <mc:AlternateContent>
          <mc:Choice Requires="wps">
            <w:drawing>
              <wp:anchor distT="0" distB="0" distL="114300" distR="114300" simplePos="0" relativeHeight="251658240" behindDoc="0" locked="0" layoutInCell="1" allowOverlap="1" wp14:anchorId="473E04EB" wp14:editId="314F7374">
                <wp:simplePos x="0" y="0"/>
                <wp:positionH relativeFrom="column">
                  <wp:posOffset>-51435</wp:posOffset>
                </wp:positionH>
                <wp:positionV relativeFrom="paragraph">
                  <wp:posOffset>473075</wp:posOffset>
                </wp:positionV>
                <wp:extent cx="5756910" cy="711200"/>
                <wp:effectExtent l="0" t="0" r="8890" b="0"/>
                <wp:wrapTight wrapText="bothSides">
                  <wp:wrapPolygon edited="0">
                    <wp:start x="0" y="0"/>
                    <wp:lineTo x="0" y="20829"/>
                    <wp:lineTo x="21538" y="20829"/>
                    <wp:lineTo x="21538" y="0"/>
                    <wp:lineTo x="0" y="0"/>
                  </wp:wrapPolygon>
                </wp:wrapTight>
                <wp:docPr id="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711200"/>
                        </a:xfrm>
                        <a:prstGeom prst="rect">
                          <a:avLst/>
                        </a:prstGeom>
                        <a:solidFill>
                          <a:srgbClr val="D8D8D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A8E422C" w14:textId="77777777" w:rsidR="00E433FC" w:rsidRDefault="00E433FC" w:rsidP="009F2AC4">
                            <w:pPr>
                              <w:spacing w:after="0" w:line="360" w:lineRule="auto"/>
                              <w:jc w:val="both"/>
                              <w:rPr>
                                <w:rFonts w:ascii="Times New Roman" w:hAnsi="Times New Roman" w:cs="Times New Roman"/>
                                <w:b/>
                                <w:i/>
                                <w:szCs w:val="24"/>
                              </w:rPr>
                            </w:pPr>
                            <w:r w:rsidRPr="000352E2">
                              <w:rPr>
                                <w:rFonts w:cs="Times New Roman"/>
                                <w:b/>
                                <w:i/>
                                <w:szCs w:val="24"/>
                              </w:rPr>
                              <w:t>Milyen</w:t>
                            </w:r>
                            <w:r w:rsidRPr="000352E2">
                              <w:rPr>
                                <w:rFonts w:eastAsia="Times New Roman" w:cs="Times New Roman"/>
                                <w:b/>
                                <w:i/>
                                <w:szCs w:val="24"/>
                              </w:rPr>
                              <w:t xml:space="preserve"> </w:t>
                            </w:r>
                            <w:r w:rsidRPr="000352E2">
                              <w:rPr>
                                <w:rFonts w:cs="Times New Roman"/>
                                <w:b/>
                                <w:i/>
                                <w:szCs w:val="24"/>
                              </w:rPr>
                              <w:t>eredményekre</w:t>
                            </w:r>
                            <w:r w:rsidRPr="000352E2">
                              <w:rPr>
                                <w:rFonts w:eastAsia="Times New Roman" w:cs="Times New Roman"/>
                                <w:b/>
                                <w:i/>
                                <w:szCs w:val="24"/>
                              </w:rPr>
                              <w:t xml:space="preserve"> </w:t>
                            </w:r>
                            <w:r w:rsidRPr="000352E2">
                              <w:rPr>
                                <w:rFonts w:cs="Times New Roman"/>
                                <w:b/>
                                <w:i/>
                                <w:szCs w:val="24"/>
                              </w:rPr>
                              <w:t>vezetett</w:t>
                            </w:r>
                            <w:r w:rsidRPr="000352E2">
                              <w:rPr>
                                <w:rFonts w:eastAsia="Times New Roman" w:cs="Times New Roman"/>
                                <w:b/>
                                <w:i/>
                                <w:szCs w:val="24"/>
                              </w:rPr>
                              <w:t xml:space="preserve"> </w:t>
                            </w:r>
                            <w:r w:rsidRPr="000352E2">
                              <w:rPr>
                                <w:rFonts w:cs="Times New Roman"/>
                                <w:b/>
                                <w:i/>
                                <w:szCs w:val="24"/>
                              </w:rPr>
                              <w:t>az</w:t>
                            </w:r>
                            <w:r w:rsidRPr="000352E2">
                              <w:rPr>
                                <w:rFonts w:eastAsia="Times New Roman" w:cs="Times New Roman"/>
                                <w:b/>
                                <w:i/>
                                <w:szCs w:val="24"/>
                              </w:rPr>
                              <w:t xml:space="preserve"> </w:t>
                            </w:r>
                            <w:r w:rsidRPr="000352E2">
                              <w:rPr>
                                <w:rFonts w:cs="Times New Roman"/>
                                <w:b/>
                                <w:i/>
                                <w:szCs w:val="24"/>
                              </w:rPr>
                              <w:t>intézkedés?</w:t>
                            </w:r>
                          </w:p>
                          <w:p w14:paraId="0E8D5978" w14:textId="77777777" w:rsidR="00E433FC" w:rsidRDefault="00E433FC" w:rsidP="009F2AC4">
                            <w:pPr>
                              <w:spacing w:after="0" w:line="360" w:lineRule="auto"/>
                              <w:jc w:val="both"/>
                              <w:rPr>
                                <w:rFonts w:ascii="Times New Roman" w:hAnsi="Times New Roman" w:cs="Times New Roman"/>
                                <w:b/>
                                <w:i/>
                                <w:szCs w:val="24"/>
                              </w:rPr>
                            </w:pPr>
                            <w:r w:rsidRPr="000352E2">
                              <w:rPr>
                                <w:rFonts w:cs="Times New Roman"/>
                                <w:b/>
                                <w:i/>
                                <w:szCs w:val="24"/>
                              </w:rPr>
                              <w:t xml:space="preserve"> Mi volt a támogatás hatása a nyertes vállalkozások esetében?</w:t>
                            </w:r>
                          </w:p>
                          <w:p w14:paraId="5FAE1A82" w14:textId="77777777" w:rsidR="00E433FC" w:rsidRDefault="00E433F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E04EB" id="Text Box 6" o:spid="_x0000_s1030" type="#_x0000_t202" style="position:absolute;left:0;text-align:left;margin-left:-4.05pt;margin-top:37.25pt;width:453.3pt;height: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" fillcolor="#d8d8d8" stroked="f">
                <v:textbox inset=",7.2pt,,7.2pt">
                  <w:txbxContent>
                    <w:p w14:paraId="0A8E422C" w14:textId="77777777" w:rsidR="00E433FC" w:rsidRDefault="00E433FC" w:rsidP="009F2AC4">
                      <w:pPr>
                        <w:spacing w:after="0" w:line="360" w:lineRule="auto"/>
                        <w:jc w:val="both"/>
                        <w:rPr>
                          <w:rFonts w:ascii="Times New Roman" w:hAnsi="Times New Roman" w:cs="Times New Roman"/>
                          <w:b/>
                          <w:i/>
                          <w:szCs w:val="24"/>
                        </w:rPr>
                      </w:pPr>
                      <w:r w:rsidRPr="000352E2">
                        <w:rPr>
                          <w:rFonts w:cs="Times New Roman"/>
                          <w:b/>
                          <w:i/>
                          <w:szCs w:val="24"/>
                        </w:rPr>
                        <w:t>Milyen</w:t>
                      </w:r>
                      <w:r w:rsidRPr="000352E2">
                        <w:rPr>
                          <w:rFonts w:eastAsia="Times New Roman" w:cs="Times New Roman"/>
                          <w:b/>
                          <w:i/>
                          <w:szCs w:val="24"/>
                        </w:rPr>
                        <w:t xml:space="preserve"> </w:t>
                      </w:r>
                      <w:r w:rsidRPr="000352E2">
                        <w:rPr>
                          <w:rFonts w:cs="Times New Roman"/>
                          <w:b/>
                          <w:i/>
                          <w:szCs w:val="24"/>
                        </w:rPr>
                        <w:t>eredményekre</w:t>
                      </w:r>
                      <w:r w:rsidRPr="000352E2">
                        <w:rPr>
                          <w:rFonts w:eastAsia="Times New Roman" w:cs="Times New Roman"/>
                          <w:b/>
                          <w:i/>
                          <w:szCs w:val="24"/>
                        </w:rPr>
                        <w:t xml:space="preserve"> </w:t>
                      </w:r>
                      <w:r w:rsidRPr="000352E2">
                        <w:rPr>
                          <w:rFonts w:cs="Times New Roman"/>
                          <w:b/>
                          <w:i/>
                          <w:szCs w:val="24"/>
                        </w:rPr>
                        <w:t>vezetett</w:t>
                      </w:r>
                      <w:r w:rsidRPr="000352E2">
                        <w:rPr>
                          <w:rFonts w:eastAsia="Times New Roman" w:cs="Times New Roman"/>
                          <w:b/>
                          <w:i/>
                          <w:szCs w:val="24"/>
                        </w:rPr>
                        <w:t xml:space="preserve"> </w:t>
                      </w:r>
                      <w:r w:rsidRPr="000352E2">
                        <w:rPr>
                          <w:rFonts w:cs="Times New Roman"/>
                          <w:b/>
                          <w:i/>
                          <w:szCs w:val="24"/>
                        </w:rPr>
                        <w:t>az</w:t>
                      </w:r>
                      <w:r w:rsidRPr="000352E2">
                        <w:rPr>
                          <w:rFonts w:eastAsia="Times New Roman" w:cs="Times New Roman"/>
                          <w:b/>
                          <w:i/>
                          <w:szCs w:val="24"/>
                        </w:rPr>
                        <w:t xml:space="preserve"> </w:t>
                      </w:r>
                      <w:r w:rsidRPr="000352E2">
                        <w:rPr>
                          <w:rFonts w:cs="Times New Roman"/>
                          <w:b/>
                          <w:i/>
                          <w:szCs w:val="24"/>
                        </w:rPr>
                        <w:t>intézkedés?</w:t>
                      </w:r>
                    </w:p>
                    <w:p w14:paraId="0E8D5978" w14:textId="77777777" w:rsidR="00E433FC" w:rsidRDefault="00E433FC" w:rsidP="009F2AC4">
                      <w:pPr>
                        <w:spacing w:after="0" w:line="360" w:lineRule="auto"/>
                        <w:jc w:val="both"/>
                        <w:rPr>
                          <w:rFonts w:ascii="Times New Roman" w:hAnsi="Times New Roman" w:cs="Times New Roman"/>
                          <w:b/>
                          <w:i/>
                          <w:szCs w:val="24"/>
                        </w:rPr>
                      </w:pPr>
                      <w:r w:rsidRPr="000352E2">
                        <w:rPr>
                          <w:rFonts w:cs="Times New Roman"/>
                          <w:b/>
                          <w:i/>
                          <w:szCs w:val="24"/>
                        </w:rPr>
                        <w:t xml:space="preserve"> Mi volt a támogatás hatása a nyertes vállalkozások esetében?</w:t>
                      </w:r>
                    </w:p>
                    <w:p w14:paraId="5FAE1A82" w14:textId="77777777" w:rsidR="00E433FC" w:rsidRDefault="00E433FC"/>
                  </w:txbxContent>
                </v:textbox>
                <w10:wrap type="tight"/>
              </v:shape>
            </w:pict>
          </mc:Fallback>
        </mc:AlternateContent>
      </w:r>
      <w:r w:rsidR="002F6BEB" w:rsidRPr="00986F85">
        <w:rPr>
          <w:rFonts w:ascii="Myriad Pro" w:hAnsi="Myriad Pro"/>
          <w:szCs w:val="24"/>
        </w:rPr>
        <w:t xml:space="preserve">A </w:t>
      </w:r>
      <w:r w:rsidR="00A41F46" w:rsidRPr="00986F85">
        <w:rPr>
          <w:rFonts w:ascii="Myriad Pro" w:hAnsi="Myriad Pro"/>
          <w:szCs w:val="24"/>
        </w:rPr>
        <w:t>TÁMOGATÁS H</w:t>
      </w:r>
      <w:r w:rsidR="000E31EB" w:rsidRPr="00986F85">
        <w:rPr>
          <w:rFonts w:ascii="Myriad Pro" w:hAnsi="Myriad Pro"/>
          <w:szCs w:val="24"/>
        </w:rPr>
        <w:t>ATÁS</w:t>
      </w:r>
      <w:r w:rsidR="00A41F46" w:rsidRPr="00986F85">
        <w:rPr>
          <w:rFonts w:ascii="Myriad Pro" w:hAnsi="Myriad Pro"/>
          <w:szCs w:val="24"/>
        </w:rPr>
        <w:t>A</w:t>
      </w:r>
      <w:bookmarkEnd w:id="52"/>
    </w:p>
    <w:p w14:paraId="724C7B7D" w14:textId="77777777" w:rsidR="009A68E7" w:rsidRPr="00986F85" w:rsidRDefault="009A68E7" w:rsidP="009A68E7">
      <w:pPr>
        <w:pStyle w:val="Szvegtrzs"/>
        <w:rPr>
          <w:rFonts w:cs="Times New Roman"/>
        </w:rPr>
      </w:pPr>
    </w:p>
    <w:p w14:paraId="7B2A6331" w14:textId="77777777" w:rsidR="009658BB" w:rsidRPr="00986F85" w:rsidRDefault="009658BB" w:rsidP="009A68E7">
      <w:pPr>
        <w:pStyle w:val="Szvegtrzs"/>
        <w:rPr>
          <w:rFonts w:cs="Times New Roman"/>
        </w:rPr>
      </w:pPr>
    </w:p>
    <w:p w14:paraId="242C4783" w14:textId="77777777" w:rsidR="009A68E7" w:rsidRPr="00986F85" w:rsidRDefault="009A68E7" w:rsidP="009A68E7">
      <w:pPr>
        <w:pStyle w:val="Szvegtrzs"/>
      </w:pPr>
    </w:p>
    <w:p w14:paraId="51C0380B" w14:textId="77777777" w:rsidR="009F2AC4" w:rsidRPr="00986F85" w:rsidRDefault="009F2AC4" w:rsidP="00BD324F">
      <w:pPr>
        <w:spacing w:after="0" w:line="360" w:lineRule="auto"/>
        <w:jc w:val="both"/>
        <w:rPr>
          <w:rFonts w:cs="Times New Roman"/>
          <w:szCs w:val="24"/>
        </w:rPr>
      </w:pPr>
      <w:r w:rsidRPr="00986F85">
        <w:rPr>
          <w:rFonts w:cs="Times New Roman"/>
          <w:szCs w:val="24"/>
        </w:rPr>
        <w:t>A</w:t>
      </w:r>
      <w:r w:rsidR="00BD324F" w:rsidRPr="00986F85">
        <w:rPr>
          <w:szCs w:val="24"/>
        </w:rPr>
        <w:t xml:space="preserve"> </w:t>
      </w:r>
      <w:r w:rsidRPr="00986F85">
        <w:rPr>
          <w:rFonts w:cs="Times New Roman"/>
          <w:szCs w:val="24"/>
        </w:rPr>
        <w:t xml:space="preserve"> </w:t>
      </w:r>
      <w:r w:rsidR="00BD324F" w:rsidRPr="00986F85">
        <w:rPr>
          <w:szCs w:val="24"/>
        </w:rPr>
        <w:t>hatásvizsgálat során a kezeltek tekintetében két csoportot különböztetünk meg. Az egyik csoport azokat a GOP</w:t>
      </w:r>
      <w:r w:rsidR="009167FE" w:rsidRPr="00986F85">
        <w:rPr>
          <w:rFonts w:cs="Times New Roman"/>
          <w:szCs w:val="24"/>
        </w:rPr>
        <w:t>2.1.1.</w:t>
      </w:r>
      <w:r w:rsidR="00BD324F" w:rsidRPr="00986F85">
        <w:rPr>
          <w:szCs w:val="24"/>
        </w:rPr>
        <w:t xml:space="preserve">A nyerteseket tartalmazza, akik 2007-2009 között megkapták a támogatás teljes összegét, de más pályázatból nem kaptak pénzt.  Ebben a csoportban 737 cég van, de az egyes ökonometriai modellekben ehhez képest minimális eltérés lehet. Ennek oka alapvetően adathiány (pl. mérlegadat), 0 %-os változás a mért mutatóban, vagy túl alacsony/magas </w:t>
      </w:r>
      <w:r w:rsidR="00BD324F" w:rsidRPr="00986F85">
        <w:rPr>
          <w:i/>
          <w:szCs w:val="24"/>
        </w:rPr>
        <w:t>propensity score</w:t>
      </w:r>
      <w:r w:rsidR="003E6B91" w:rsidRPr="00986F85">
        <w:rPr>
          <w:i/>
          <w:szCs w:val="24"/>
        </w:rPr>
        <w:t xml:space="preserve">. </w:t>
      </w:r>
      <w:r w:rsidR="00BD324F" w:rsidRPr="00986F85">
        <w:rPr>
          <w:szCs w:val="24"/>
        </w:rPr>
        <w:t xml:space="preserve">A másik csoportot azok a kezelt cégek képezik, akik vagy az előző csoportba tartoznak, vagy olyanok, akik a </w:t>
      </w:r>
      <w:r w:rsidR="009167FE" w:rsidRPr="00986F85">
        <w:rPr>
          <w:szCs w:val="24"/>
        </w:rPr>
        <w:t>GOP</w:t>
      </w:r>
      <w:r w:rsidR="009167FE" w:rsidRPr="00986F85">
        <w:rPr>
          <w:rFonts w:cs="Times New Roman"/>
          <w:szCs w:val="24"/>
        </w:rPr>
        <w:t>2.1.1.</w:t>
      </w:r>
      <w:r w:rsidR="009167FE" w:rsidRPr="00986F85">
        <w:rPr>
          <w:szCs w:val="24"/>
        </w:rPr>
        <w:t xml:space="preserve"> A kiírásokhoz hasonló KMOP1.2.1. A </w:t>
      </w:r>
      <w:r w:rsidR="00BD324F" w:rsidRPr="00986F85">
        <w:rPr>
          <w:szCs w:val="24"/>
        </w:rPr>
        <w:t>nyertesek</w:t>
      </w:r>
      <w:r w:rsidR="009167FE" w:rsidRPr="00986F85">
        <w:rPr>
          <w:rFonts w:cs="Times New Roman"/>
          <w:szCs w:val="24"/>
        </w:rPr>
        <w:t xml:space="preserve"> – azaz, a GOP kiírásokban szereplő maximum támogatási összegeket és az KMOP1.2.1. A konstrukciónak megfelelő támogatási intenzitással vettek fel támogatást. (Mivel a rendelkezésünkre bocsátott EMIR adatbázis nem tartalmaz részletes pályázati kódokat a KMOP nyertesekre, így a KMOP2.1.1.A alatti nyerteseket az említett feltételek mentén történt kiválogatással közelítettük.)</w:t>
      </w:r>
      <w:r w:rsidR="00BD324F" w:rsidRPr="00986F85">
        <w:rPr>
          <w:szCs w:val="24"/>
        </w:rPr>
        <w:t xml:space="preserve"> Ebben a csoportban 953 cég van, és ebben a körben is előfordulhat, hogy az egyes modellekben ehhez képest kis eltérés van az előbbiekben részletezett okokból. </w:t>
      </w:r>
    </w:p>
    <w:p w14:paraId="5632D476" w14:textId="77777777" w:rsidR="00114D66" w:rsidRPr="00986F85" w:rsidRDefault="005657E8" w:rsidP="004A1D51">
      <w:pPr>
        <w:pStyle w:val="Kpalrs"/>
        <w:keepNext/>
        <w:jc w:val="center"/>
      </w:pPr>
      <w:fldSimple w:instr=" SEQ táblázat \* ARABIC ">
        <w:bookmarkStart w:id="53" w:name="_Toc230854361"/>
        <w:r w:rsidR="00255252" w:rsidRPr="00986F85">
          <w:t>15</w:t>
        </w:r>
      </w:fldSimple>
      <w:r w:rsidR="00255252" w:rsidRPr="00986F85">
        <w:t>. táblázat: Kezelt vállalkozások számossága, 2011</w:t>
      </w:r>
      <w:bookmarkEnd w:id="53"/>
    </w:p>
    <w:tbl>
      <w:tblPr>
        <w:tblW w:w="8946" w:type="dxa"/>
        <w:tblInd w:w="93" w:type="dxa"/>
        <w:tblBorders>
          <w:insideH w:val="single" w:sz="4" w:space="0" w:color="auto"/>
        </w:tblBorders>
        <w:tblLayout w:type="fixed"/>
        <w:tblLook w:val="04A0" w:firstRow="1" w:lastRow="0" w:firstColumn="1" w:lastColumn="0" w:noHBand="0" w:noVBand="1"/>
      </w:tblPr>
      <w:tblGrid>
        <w:gridCol w:w="4126"/>
        <w:gridCol w:w="2268"/>
        <w:gridCol w:w="2552"/>
      </w:tblGrid>
      <w:tr w:rsidR="00A41F46" w:rsidRPr="00986F85" w14:paraId="4027C2CE" w14:textId="77777777" w:rsidTr="00112C69">
        <w:trPr>
          <w:trHeight w:val="569"/>
        </w:trPr>
        <w:tc>
          <w:tcPr>
            <w:tcW w:w="4126" w:type="dxa"/>
            <w:tcBorders>
              <w:top w:val="single" w:sz="4" w:space="0" w:color="auto"/>
              <w:bottom w:val="single" w:sz="4" w:space="0" w:color="auto"/>
            </w:tcBorders>
            <w:shd w:val="clear" w:color="000000" w:fill="B10000"/>
            <w:noWrap/>
            <w:vAlign w:val="center"/>
            <w:hideMark/>
          </w:tcPr>
          <w:p w14:paraId="770DA43B" w14:textId="77777777" w:rsidR="00A41F46" w:rsidRPr="00986F85" w:rsidRDefault="00A41F46" w:rsidP="00112C69">
            <w:pPr>
              <w:suppressAutoHyphens w:val="0"/>
              <w:spacing w:after="0" w:line="240" w:lineRule="auto"/>
              <w:rPr>
                <w:rFonts w:eastAsia="Times New Roman" w:cs="Times New Roman"/>
                <w:b/>
                <w:color w:val="FFFFFF"/>
                <w:sz w:val="22"/>
                <w:lang w:eastAsia="en-US"/>
              </w:rPr>
            </w:pPr>
          </w:p>
        </w:tc>
        <w:tc>
          <w:tcPr>
            <w:tcW w:w="2268" w:type="dxa"/>
            <w:tcBorders>
              <w:top w:val="single" w:sz="4" w:space="0" w:color="auto"/>
              <w:bottom w:val="single" w:sz="4" w:space="0" w:color="auto"/>
            </w:tcBorders>
            <w:shd w:val="clear" w:color="000000" w:fill="B10000"/>
            <w:noWrap/>
            <w:vAlign w:val="center"/>
            <w:hideMark/>
          </w:tcPr>
          <w:p w14:paraId="616264D1" w14:textId="77777777" w:rsidR="00A41F46" w:rsidRPr="00986F85" w:rsidRDefault="005D62DC" w:rsidP="004A1D51">
            <w:pPr>
              <w:suppressAutoHyphens w:val="0"/>
              <w:spacing w:after="0" w:line="240" w:lineRule="auto"/>
              <w:rPr>
                <w:rFonts w:eastAsia="Times New Roman" w:cs="Times New Roman"/>
                <w:b/>
                <w:color w:val="FFFFFF"/>
                <w:sz w:val="22"/>
                <w:lang w:eastAsia="en-US"/>
              </w:rPr>
            </w:pPr>
            <w:r w:rsidRPr="00986F85">
              <w:rPr>
                <w:rFonts w:eastAsia="Times New Roman" w:cs="Times New Roman"/>
                <w:b/>
                <w:color w:val="FFFFFF"/>
                <w:sz w:val="22"/>
                <w:lang w:eastAsia="en-US"/>
              </w:rPr>
              <w:t>Vállalkozások száma</w:t>
            </w:r>
          </w:p>
        </w:tc>
        <w:tc>
          <w:tcPr>
            <w:tcW w:w="2552" w:type="dxa"/>
            <w:tcBorders>
              <w:top w:val="single" w:sz="4" w:space="0" w:color="auto"/>
              <w:bottom w:val="single" w:sz="4" w:space="0" w:color="auto"/>
            </w:tcBorders>
            <w:shd w:val="clear" w:color="000000" w:fill="B10000"/>
            <w:noWrap/>
            <w:vAlign w:val="center"/>
            <w:hideMark/>
          </w:tcPr>
          <w:p w14:paraId="16C289A8" w14:textId="77777777" w:rsidR="00A41F46" w:rsidRPr="00986F85" w:rsidRDefault="00A41F46" w:rsidP="00112C69">
            <w:pPr>
              <w:suppressAutoHyphens w:val="0"/>
              <w:spacing w:after="0" w:line="240" w:lineRule="auto"/>
              <w:jc w:val="center"/>
              <w:rPr>
                <w:rFonts w:eastAsia="Times New Roman" w:cs="Times New Roman"/>
                <w:b/>
                <w:color w:val="FFFFFF"/>
                <w:sz w:val="22"/>
                <w:lang w:eastAsia="en-US"/>
              </w:rPr>
            </w:pPr>
            <w:r w:rsidRPr="00986F85">
              <w:rPr>
                <w:rFonts w:eastAsia="Times New Roman" w:cs="Times New Roman"/>
                <w:b/>
                <w:color w:val="FFFFFF"/>
                <w:sz w:val="22"/>
                <w:lang w:eastAsia="en-US"/>
              </w:rPr>
              <w:t>5 fő feletti</w:t>
            </w:r>
            <w:r w:rsidR="005D62DC" w:rsidRPr="00986F85">
              <w:rPr>
                <w:rFonts w:eastAsia="Times New Roman" w:cs="Times New Roman"/>
                <w:b/>
                <w:color w:val="FFFFFF"/>
                <w:sz w:val="22"/>
                <w:lang w:eastAsia="en-US"/>
              </w:rPr>
              <w:t xml:space="preserve"> fogl.létszámmal rendelkező cégek</w:t>
            </w:r>
          </w:p>
        </w:tc>
      </w:tr>
      <w:tr w:rsidR="00A41F46" w:rsidRPr="00986F85" w14:paraId="3532AD2F" w14:textId="77777777" w:rsidTr="00112C69">
        <w:trPr>
          <w:trHeight w:val="382"/>
        </w:trPr>
        <w:tc>
          <w:tcPr>
            <w:tcW w:w="4126" w:type="dxa"/>
            <w:tcBorders>
              <w:top w:val="single" w:sz="4" w:space="0" w:color="auto"/>
            </w:tcBorders>
            <w:shd w:val="clear" w:color="auto" w:fill="auto"/>
            <w:noWrap/>
            <w:vAlign w:val="center"/>
            <w:hideMark/>
          </w:tcPr>
          <w:p w14:paraId="50692B55" w14:textId="77777777" w:rsidR="00A41F46" w:rsidRPr="00986F85" w:rsidRDefault="00A41F46" w:rsidP="00112C69">
            <w:pPr>
              <w:suppressAutoHyphens w:val="0"/>
              <w:spacing w:after="0" w:line="240" w:lineRule="auto"/>
              <w:rPr>
                <w:rFonts w:eastAsia="Times New Roman" w:cs="Times New Roman"/>
                <w:b/>
                <w:color w:val="000000"/>
                <w:sz w:val="22"/>
                <w:lang w:eastAsia="en-US"/>
              </w:rPr>
            </w:pPr>
            <w:r w:rsidRPr="00986F85">
              <w:rPr>
                <w:rFonts w:eastAsia="Times New Roman" w:cs="Times New Roman"/>
                <w:b/>
                <w:color w:val="000000"/>
                <w:sz w:val="22"/>
                <w:lang w:eastAsia="en-US"/>
              </w:rPr>
              <w:t>GOP A nyertes összesen</w:t>
            </w:r>
          </w:p>
        </w:tc>
        <w:tc>
          <w:tcPr>
            <w:tcW w:w="2268" w:type="dxa"/>
            <w:tcBorders>
              <w:top w:val="single" w:sz="4" w:space="0" w:color="auto"/>
            </w:tcBorders>
            <w:shd w:val="clear" w:color="auto" w:fill="auto"/>
            <w:noWrap/>
            <w:vAlign w:val="center"/>
            <w:hideMark/>
          </w:tcPr>
          <w:p w14:paraId="6DB03531" w14:textId="77777777" w:rsidR="00A41F46" w:rsidRPr="00986F85" w:rsidRDefault="00A41F46" w:rsidP="00112C69">
            <w:pPr>
              <w:suppressAutoHyphens w:val="0"/>
              <w:spacing w:after="0" w:line="240" w:lineRule="auto"/>
              <w:jc w:val="center"/>
              <w:rPr>
                <w:rFonts w:eastAsia="Times New Roman" w:cs="Times New Roman"/>
                <w:b/>
                <w:color w:val="000000"/>
                <w:sz w:val="22"/>
                <w:lang w:eastAsia="en-US"/>
              </w:rPr>
            </w:pPr>
            <w:r w:rsidRPr="00986F85">
              <w:rPr>
                <w:rFonts w:eastAsia="Times New Roman" w:cs="Times New Roman"/>
                <w:b/>
                <w:color w:val="000000"/>
                <w:sz w:val="22"/>
                <w:lang w:eastAsia="en-US"/>
              </w:rPr>
              <w:t>2176</w:t>
            </w:r>
          </w:p>
        </w:tc>
        <w:tc>
          <w:tcPr>
            <w:tcW w:w="2552" w:type="dxa"/>
            <w:tcBorders>
              <w:top w:val="single" w:sz="4" w:space="0" w:color="auto"/>
            </w:tcBorders>
            <w:shd w:val="clear" w:color="auto" w:fill="auto"/>
            <w:noWrap/>
            <w:vAlign w:val="center"/>
            <w:hideMark/>
          </w:tcPr>
          <w:p w14:paraId="1BF5866C" w14:textId="77777777" w:rsidR="00A41F46" w:rsidRPr="00986F85" w:rsidRDefault="00A41F46" w:rsidP="00112C69">
            <w:pPr>
              <w:suppressAutoHyphens w:val="0"/>
              <w:spacing w:after="0" w:line="240" w:lineRule="auto"/>
              <w:jc w:val="center"/>
              <w:rPr>
                <w:rFonts w:eastAsia="Times New Roman" w:cs="Times New Roman"/>
                <w:b/>
                <w:color w:val="000000"/>
                <w:sz w:val="22"/>
                <w:lang w:eastAsia="en-US"/>
              </w:rPr>
            </w:pPr>
            <w:r w:rsidRPr="00986F85">
              <w:rPr>
                <w:rFonts w:eastAsia="Times New Roman" w:cs="Times New Roman"/>
                <w:b/>
                <w:color w:val="000000"/>
                <w:sz w:val="22"/>
                <w:lang w:eastAsia="en-US"/>
              </w:rPr>
              <w:t>1327</w:t>
            </w:r>
          </w:p>
        </w:tc>
      </w:tr>
      <w:tr w:rsidR="00A41F46" w:rsidRPr="00986F85" w14:paraId="3F583D60" w14:textId="77777777" w:rsidTr="00112C69">
        <w:trPr>
          <w:trHeight w:val="280"/>
        </w:trPr>
        <w:tc>
          <w:tcPr>
            <w:tcW w:w="4126" w:type="dxa"/>
            <w:shd w:val="clear" w:color="auto" w:fill="auto"/>
            <w:noWrap/>
            <w:vAlign w:val="center"/>
            <w:hideMark/>
          </w:tcPr>
          <w:p w14:paraId="742AB6A4" w14:textId="77777777" w:rsidR="00A41F46" w:rsidRPr="00986F85" w:rsidRDefault="00A41F46" w:rsidP="00112C69">
            <w:pPr>
              <w:suppressAutoHyphens w:val="0"/>
              <w:spacing w:after="0" w:line="240" w:lineRule="auto"/>
              <w:rPr>
                <w:rFonts w:eastAsia="Times New Roman" w:cs="Times New Roman"/>
                <w:b/>
                <w:color w:val="000000"/>
                <w:sz w:val="22"/>
                <w:lang w:eastAsia="en-US"/>
              </w:rPr>
            </w:pPr>
            <w:r w:rsidRPr="00986F85">
              <w:rPr>
                <w:rFonts w:eastAsia="Times New Roman" w:cs="Times New Roman"/>
                <w:b/>
                <w:color w:val="000000"/>
                <w:sz w:val="22"/>
                <w:lang w:eastAsia="en-US"/>
              </w:rPr>
              <w:t>GOP A vagy KMOP A nyertes</w:t>
            </w:r>
          </w:p>
        </w:tc>
        <w:tc>
          <w:tcPr>
            <w:tcW w:w="2268" w:type="dxa"/>
            <w:shd w:val="clear" w:color="auto" w:fill="auto"/>
            <w:noWrap/>
            <w:vAlign w:val="center"/>
            <w:hideMark/>
          </w:tcPr>
          <w:p w14:paraId="25ADB83A" w14:textId="77777777" w:rsidR="00A41F46" w:rsidRPr="00986F85" w:rsidRDefault="00A41F46" w:rsidP="00112C69">
            <w:pPr>
              <w:suppressAutoHyphens w:val="0"/>
              <w:spacing w:after="0" w:line="240" w:lineRule="auto"/>
              <w:jc w:val="center"/>
              <w:rPr>
                <w:rFonts w:eastAsia="Times New Roman" w:cs="Times New Roman"/>
                <w:b/>
                <w:color w:val="000000"/>
                <w:sz w:val="22"/>
                <w:lang w:eastAsia="en-US"/>
              </w:rPr>
            </w:pPr>
            <w:r w:rsidRPr="00986F85">
              <w:rPr>
                <w:rFonts w:eastAsia="Times New Roman" w:cs="Times New Roman"/>
                <w:b/>
                <w:color w:val="000000"/>
                <w:sz w:val="22"/>
                <w:lang w:eastAsia="en-US"/>
              </w:rPr>
              <w:t>2713</w:t>
            </w:r>
          </w:p>
        </w:tc>
        <w:tc>
          <w:tcPr>
            <w:tcW w:w="2552" w:type="dxa"/>
            <w:shd w:val="clear" w:color="auto" w:fill="auto"/>
            <w:noWrap/>
            <w:vAlign w:val="center"/>
            <w:hideMark/>
          </w:tcPr>
          <w:p w14:paraId="14814C49" w14:textId="77777777" w:rsidR="00A41F46" w:rsidRPr="00986F85" w:rsidRDefault="00A41F46" w:rsidP="00112C69">
            <w:pPr>
              <w:suppressAutoHyphens w:val="0"/>
              <w:spacing w:after="0" w:line="240" w:lineRule="auto"/>
              <w:jc w:val="center"/>
              <w:rPr>
                <w:rFonts w:eastAsia="Times New Roman" w:cs="Times New Roman"/>
                <w:b/>
                <w:color w:val="000000"/>
                <w:sz w:val="22"/>
                <w:lang w:eastAsia="en-US"/>
              </w:rPr>
            </w:pPr>
            <w:r w:rsidRPr="00986F85">
              <w:rPr>
                <w:rFonts w:eastAsia="Times New Roman" w:cs="Times New Roman"/>
                <w:b/>
                <w:color w:val="000000"/>
                <w:sz w:val="22"/>
                <w:lang w:eastAsia="en-US"/>
              </w:rPr>
              <w:t>1676</w:t>
            </w:r>
          </w:p>
        </w:tc>
      </w:tr>
      <w:tr w:rsidR="00A41F46" w:rsidRPr="00986F85" w14:paraId="5882B4F7" w14:textId="77777777" w:rsidTr="00112C69">
        <w:trPr>
          <w:trHeight w:val="280"/>
        </w:trPr>
        <w:tc>
          <w:tcPr>
            <w:tcW w:w="4126" w:type="dxa"/>
            <w:shd w:val="clear" w:color="auto" w:fill="auto"/>
            <w:noWrap/>
            <w:vAlign w:val="center"/>
            <w:hideMark/>
          </w:tcPr>
          <w:p w14:paraId="37374FD6" w14:textId="77777777" w:rsidR="00A41F46" w:rsidRPr="00986F85" w:rsidRDefault="00A41F46" w:rsidP="00112C69">
            <w:pPr>
              <w:suppressAutoHyphens w:val="0"/>
              <w:spacing w:after="0" w:line="240" w:lineRule="auto"/>
              <w:rPr>
                <w:rFonts w:eastAsia="Times New Roman" w:cs="Times New Roman"/>
                <w:b/>
                <w:color w:val="000000"/>
                <w:sz w:val="22"/>
                <w:lang w:eastAsia="en-US"/>
              </w:rPr>
            </w:pPr>
            <w:r w:rsidRPr="00986F85">
              <w:rPr>
                <w:rFonts w:eastAsia="Times New Roman" w:cs="Times New Roman"/>
                <w:b/>
                <w:color w:val="000000"/>
                <w:sz w:val="22"/>
                <w:lang w:eastAsia="en-US"/>
              </w:rPr>
              <w:t>GOP A pályázatot nyert és 2006-2009 között meg is kapta az utolsó kifizetését (más OP támogatás kizárt)</w:t>
            </w:r>
          </w:p>
        </w:tc>
        <w:tc>
          <w:tcPr>
            <w:tcW w:w="2268" w:type="dxa"/>
            <w:shd w:val="clear" w:color="auto" w:fill="auto"/>
            <w:noWrap/>
            <w:vAlign w:val="center"/>
            <w:hideMark/>
          </w:tcPr>
          <w:p w14:paraId="5FFE94EA" w14:textId="77777777" w:rsidR="00A41F46" w:rsidRPr="00986F85" w:rsidRDefault="00A41F46" w:rsidP="00112C69">
            <w:pPr>
              <w:suppressAutoHyphens w:val="0"/>
              <w:spacing w:after="0" w:line="240" w:lineRule="auto"/>
              <w:jc w:val="center"/>
              <w:rPr>
                <w:rFonts w:eastAsia="Times New Roman" w:cs="Times New Roman"/>
                <w:b/>
                <w:color w:val="000000"/>
                <w:sz w:val="22"/>
                <w:lang w:val="en-US" w:eastAsia="en-US"/>
              </w:rPr>
            </w:pPr>
            <w:r w:rsidRPr="00986F85">
              <w:rPr>
                <w:rFonts w:eastAsia="Times New Roman" w:cs="Times New Roman"/>
                <w:b/>
                <w:color w:val="000000"/>
                <w:sz w:val="22"/>
                <w:lang w:val="en-US" w:eastAsia="en-US"/>
              </w:rPr>
              <w:t>737</w:t>
            </w:r>
          </w:p>
        </w:tc>
        <w:tc>
          <w:tcPr>
            <w:tcW w:w="2552" w:type="dxa"/>
            <w:shd w:val="clear" w:color="auto" w:fill="auto"/>
            <w:noWrap/>
            <w:vAlign w:val="center"/>
            <w:hideMark/>
          </w:tcPr>
          <w:p w14:paraId="44A3BC7C" w14:textId="77777777" w:rsidR="00A41F46" w:rsidRPr="00986F85" w:rsidRDefault="00A41F46" w:rsidP="00112C69">
            <w:pPr>
              <w:suppressAutoHyphens w:val="0"/>
              <w:spacing w:after="0" w:line="240" w:lineRule="auto"/>
              <w:jc w:val="center"/>
              <w:rPr>
                <w:rFonts w:eastAsia="Times New Roman" w:cs="Times New Roman"/>
                <w:b/>
                <w:color w:val="000000"/>
                <w:sz w:val="22"/>
                <w:lang w:val="en-US" w:eastAsia="en-US"/>
              </w:rPr>
            </w:pPr>
            <w:r w:rsidRPr="00986F85">
              <w:rPr>
                <w:rFonts w:eastAsia="Times New Roman" w:cs="Times New Roman"/>
                <w:b/>
                <w:color w:val="000000"/>
                <w:sz w:val="22"/>
                <w:lang w:val="en-US" w:eastAsia="en-US"/>
              </w:rPr>
              <w:t>495</w:t>
            </w:r>
          </w:p>
        </w:tc>
      </w:tr>
      <w:tr w:rsidR="00A41F46" w:rsidRPr="00986F85" w14:paraId="215D078D" w14:textId="77777777" w:rsidTr="00112C69">
        <w:trPr>
          <w:trHeight w:val="560"/>
        </w:trPr>
        <w:tc>
          <w:tcPr>
            <w:tcW w:w="4126" w:type="dxa"/>
            <w:tcBorders>
              <w:bottom w:val="single" w:sz="4" w:space="0" w:color="auto"/>
            </w:tcBorders>
            <w:shd w:val="clear" w:color="auto" w:fill="auto"/>
            <w:vAlign w:val="center"/>
            <w:hideMark/>
          </w:tcPr>
          <w:p w14:paraId="2965525B" w14:textId="77777777" w:rsidR="00A41F46" w:rsidRPr="00986F85" w:rsidRDefault="00A41F46" w:rsidP="00112C69">
            <w:pPr>
              <w:suppressAutoHyphens w:val="0"/>
              <w:spacing w:after="0" w:line="240" w:lineRule="auto"/>
              <w:rPr>
                <w:rFonts w:eastAsia="Times New Roman" w:cs="Times New Roman"/>
                <w:b/>
                <w:color w:val="000000"/>
                <w:sz w:val="22"/>
                <w:lang w:eastAsia="en-US"/>
              </w:rPr>
            </w:pPr>
            <w:r w:rsidRPr="00986F85">
              <w:rPr>
                <w:rFonts w:eastAsia="Times New Roman" w:cs="Times New Roman"/>
                <w:b/>
                <w:color w:val="000000"/>
                <w:sz w:val="22"/>
                <w:lang w:eastAsia="en-US"/>
              </w:rPr>
              <w:t>GOP A vagy KMOP A pályázatot nyert és 2006-2009 között meg is kapta az utolsó kifizetését</w:t>
            </w:r>
          </w:p>
          <w:p w14:paraId="2F1532BE" w14:textId="77777777" w:rsidR="00A41F46" w:rsidRPr="00986F85" w:rsidRDefault="00A41F46" w:rsidP="00112C69">
            <w:pPr>
              <w:suppressAutoHyphens w:val="0"/>
              <w:spacing w:after="0" w:line="240" w:lineRule="auto"/>
              <w:rPr>
                <w:rFonts w:eastAsia="Times New Roman" w:cs="Times New Roman"/>
                <w:b/>
                <w:color w:val="000000"/>
                <w:sz w:val="22"/>
                <w:lang w:val="en-US" w:eastAsia="en-US"/>
              </w:rPr>
            </w:pPr>
            <w:r w:rsidRPr="00986F85">
              <w:rPr>
                <w:rFonts w:eastAsia="Times New Roman" w:cs="Times New Roman"/>
                <w:b/>
                <w:color w:val="000000"/>
                <w:sz w:val="22"/>
                <w:lang w:val="en-US" w:eastAsia="en-US"/>
              </w:rPr>
              <w:t>(más OP támogatás kizárt)</w:t>
            </w:r>
          </w:p>
        </w:tc>
        <w:tc>
          <w:tcPr>
            <w:tcW w:w="2268" w:type="dxa"/>
            <w:tcBorders>
              <w:bottom w:val="single" w:sz="4" w:space="0" w:color="auto"/>
            </w:tcBorders>
            <w:shd w:val="clear" w:color="auto" w:fill="auto"/>
            <w:noWrap/>
            <w:vAlign w:val="center"/>
            <w:hideMark/>
          </w:tcPr>
          <w:p w14:paraId="5B487A04" w14:textId="77777777" w:rsidR="00A41F46" w:rsidRPr="00986F85" w:rsidRDefault="00A41F46" w:rsidP="00112C69">
            <w:pPr>
              <w:suppressAutoHyphens w:val="0"/>
              <w:spacing w:after="0" w:line="240" w:lineRule="auto"/>
              <w:jc w:val="center"/>
              <w:rPr>
                <w:rFonts w:eastAsia="Times New Roman" w:cs="Times New Roman"/>
                <w:b/>
                <w:color w:val="000000"/>
                <w:sz w:val="22"/>
                <w:lang w:val="en-US" w:eastAsia="en-US"/>
              </w:rPr>
            </w:pPr>
            <w:r w:rsidRPr="00986F85">
              <w:rPr>
                <w:rFonts w:eastAsia="Times New Roman" w:cs="Times New Roman"/>
                <w:b/>
                <w:color w:val="000000"/>
                <w:sz w:val="22"/>
                <w:lang w:val="en-US" w:eastAsia="en-US"/>
              </w:rPr>
              <w:t>953</w:t>
            </w:r>
          </w:p>
        </w:tc>
        <w:tc>
          <w:tcPr>
            <w:tcW w:w="2552" w:type="dxa"/>
            <w:tcBorders>
              <w:bottom w:val="single" w:sz="4" w:space="0" w:color="auto"/>
            </w:tcBorders>
            <w:shd w:val="clear" w:color="auto" w:fill="auto"/>
            <w:noWrap/>
            <w:vAlign w:val="center"/>
            <w:hideMark/>
          </w:tcPr>
          <w:p w14:paraId="067DC0E0" w14:textId="77777777" w:rsidR="00A41F46" w:rsidRPr="00986F85" w:rsidRDefault="00A41F46" w:rsidP="00112C69">
            <w:pPr>
              <w:suppressAutoHyphens w:val="0"/>
              <w:spacing w:after="0" w:line="240" w:lineRule="auto"/>
              <w:jc w:val="center"/>
              <w:rPr>
                <w:rFonts w:eastAsia="Times New Roman" w:cs="Times New Roman"/>
                <w:b/>
                <w:color w:val="000000"/>
                <w:sz w:val="22"/>
                <w:lang w:val="en-US" w:eastAsia="en-US"/>
              </w:rPr>
            </w:pPr>
            <w:r w:rsidRPr="00986F85">
              <w:rPr>
                <w:rFonts w:eastAsia="Times New Roman" w:cs="Times New Roman"/>
                <w:b/>
                <w:color w:val="000000"/>
                <w:sz w:val="22"/>
                <w:lang w:val="en-US" w:eastAsia="en-US"/>
              </w:rPr>
              <w:t>644</w:t>
            </w:r>
          </w:p>
        </w:tc>
      </w:tr>
      <w:tr w:rsidR="00A41F46" w:rsidRPr="00986F85" w14:paraId="6496F374" w14:textId="77777777" w:rsidTr="00112C69">
        <w:trPr>
          <w:trHeight w:val="560"/>
        </w:trPr>
        <w:tc>
          <w:tcPr>
            <w:tcW w:w="4126" w:type="dxa"/>
            <w:tcBorders>
              <w:top w:val="single" w:sz="4" w:space="0" w:color="auto"/>
              <w:bottom w:val="single" w:sz="4" w:space="0" w:color="auto"/>
            </w:tcBorders>
            <w:shd w:val="clear" w:color="auto" w:fill="auto"/>
            <w:vAlign w:val="center"/>
            <w:hideMark/>
          </w:tcPr>
          <w:p w14:paraId="08F76C37" w14:textId="77777777" w:rsidR="00A41F46" w:rsidRPr="00986F85" w:rsidRDefault="00A41F46" w:rsidP="00112C69">
            <w:pPr>
              <w:suppressAutoHyphens w:val="0"/>
              <w:spacing w:after="0" w:line="240" w:lineRule="auto"/>
              <w:rPr>
                <w:rFonts w:eastAsia="Times New Roman" w:cs="Times New Roman"/>
                <w:color w:val="000000"/>
                <w:sz w:val="22"/>
                <w:lang w:eastAsia="en-US"/>
              </w:rPr>
            </w:pPr>
            <w:r w:rsidRPr="00986F85">
              <w:rPr>
                <w:rFonts w:eastAsia="Times New Roman" w:cs="Times New Roman"/>
                <w:color w:val="000000"/>
                <w:sz w:val="22"/>
                <w:lang w:eastAsia="en-US"/>
              </w:rPr>
              <w:lastRenderedPageBreak/>
              <w:t>GOP A vagy KMOP A pályázatot nyert és 2006-2009 között meg is kapta az utolsó kifizetését</w:t>
            </w:r>
          </w:p>
          <w:p w14:paraId="16FF321B" w14:textId="77777777" w:rsidR="00A41F46" w:rsidRPr="00986F85" w:rsidRDefault="00A41F46" w:rsidP="00112C69">
            <w:pPr>
              <w:suppressAutoHyphens w:val="0"/>
              <w:spacing w:after="0" w:line="240" w:lineRule="auto"/>
              <w:rPr>
                <w:rFonts w:eastAsia="Times New Roman" w:cs="Times New Roman"/>
                <w:color w:val="000000"/>
                <w:sz w:val="22"/>
                <w:lang w:eastAsia="en-US"/>
              </w:rPr>
            </w:pPr>
            <w:r w:rsidRPr="00986F85">
              <w:rPr>
                <w:rFonts w:eastAsia="Times New Roman" w:cs="Times New Roman"/>
                <w:color w:val="000000"/>
                <w:sz w:val="22"/>
                <w:lang w:eastAsia="en-US"/>
              </w:rPr>
              <w:t>(más OP támogatás nem kizárt)</w:t>
            </w:r>
          </w:p>
        </w:tc>
        <w:tc>
          <w:tcPr>
            <w:tcW w:w="2268" w:type="dxa"/>
            <w:tcBorders>
              <w:top w:val="single" w:sz="4" w:space="0" w:color="auto"/>
              <w:bottom w:val="single" w:sz="4" w:space="0" w:color="auto"/>
            </w:tcBorders>
            <w:shd w:val="clear" w:color="auto" w:fill="auto"/>
            <w:noWrap/>
            <w:vAlign w:val="center"/>
            <w:hideMark/>
          </w:tcPr>
          <w:p w14:paraId="5731EB28" w14:textId="77777777" w:rsidR="00A41F46" w:rsidRPr="00986F85" w:rsidRDefault="00A41F46" w:rsidP="00112C69">
            <w:pPr>
              <w:suppressAutoHyphens w:val="0"/>
              <w:spacing w:after="0" w:line="240" w:lineRule="auto"/>
              <w:jc w:val="center"/>
              <w:rPr>
                <w:rFonts w:eastAsia="Times New Roman" w:cs="Times New Roman"/>
                <w:color w:val="000000"/>
                <w:sz w:val="22"/>
                <w:lang w:val="en-US" w:eastAsia="en-US"/>
              </w:rPr>
            </w:pPr>
            <w:r w:rsidRPr="00986F85">
              <w:rPr>
                <w:rFonts w:eastAsia="Times New Roman" w:cs="Times New Roman"/>
                <w:color w:val="000000"/>
                <w:sz w:val="22"/>
                <w:lang w:val="en-US" w:eastAsia="en-US"/>
              </w:rPr>
              <w:t>983</w:t>
            </w:r>
          </w:p>
        </w:tc>
        <w:tc>
          <w:tcPr>
            <w:tcW w:w="2552" w:type="dxa"/>
            <w:tcBorders>
              <w:top w:val="single" w:sz="4" w:space="0" w:color="auto"/>
              <w:bottom w:val="single" w:sz="4" w:space="0" w:color="auto"/>
            </w:tcBorders>
            <w:shd w:val="clear" w:color="auto" w:fill="auto"/>
            <w:noWrap/>
            <w:vAlign w:val="center"/>
            <w:hideMark/>
          </w:tcPr>
          <w:p w14:paraId="311743F6" w14:textId="77777777" w:rsidR="00A41F46" w:rsidRPr="00986F85" w:rsidRDefault="00A41F46" w:rsidP="00112C69">
            <w:pPr>
              <w:suppressAutoHyphens w:val="0"/>
              <w:spacing w:after="0" w:line="240" w:lineRule="auto"/>
              <w:jc w:val="center"/>
              <w:rPr>
                <w:rFonts w:eastAsia="Times New Roman" w:cs="Times New Roman"/>
                <w:color w:val="000000"/>
                <w:sz w:val="22"/>
                <w:lang w:val="en-US" w:eastAsia="en-US"/>
              </w:rPr>
            </w:pPr>
            <w:r w:rsidRPr="00986F85">
              <w:rPr>
                <w:rFonts w:eastAsia="Times New Roman" w:cs="Times New Roman"/>
                <w:color w:val="000000"/>
                <w:sz w:val="22"/>
                <w:lang w:val="en-US" w:eastAsia="en-US"/>
              </w:rPr>
              <w:t>669</w:t>
            </w:r>
          </w:p>
        </w:tc>
      </w:tr>
    </w:tbl>
    <w:p w14:paraId="0E06A719" w14:textId="77777777" w:rsidR="00AF58D1" w:rsidRPr="00986F85" w:rsidRDefault="00AF58D1" w:rsidP="00BD324F">
      <w:pPr>
        <w:spacing w:after="0" w:line="360" w:lineRule="auto"/>
        <w:jc w:val="both"/>
        <w:rPr>
          <w:szCs w:val="24"/>
        </w:rPr>
      </w:pPr>
    </w:p>
    <w:p w14:paraId="30452A86" w14:textId="77777777" w:rsidR="00BD324F" w:rsidRPr="00986F85" w:rsidRDefault="00BD324F" w:rsidP="00BD324F">
      <w:pPr>
        <w:spacing w:after="0" w:line="360" w:lineRule="auto"/>
        <w:jc w:val="both"/>
        <w:rPr>
          <w:rFonts w:cs="Times New Roman"/>
          <w:szCs w:val="24"/>
        </w:rPr>
      </w:pPr>
      <w:r w:rsidRPr="00986F85">
        <w:rPr>
          <w:szCs w:val="24"/>
        </w:rPr>
        <w:t>Az adatok megbízhatósága miatt elsősorban az 5 fő feletti cégekre fókuszáltunk, de a minta elemszámának növelése érdekében 3 fő feletti mintára is elvégeztük az elemzéseket mindkét előbb említett célcsoport esetében.  A kontrol csoport cégei minden évben csak 0 és 99 fő közöttiek lehettek, a kezelt csoportban azonban voltak olyan cégek, amelyek valamely (vagy akár mindegyik) évben 99 főnél nagyobb létszámmal rendelkeztek, az eredmények azonban nem változtak akkor sem, ha ez utóbbi</w:t>
      </w:r>
      <w:r w:rsidR="001B79EC" w:rsidRPr="00986F85">
        <w:rPr>
          <w:szCs w:val="24"/>
        </w:rPr>
        <w:t xml:space="preserve">akat kizártuk a kezeltek közül, és mint a leíró elemzésben láthattuk, a </w:t>
      </w:r>
      <w:r w:rsidR="001B79EC" w:rsidRPr="00986F85">
        <w:rPr>
          <w:rFonts w:cs="Times New Roman"/>
          <w:szCs w:val="24"/>
        </w:rPr>
        <w:t>vizsgált A típusú konstrukciók esetében igen alacsony volt a 100 fős vagy azt meghaladó cégek számra.</w:t>
      </w:r>
    </w:p>
    <w:p w14:paraId="687D123F" w14:textId="77777777" w:rsidR="00BD324F" w:rsidRPr="00986F85" w:rsidRDefault="00BD324F" w:rsidP="00BD324F">
      <w:pPr>
        <w:spacing w:after="0" w:line="360" w:lineRule="auto"/>
        <w:jc w:val="both"/>
        <w:rPr>
          <w:rFonts w:cs="Times New Roman"/>
          <w:szCs w:val="24"/>
        </w:rPr>
      </w:pPr>
    </w:p>
    <w:p w14:paraId="2131E43D" w14:textId="77777777" w:rsidR="007534F5" w:rsidRPr="00986F85" w:rsidRDefault="0017066A" w:rsidP="007534F5">
      <w:pPr>
        <w:spacing w:after="0" w:line="360" w:lineRule="auto"/>
        <w:jc w:val="both"/>
        <w:rPr>
          <w:b/>
          <w:szCs w:val="24"/>
        </w:rPr>
      </w:pPr>
      <w:r w:rsidRPr="00986F85">
        <w:rPr>
          <w:b/>
          <w:szCs w:val="24"/>
        </w:rPr>
        <w:t>Szelekció</w:t>
      </w:r>
    </w:p>
    <w:p w14:paraId="120DBA7A" w14:textId="77777777" w:rsidR="002B2F48" w:rsidRPr="00986F85" w:rsidRDefault="002B2F48" w:rsidP="002B2F48">
      <w:pPr>
        <w:widowControl w:val="0"/>
        <w:autoSpaceDE w:val="0"/>
        <w:autoSpaceDN w:val="0"/>
        <w:adjustRightInd w:val="0"/>
        <w:spacing w:line="360" w:lineRule="auto"/>
        <w:jc w:val="both"/>
        <w:rPr>
          <w:rFonts w:eastAsia="MS Mincho"/>
          <w:lang w:eastAsia="ja-JP"/>
        </w:rPr>
      </w:pPr>
      <w:r w:rsidRPr="00986F85">
        <w:rPr>
          <w:rFonts w:eastAsia="MS Mincho" w:cs="Myriad Pro"/>
          <w:lang w:eastAsia="ja-JP"/>
        </w:rPr>
        <w:t>A szelekciós modellünkben a kezelt csoportot a 2007-2011 között GOP A és hozzá hasonló KMOP A pályázatot nyert cégek alkotják, függetlenül attól, hogy megkapták-e az utolsó kifizetést vagy sem.  Ennek alapvetően két oka van. Fontos, hogy a támogatott cégek lehető legbővebb körét vonjuk be a szelekciós vizsgálatba, annak érdekében, hogy kellően megalapozott szakpolitikai döntések születhessenek, másrészt a nagyobb minta elemszám miatt a becslésünk is megbízhatóbb lesz. Noha a hatáselemzés során ennél szűkebb kezelt csoportot fogunk vizsgálni – azokat, akik 2009-ig megkapták az utolsó kifizetést is –, hihetőnek tűnik az a feltételezés, hogy az utolsó kifizetés időpontja és a kezeltté válás között nincs kapcsolat, így a bővebb célcsoport tagjai is ugyanazon tulajdonságok mentén váltak kezeltté, mint azok, akik korábban tudták a beruházásukat befejezni.</w:t>
      </w:r>
    </w:p>
    <w:p w14:paraId="33B78448" w14:textId="77777777" w:rsidR="002B2F48" w:rsidRPr="00986F85" w:rsidRDefault="002B2F48" w:rsidP="002B2F48">
      <w:pPr>
        <w:widowControl w:val="0"/>
        <w:autoSpaceDE w:val="0"/>
        <w:autoSpaceDN w:val="0"/>
        <w:adjustRightInd w:val="0"/>
        <w:spacing w:line="360" w:lineRule="auto"/>
        <w:jc w:val="both"/>
        <w:rPr>
          <w:rFonts w:eastAsia="MS Mincho"/>
          <w:lang w:eastAsia="ja-JP"/>
        </w:rPr>
      </w:pPr>
      <w:r w:rsidRPr="00986F85">
        <w:rPr>
          <w:rFonts w:eastAsia="MS Mincho" w:cs="Myriad Pro"/>
          <w:lang w:eastAsia="ja-JP"/>
        </w:rPr>
        <w:t>Mivel az A konstrukció pályázatait ún. normatív eljárásrendben bírálták el, így a kezeltté válás mögött nagyrészt olyan tényezők húzódnak meg, amelyek a pályázatra való jelentkezést is befolyásolják. Korábbi elemzések eredménye, hogy a technológiai fejlesztéseket célzó pályázati kiírások esetében jelentős az önszelekció, és a minimum feltételeknek való megfelelésen túl alapvetően az amúgy gyorsabban növekvő, jobb teljesítmény mutatókkal rendelkező cégek</w:t>
      </w:r>
      <w:r w:rsidR="008C45B4" w:rsidRPr="00986F85">
        <w:rPr>
          <w:rFonts w:eastAsia="MS Mincho" w:cs="Myriad Pro"/>
          <w:lang w:eastAsia="ja-JP"/>
        </w:rPr>
        <w:t xml:space="preserve"> jelentkeznek</w:t>
      </w:r>
      <w:r w:rsidRPr="00986F85">
        <w:rPr>
          <w:rFonts w:eastAsia="MS Mincho" w:cs="Myriad Pro"/>
          <w:lang w:eastAsia="ja-JP"/>
        </w:rPr>
        <w:t xml:space="preserve"> (Agenda et al 2007, Muraközi-</w:t>
      </w:r>
      <w:r w:rsidRPr="00986F85">
        <w:rPr>
          <w:rFonts w:eastAsia="MS Mincho" w:cs="Myriad Pro"/>
          <w:lang w:eastAsia="ja-JP"/>
        </w:rPr>
        <w:lastRenderedPageBreak/>
        <w:t xml:space="preserve">Békés 2010). Ennek tesztje azon múlik, hogy ismerjük az  érintett cégek mérlegadatait a beavatkozás előtti időszakban, legalább 2-3 évre visszamenően. </w:t>
      </w:r>
    </w:p>
    <w:p w14:paraId="225A8D35" w14:textId="77777777" w:rsidR="002B2F48" w:rsidRPr="00986F85" w:rsidRDefault="002B2F48" w:rsidP="002B2F48">
      <w:pPr>
        <w:widowControl w:val="0"/>
        <w:autoSpaceDE w:val="0"/>
        <w:autoSpaceDN w:val="0"/>
        <w:adjustRightInd w:val="0"/>
        <w:spacing w:line="360" w:lineRule="auto"/>
        <w:jc w:val="both"/>
        <w:rPr>
          <w:rFonts w:eastAsia="MS Mincho"/>
          <w:lang w:eastAsia="ja-JP"/>
        </w:rPr>
      </w:pPr>
      <w:r w:rsidRPr="00986F85">
        <w:rPr>
          <w:rFonts w:eastAsia="MS Mincho" w:cs="Myriad Pro"/>
          <w:lang w:eastAsia="ja-JP"/>
        </w:rPr>
        <w:t>A szelekció történhet explicit módon</w:t>
      </w:r>
      <w:r w:rsidR="003A1710" w:rsidRPr="00986F85">
        <w:rPr>
          <w:rFonts w:eastAsia="MS Mincho" w:cs="Myriad Pro"/>
          <w:lang w:eastAsia="ja-JP"/>
        </w:rPr>
        <w:t>,</w:t>
      </w:r>
      <w:r w:rsidRPr="00986F85">
        <w:rPr>
          <w:rFonts w:eastAsia="MS Mincho" w:cs="Myriad Pro"/>
          <w:lang w:eastAsia="ja-JP"/>
        </w:rPr>
        <w:t xml:space="preserve"> a pályázati feltételek és elbírálási feltételek között kifejezetten preferált vállalati ismérvek ellenőrzésével (pl iparág, hátrányos helyzetű kistérségben jegyzett székhely, hátrányos helyzetűek foglalkoztatása, stb.), vagy indirekt módon olyan keretfeltételek megteremtésével, melyek például eleve a jobban tájékozott, jobban teljesítő vállalkozásoknak kedveznek. A vállalati teljesítménymutatók múltbeli trendjének ismerete pedig segít</w:t>
      </w:r>
      <w:r w:rsidR="008C45B4" w:rsidRPr="00986F85">
        <w:rPr>
          <w:rFonts w:eastAsia="MS Mincho" w:cs="Times New Roman"/>
          <w:lang w:eastAsia="ja-JP"/>
        </w:rPr>
        <w:t>het</w:t>
      </w:r>
      <w:r w:rsidRPr="00986F85">
        <w:rPr>
          <w:rFonts w:eastAsia="MS Mincho" w:cs="Myriad Pro"/>
          <w:lang w:eastAsia="ja-JP"/>
        </w:rPr>
        <w:t xml:space="preserve"> kiszűrni a hatékonyabb és termelékenyebb cégeket. </w:t>
      </w:r>
    </w:p>
    <w:p w14:paraId="06E7F5EF" w14:textId="77777777" w:rsidR="002B2F48" w:rsidRPr="00986F85" w:rsidRDefault="002B2F48" w:rsidP="002B2F48">
      <w:pPr>
        <w:widowControl w:val="0"/>
        <w:autoSpaceDE w:val="0"/>
        <w:autoSpaceDN w:val="0"/>
        <w:adjustRightInd w:val="0"/>
        <w:spacing w:line="360" w:lineRule="auto"/>
        <w:jc w:val="both"/>
        <w:rPr>
          <w:rFonts w:eastAsia="MS Mincho"/>
          <w:lang w:eastAsia="ja-JP"/>
        </w:rPr>
      </w:pPr>
      <w:r w:rsidRPr="00986F85">
        <w:rPr>
          <w:rFonts w:eastAsia="MS Mincho" w:cs="Myriad Pro"/>
          <w:lang w:eastAsia="ja-JP"/>
        </w:rPr>
        <w:t xml:space="preserve">Mivel jelen projektben csak a 2006-2011 közötti időszakra álltak rendelkezésre a vállalati mérlegadatok, a dinamikus hatások vizsgálatára nagyon korlátozott lehetőség adódott. </w:t>
      </w:r>
      <w:r w:rsidR="008C45B4" w:rsidRPr="00986F85">
        <w:rPr>
          <w:rFonts w:eastAsia="MS Mincho" w:cs="Myriad Pro"/>
          <w:lang w:eastAsia="ja-JP"/>
        </w:rPr>
        <w:t>Legkisebb veszteségnek azt találtuk, hogy kizárjuk a 2007. évi nyerteseket azért, hogy a 2006. és 2007. évi vállalati mutatókban bekövetkezett változást, mint dinamikát fel tudjuk használni a becsléshez. Vagyis a</w:t>
      </w:r>
      <w:r w:rsidRPr="00986F85">
        <w:rPr>
          <w:rFonts w:eastAsia="MS Mincho" w:cs="Myriad Pro"/>
          <w:lang w:eastAsia="ja-JP"/>
        </w:rPr>
        <w:t xml:space="preserve"> beavatkozás előtti időszak meghosszabbítását céloztuk meg a 2007. évi nyertesek kizárásával. </w:t>
      </w:r>
      <w:r w:rsidR="003D75B2" w:rsidRPr="00986F85">
        <w:rPr>
          <w:rFonts w:eastAsia="MS Mincho" w:cs="Times New Roman"/>
          <w:lang w:eastAsia="ja-JP"/>
        </w:rPr>
        <w:t xml:space="preserve">Az így </w:t>
      </w:r>
      <w:r w:rsidRPr="00986F85">
        <w:rPr>
          <w:rFonts w:eastAsia="MS Mincho" w:cs="Myriad Pro"/>
          <w:lang w:eastAsia="ja-JP"/>
        </w:rPr>
        <w:t xml:space="preserve">szűkített mintán megnéztük, hogy 2007/2006. évi árbevétel-növekedési ütemnek van-e szignifikáns hatása a szelekciós egyenletben. Egyik specifikációban sem adódott </w:t>
      </w:r>
      <w:r w:rsidR="0095091C" w:rsidRPr="00986F85">
        <w:rPr>
          <w:rFonts w:eastAsia="MS Mincho" w:cs="Myriad Pro"/>
          <w:lang w:eastAsia="ja-JP"/>
        </w:rPr>
        <w:t xml:space="preserve">szignifikáns </w:t>
      </w:r>
      <w:r w:rsidRPr="00986F85">
        <w:rPr>
          <w:rFonts w:eastAsia="MS Mincho" w:cs="Myriad Pro"/>
          <w:lang w:eastAsia="ja-JP"/>
        </w:rPr>
        <w:t xml:space="preserve">eredmény. Ennek több magyarázata is lehet. Megítélésünk szerint, a legvalószínűbb az, hogy túl rövid </w:t>
      </w:r>
      <w:r w:rsidR="00ED71AD" w:rsidRPr="00986F85">
        <w:rPr>
          <w:rFonts w:eastAsia="MS Mincho" w:cs="Times New Roman"/>
          <w:lang w:eastAsia="ja-JP"/>
        </w:rPr>
        <w:t xml:space="preserve">(egy év!) </w:t>
      </w:r>
      <w:r w:rsidRPr="00986F85">
        <w:rPr>
          <w:rFonts w:eastAsia="MS Mincho" w:cs="Myriad Pro"/>
          <w:lang w:eastAsia="ja-JP"/>
        </w:rPr>
        <w:t xml:space="preserve">az általunk megfigyelhető, beavatkozás előtti időszak. </w:t>
      </w:r>
    </w:p>
    <w:p w14:paraId="0BD296D6" w14:textId="77777777" w:rsidR="002B2F48" w:rsidRPr="00986F85" w:rsidRDefault="003D75B2" w:rsidP="002B2F48">
      <w:pPr>
        <w:widowControl w:val="0"/>
        <w:autoSpaceDE w:val="0"/>
        <w:autoSpaceDN w:val="0"/>
        <w:adjustRightInd w:val="0"/>
        <w:spacing w:line="360" w:lineRule="auto"/>
        <w:jc w:val="both"/>
        <w:rPr>
          <w:rFonts w:eastAsia="MS Mincho"/>
          <w:lang w:eastAsia="ja-JP"/>
        </w:rPr>
      </w:pPr>
      <w:r w:rsidRPr="00986F85">
        <w:rPr>
          <w:rFonts w:eastAsia="MS Mincho" w:cs="Times New Roman"/>
          <w:lang w:eastAsia="ja-JP"/>
        </w:rPr>
        <w:t>Ezt követően a 2007-20</w:t>
      </w:r>
      <w:r w:rsidR="00B51EFD" w:rsidRPr="00986F85">
        <w:rPr>
          <w:rFonts w:eastAsia="MS Mincho" w:cs="Times New Roman"/>
          <w:lang w:eastAsia="ja-JP"/>
        </w:rPr>
        <w:t xml:space="preserve">11 között nyertes, minimum 3 fő foglalkoztatotti létszámmal rendelkező cégeket alapul véve, futtatunk le  különböző specifikációkat. </w:t>
      </w:r>
      <w:r w:rsidR="002B2F48" w:rsidRPr="00986F85">
        <w:rPr>
          <w:rFonts w:eastAsia="MS Mincho" w:cs="Myriad Pro"/>
          <w:lang w:eastAsia="ja-JP"/>
        </w:rPr>
        <w:t xml:space="preserve">Az alábbi táblázatban bemutatjuk a legjobb illeszkedésű modellt, illetve kifejtjük azon változókat, melyek a legtöbb becslésben szignifikáns változóként jelentek meg. </w:t>
      </w:r>
      <w:r w:rsidR="00B51EFD" w:rsidRPr="00986F85">
        <w:rPr>
          <w:rFonts w:eastAsia="MS Mincho" w:cs="Myriad Pro"/>
          <w:lang w:eastAsia="ja-JP"/>
        </w:rPr>
        <w:t>(A</w:t>
      </w:r>
      <w:r w:rsidR="00B51EFD" w:rsidRPr="00986F85">
        <w:rPr>
          <w:rFonts w:eastAsia="MS Mincho" w:cs="Times New Roman"/>
          <w:lang w:eastAsia="ja-JP"/>
        </w:rPr>
        <w:t xml:space="preserve">z alternatív becslések, illetve a minimum 5 fő foglalkoztatotti létszámú cégek mintájára szűkített vizsgálatok </w:t>
      </w:r>
      <w:r w:rsidR="00B51EFD" w:rsidRPr="00986F85">
        <w:rPr>
          <w:rFonts w:eastAsia="MS Mincho" w:cs="Myriad Pro"/>
          <w:lang w:eastAsia="ja-JP"/>
        </w:rPr>
        <w:t>a III. sz. Melléklet</w:t>
      </w:r>
      <w:r w:rsidR="00B51EFD" w:rsidRPr="00986F85">
        <w:rPr>
          <w:rFonts w:eastAsia="MS Mincho" w:cs="Times New Roman"/>
          <w:lang w:eastAsia="ja-JP"/>
        </w:rPr>
        <w:t>ben</w:t>
      </w:r>
      <w:r w:rsidR="00B51EFD" w:rsidRPr="00986F85">
        <w:rPr>
          <w:rFonts w:eastAsia="MS Mincho" w:cs="Myriad Pro"/>
          <w:lang w:eastAsia="ja-JP"/>
        </w:rPr>
        <w:t xml:space="preserve"> mutatjuk be.)</w:t>
      </w:r>
    </w:p>
    <w:p w14:paraId="28F14E62" w14:textId="77777777" w:rsidR="002B2F48" w:rsidRPr="00986F85" w:rsidRDefault="002B2F48" w:rsidP="002B2F48">
      <w:pPr>
        <w:widowControl w:val="0"/>
        <w:autoSpaceDE w:val="0"/>
        <w:autoSpaceDN w:val="0"/>
        <w:adjustRightInd w:val="0"/>
        <w:spacing w:line="360" w:lineRule="auto"/>
        <w:jc w:val="both"/>
        <w:rPr>
          <w:rFonts w:eastAsia="MS Mincho"/>
          <w:lang w:eastAsia="ja-JP"/>
        </w:rPr>
      </w:pPr>
      <w:r w:rsidRPr="00986F85">
        <w:rPr>
          <w:rFonts w:eastAsia="MS Mincho" w:cs="Myriad Pro"/>
          <w:lang w:eastAsia="ja-JP"/>
        </w:rPr>
        <w:t xml:space="preserve">A magyarázó változók </w:t>
      </w:r>
      <w:r w:rsidR="00952EA8" w:rsidRPr="00986F85">
        <w:rPr>
          <w:rFonts w:eastAsia="MS Mincho" w:cs="Times New Roman"/>
          <w:lang w:eastAsia="ja-JP"/>
        </w:rPr>
        <w:t xml:space="preserve">egy </w:t>
      </w:r>
      <w:r w:rsidRPr="00986F85">
        <w:rPr>
          <w:rFonts w:eastAsia="MS Mincho" w:cs="Myriad Pro"/>
          <w:lang w:eastAsia="ja-JP"/>
        </w:rPr>
        <w:t>szűkebb köre minden modellben meghatározó volt – így az iparág, a régió, ezen belül is a leghátrányosabb helyzet</w:t>
      </w:r>
      <w:r w:rsidR="00E871C9" w:rsidRPr="00986F85">
        <w:rPr>
          <w:rFonts w:eastAsia="MS Mincho" w:cs="Myriad Pro"/>
          <w:lang w:eastAsia="ja-JP"/>
        </w:rPr>
        <w:t>ű kistérségbe való tartozás (LHH</w:t>
      </w:r>
      <w:r w:rsidRPr="00986F85">
        <w:rPr>
          <w:rFonts w:eastAsia="MS Mincho" w:cs="Myriad Pro"/>
          <w:lang w:eastAsia="ja-JP"/>
        </w:rPr>
        <w:t xml:space="preserve">33). Annak ellenére, hogy a végrehajtás során </w:t>
      </w:r>
      <w:r w:rsidR="00952EA8" w:rsidRPr="00986F85">
        <w:rPr>
          <w:rFonts w:eastAsia="MS Mincho" w:cs="Myriad Pro"/>
          <w:lang w:eastAsia="ja-JP"/>
        </w:rPr>
        <w:t xml:space="preserve">nem alkalmaztak iparági szűrőt: </w:t>
      </w:r>
      <w:r w:rsidR="00952EA8" w:rsidRPr="00986F85">
        <w:rPr>
          <w:rFonts w:eastAsia="MS Mincho" w:cs="Times New Roman"/>
          <w:lang w:eastAsia="ja-JP"/>
        </w:rPr>
        <w:t xml:space="preserve">fontossági sorrendben </w:t>
      </w:r>
      <w:r w:rsidR="001442EB" w:rsidRPr="00986F85">
        <w:rPr>
          <w:rFonts w:eastAsia="MS Mincho" w:cs="Times New Roman"/>
          <w:lang w:eastAsia="ja-JP"/>
        </w:rPr>
        <w:t>–</w:t>
      </w:r>
      <w:r w:rsidR="00952EA8" w:rsidRPr="00986F85">
        <w:rPr>
          <w:rFonts w:eastAsia="MS Mincho" w:cs="Times New Roman"/>
          <w:lang w:eastAsia="ja-JP"/>
        </w:rPr>
        <w:t xml:space="preserve"> </w:t>
      </w:r>
      <w:r w:rsidR="001442EB" w:rsidRPr="00986F85">
        <w:rPr>
          <w:rFonts w:eastAsia="MS Mincho" w:cs="Myriad Pro"/>
          <w:lang w:eastAsia="ja-JP"/>
        </w:rPr>
        <w:t>a bányászat/ kőfejtés</w:t>
      </w:r>
      <w:r w:rsidR="001442EB" w:rsidRPr="00986F85">
        <w:rPr>
          <w:rFonts w:eastAsia="MS Mincho" w:cs="Times New Roman"/>
          <w:lang w:eastAsia="ja-JP"/>
        </w:rPr>
        <w:t>, a</w:t>
      </w:r>
      <w:r w:rsidRPr="00986F85">
        <w:rPr>
          <w:rFonts w:eastAsia="MS Mincho" w:cs="Myriad Pro"/>
          <w:lang w:eastAsia="ja-JP"/>
        </w:rPr>
        <w:t xml:space="preserve"> feldolgozóipar, </w:t>
      </w:r>
      <w:r w:rsidR="001442EB" w:rsidRPr="00986F85">
        <w:rPr>
          <w:rFonts w:eastAsia="MS Mincho" w:cs="Myriad Pro"/>
          <w:lang w:eastAsia="ja-JP"/>
        </w:rPr>
        <w:t>az építőipar,</w:t>
      </w:r>
      <w:r w:rsidR="001442EB" w:rsidRPr="00986F85">
        <w:rPr>
          <w:rFonts w:eastAsia="MS Mincho" w:cs="Times New Roman"/>
          <w:lang w:eastAsia="ja-JP"/>
        </w:rPr>
        <w:t xml:space="preserve"> </w:t>
      </w:r>
      <w:r w:rsidRPr="00986F85">
        <w:rPr>
          <w:rFonts w:eastAsia="MS Mincho" w:cs="Myriad Pro"/>
          <w:lang w:eastAsia="ja-JP"/>
        </w:rPr>
        <w:t xml:space="preserve">az info-kommunikáció, </w:t>
      </w:r>
      <w:r w:rsidRPr="00986F85">
        <w:rPr>
          <w:rFonts w:eastAsia="MS Mincho" w:cs="Myriad Pro"/>
          <w:lang w:eastAsia="ja-JP"/>
        </w:rPr>
        <w:lastRenderedPageBreak/>
        <w:t>az oktatás</w:t>
      </w:r>
      <w:r w:rsidR="001442EB" w:rsidRPr="00986F85">
        <w:rPr>
          <w:rFonts w:eastAsia="MS Mincho" w:cs="Times New Roman"/>
          <w:lang w:eastAsia="ja-JP"/>
        </w:rPr>
        <w:t xml:space="preserve">, </w:t>
      </w:r>
      <w:r w:rsidR="001442EB" w:rsidRPr="00986F85">
        <w:rPr>
          <w:rFonts w:eastAsia="MS Mincho" w:cs="Myriad Pro"/>
          <w:lang w:eastAsia="ja-JP"/>
        </w:rPr>
        <w:t>valamint</w:t>
      </w:r>
      <w:r w:rsidR="001442EB" w:rsidRPr="00986F85">
        <w:rPr>
          <w:rFonts w:eastAsia="MS Mincho" w:cs="Times New Roman"/>
          <w:lang w:eastAsia="ja-JP"/>
        </w:rPr>
        <w:t xml:space="preserve"> a szakmai-tudományos besorolású tevékenység</w:t>
      </w:r>
      <w:r w:rsidRPr="00986F85">
        <w:rPr>
          <w:rFonts w:eastAsia="MS Mincho" w:cs="Myriad Pro"/>
          <w:lang w:eastAsia="ja-JP"/>
        </w:rPr>
        <w:t xml:space="preserve"> jelennek meg </w:t>
      </w:r>
      <w:r w:rsidR="0066135A" w:rsidRPr="00986F85">
        <w:rPr>
          <w:rFonts w:eastAsia="MS Mincho" w:cs="Times New Roman"/>
          <w:lang w:eastAsia="ja-JP"/>
        </w:rPr>
        <w:t xml:space="preserve">a </w:t>
      </w:r>
      <w:r w:rsidRPr="00986F85">
        <w:rPr>
          <w:rFonts w:eastAsia="MS Mincho" w:cs="Myriad Pro"/>
          <w:lang w:eastAsia="ja-JP"/>
        </w:rPr>
        <w:t>kezeltté</w:t>
      </w:r>
      <w:r w:rsidR="006C1421" w:rsidRPr="00986F85">
        <w:rPr>
          <w:rFonts w:eastAsia="MS Mincho" w:cs="Myriad Pro"/>
          <w:lang w:eastAsia="ja-JP"/>
        </w:rPr>
        <w:t xml:space="preserve"> válást </w:t>
      </w:r>
      <w:r w:rsidR="00E871C9" w:rsidRPr="00986F85">
        <w:rPr>
          <w:rFonts w:eastAsia="MS Mincho" w:cs="Times New Roman"/>
          <w:lang w:eastAsia="ja-JP"/>
        </w:rPr>
        <w:t>szignifikánsan</w:t>
      </w:r>
      <w:r w:rsidR="006C1421" w:rsidRPr="00986F85">
        <w:rPr>
          <w:rFonts w:eastAsia="MS Mincho" w:cs="Myriad Pro"/>
          <w:lang w:eastAsia="ja-JP"/>
        </w:rPr>
        <w:t xml:space="preserve"> valószínűsítő </w:t>
      </w:r>
      <w:r w:rsidR="00955022" w:rsidRPr="00986F85">
        <w:rPr>
          <w:rFonts w:eastAsia="MS Mincho" w:cs="Myriad Pro"/>
          <w:lang w:eastAsia="ja-JP"/>
        </w:rPr>
        <w:t>ágazatként</w:t>
      </w:r>
      <w:r w:rsidRPr="00986F85">
        <w:rPr>
          <w:rFonts w:eastAsia="MS Mincho" w:cs="Myriad Pro"/>
          <w:lang w:eastAsia="ja-JP"/>
        </w:rPr>
        <w:t>, míg a mezőgazdaság hatása erősen negatív. (Ez utóbbi nem meglepő az AVOP-pal szemben fennálló lehatárolás miatt.</w:t>
      </w:r>
      <w:r w:rsidR="00B474DD" w:rsidRPr="00986F85">
        <w:rPr>
          <w:rFonts w:eastAsia="MS Mincho" w:cs="Times New Roman"/>
          <w:lang w:eastAsia="ja-JP"/>
        </w:rPr>
        <w:t xml:space="preserve"> Az egyes ágazatok befolyásának értelmezésében finomít a hazai vállalkozások iparági gyakorisága is.</w:t>
      </w:r>
      <w:r w:rsidRPr="00986F85">
        <w:rPr>
          <w:rFonts w:eastAsia="MS Mincho" w:cs="Myriad Pro"/>
          <w:lang w:eastAsia="ja-JP"/>
        </w:rPr>
        <w:t>) A régiók te</w:t>
      </w:r>
      <w:r w:rsidR="00B474DD" w:rsidRPr="00986F85">
        <w:rPr>
          <w:rFonts w:eastAsia="MS Mincho" w:cs="Myriad Pro"/>
          <w:lang w:eastAsia="ja-JP"/>
        </w:rPr>
        <w:t>kintetében Közép-Magyarország</w:t>
      </w:r>
      <w:r w:rsidRPr="00986F85">
        <w:rPr>
          <w:rFonts w:eastAsia="MS Mincho" w:cs="Myriad Pro"/>
          <w:lang w:eastAsia="ja-JP"/>
        </w:rPr>
        <w:t xml:space="preserve"> negatív hatással van arra, hogy egy cég pályázatot nyer</w:t>
      </w:r>
      <w:r w:rsidR="0066135A" w:rsidRPr="00986F85">
        <w:rPr>
          <w:rFonts w:eastAsia="MS Mincho" w:cs="Times New Roman"/>
          <w:lang w:eastAsia="ja-JP"/>
        </w:rPr>
        <w:t>jen</w:t>
      </w:r>
      <w:r w:rsidR="00B474DD" w:rsidRPr="00986F85">
        <w:rPr>
          <w:rFonts w:eastAsia="MS Mincho" w:cs="Times New Roman"/>
          <w:lang w:eastAsia="ja-JP"/>
        </w:rPr>
        <w:t xml:space="preserve"> (ezt részben a GOP nyertesek, alapvetően konvergencia régiókbeli dominanciája magyarázza)</w:t>
      </w:r>
      <w:r w:rsidRPr="00986F85">
        <w:rPr>
          <w:rFonts w:eastAsia="MS Mincho" w:cs="Myriad Pro"/>
          <w:lang w:eastAsia="ja-JP"/>
        </w:rPr>
        <w:t xml:space="preserve">, míg </w:t>
      </w:r>
      <w:r w:rsidR="00E871C9" w:rsidRPr="00986F85">
        <w:rPr>
          <w:rFonts w:eastAsia="MS Mincho" w:cs="Times New Roman"/>
          <w:lang w:eastAsia="ja-JP"/>
        </w:rPr>
        <w:t>a leghátrányosabb helyzetű</w:t>
      </w:r>
      <w:r w:rsidRPr="00986F85">
        <w:rPr>
          <w:rFonts w:eastAsia="MS Mincho" w:cs="Myriad Pro"/>
          <w:lang w:eastAsia="ja-JP"/>
        </w:rPr>
        <w:t xml:space="preserve"> kistérségben</w:t>
      </w:r>
      <w:r w:rsidR="008B1FCD" w:rsidRPr="00986F85">
        <w:rPr>
          <w:rFonts w:eastAsia="MS Mincho" w:cs="Times New Roman"/>
          <w:lang w:eastAsia="ja-JP"/>
        </w:rPr>
        <w:t xml:space="preserve"> (LHH33)</w:t>
      </w:r>
      <w:r w:rsidRPr="00986F85">
        <w:rPr>
          <w:rFonts w:eastAsia="MS Mincho" w:cs="Myriad Pro"/>
          <w:lang w:eastAsia="ja-JP"/>
        </w:rPr>
        <w:t xml:space="preserve"> jegyzett székhely erősen javítja a nyerés esély</w:t>
      </w:r>
      <w:r w:rsidR="00955022" w:rsidRPr="00986F85">
        <w:rPr>
          <w:rFonts w:eastAsia="MS Mincho" w:cs="Times New Roman"/>
          <w:lang w:eastAsia="ja-JP"/>
        </w:rPr>
        <w:t>é</w:t>
      </w:r>
      <w:r w:rsidRPr="00986F85">
        <w:rPr>
          <w:rFonts w:eastAsia="MS Mincho" w:cs="Myriad Pro"/>
          <w:lang w:eastAsia="ja-JP"/>
        </w:rPr>
        <w:t>t.</w:t>
      </w:r>
      <w:r w:rsidR="008B1FCD" w:rsidRPr="00986F85">
        <w:rPr>
          <w:rFonts w:eastAsia="MS Mincho" w:cs="Times New Roman"/>
          <w:lang w:eastAsia="ja-JP"/>
        </w:rPr>
        <w:t xml:space="preserve"> Ez az eredmény úgy túnhet indokolja az elbírálások során a pozitív diszkriminációt.</w:t>
      </w:r>
    </w:p>
    <w:p w14:paraId="4C58D9BF" w14:textId="77777777" w:rsidR="002B2F48" w:rsidRPr="00986F85" w:rsidRDefault="002B2F48" w:rsidP="002B2F48">
      <w:pPr>
        <w:widowControl w:val="0"/>
        <w:autoSpaceDE w:val="0"/>
        <w:autoSpaceDN w:val="0"/>
        <w:adjustRightInd w:val="0"/>
        <w:spacing w:line="360" w:lineRule="auto"/>
        <w:jc w:val="both"/>
        <w:rPr>
          <w:rFonts w:eastAsia="MS Mincho"/>
          <w:lang w:eastAsia="ja-JP"/>
        </w:rPr>
      </w:pPr>
      <w:r w:rsidRPr="00986F85">
        <w:rPr>
          <w:rFonts w:eastAsia="MS Mincho" w:cs="Myriad Pro"/>
          <w:lang w:eastAsia="ja-JP"/>
        </w:rPr>
        <w:t>A vállalat kora nemlineáris kapcsolatban van a kezeltté válás valószínűsé</w:t>
      </w:r>
      <w:r w:rsidR="0066135A" w:rsidRPr="00986F85">
        <w:rPr>
          <w:rFonts w:eastAsia="MS Mincho" w:cs="Myriad Pro"/>
          <w:lang w:eastAsia="ja-JP"/>
        </w:rPr>
        <w:t>gével</w:t>
      </w:r>
      <w:r w:rsidRPr="00986F85">
        <w:rPr>
          <w:rFonts w:eastAsia="MS Mincho" w:cs="Myriad Pro"/>
          <w:lang w:eastAsia="ja-JP"/>
        </w:rPr>
        <w:t>. Ha egy cég nagyon fiatal</w:t>
      </w:r>
      <w:r w:rsidR="003A1710" w:rsidRPr="00986F85">
        <w:rPr>
          <w:rFonts w:eastAsia="MS Mincho" w:cs="Myriad Pro"/>
          <w:lang w:eastAsia="ja-JP"/>
        </w:rPr>
        <w:t>,</w:t>
      </w:r>
      <w:r w:rsidRPr="00986F85">
        <w:rPr>
          <w:rFonts w:eastAsia="MS Mincho" w:cs="Myriad Pro"/>
          <w:lang w:eastAsia="ja-JP"/>
        </w:rPr>
        <w:t xml:space="preserve"> az csökkenti a pályázati nyerés </w:t>
      </w:r>
      <w:r w:rsidR="0066135A" w:rsidRPr="00986F85">
        <w:rPr>
          <w:rFonts w:eastAsia="MS Mincho" w:cs="Times New Roman"/>
          <w:lang w:eastAsia="ja-JP"/>
        </w:rPr>
        <w:t>esélyét</w:t>
      </w:r>
      <w:r w:rsidR="00DC7643" w:rsidRPr="00986F85">
        <w:rPr>
          <w:rFonts w:eastAsia="MS Mincho" w:cs="Times New Roman"/>
          <w:lang w:eastAsia="ja-JP"/>
        </w:rPr>
        <w:t xml:space="preserve">. </w:t>
      </w:r>
      <w:r w:rsidRPr="00986F85">
        <w:rPr>
          <w:rFonts w:eastAsia="MS Mincho" w:cs="Myriad Pro"/>
          <w:lang w:eastAsia="ja-JP"/>
        </w:rPr>
        <w:t xml:space="preserve">A legtöbb modellben a létszám is szignifikáns, </w:t>
      </w:r>
      <w:r w:rsidR="00955022" w:rsidRPr="00986F85">
        <w:rPr>
          <w:rFonts w:eastAsia="MS Mincho" w:cs="Times New Roman"/>
          <w:lang w:eastAsia="ja-JP"/>
        </w:rPr>
        <w:t xml:space="preserve">azonban a hatás iránya változó – attól függően, hogy milyen specifikációt akalmazunk és melyik almintára végezzük el a becslést. Így a foglalkoztatotti létszám és a nyerési esély összefüggése nem egyértelmű. </w:t>
      </w:r>
    </w:p>
    <w:p w14:paraId="07A64D8E" w14:textId="77777777" w:rsidR="008B1FCD" w:rsidRPr="00986F85" w:rsidRDefault="00955022" w:rsidP="002B2F48">
      <w:pPr>
        <w:spacing w:after="0" w:line="360" w:lineRule="auto"/>
        <w:jc w:val="both"/>
        <w:rPr>
          <w:rFonts w:eastAsia="MS Mincho" w:cs="Times New Roman"/>
          <w:lang w:eastAsia="ja-JP"/>
        </w:rPr>
      </w:pPr>
      <w:r w:rsidRPr="00986F85">
        <w:rPr>
          <w:rFonts w:eastAsia="MS Mincho" w:cs="Myriad Pro"/>
          <w:lang w:eastAsia="ja-JP"/>
        </w:rPr>
        <w:t xml:space="preserve">A tárgyi eszközök, az árbevétel, a </w:t>
      </w:r>
      <w:r w:rsidR="002B2F48" w:rsidRPr="00986F85">
        <w:rPr>
          <w:rFonts w:eastAsia="MS Mincho" w:cs="Myriad Pro"/>
          <w:lang w:eastAsia="ja-JP"/>
        </w:rPr>
        <w:t>jegyzett tőke, illetve egyéb, finom</w:t>
      </w:r>
      <w:r w:rsidR="00B474DD" w:rsidRPr="00986F85">
        <w:rPr>
          <w:rFonts w:eastAsia="MS Mincho" w:cs="Times New Roman"/>
          <w:lang w:eastAsia="ja-JP"/>
        </w:rPr>
        <w:t>abb</w:t>
      </w:r>
      <w:r w:rsidR="002B2F48" w:rsidRPr="00986F85">
        <w:rPr>
          <w:rFonts w:eastAsia="MS Mincho" w:cs="Myriad Pro"/>
          <w:lang w:eastAsia="ja-JP"/>
        </w:rPr>
        <w:t xml:space="preserve"> nyereség és tőkeellátottsági mutatók (likviditási ráta, </w:t>
      </w:r>
      <w:r w:rsidRPr="00986F85">
        <w:rPr>
          <w:rFonts w:eastAsia="MS Mincho" w:cs="Times New Roman"/>
          <w:lang w:eastAsia="ja-JP"/>
        </w:rPr>
        <w:t xml:space="preserve">tőkeintenzitás, </w:t>
      </w:r>
      <w:r w:rsidR="002B2F48" w:rsidRPr="00986F85">
        <w:rPr>
          <w:rFonts w:eastAsia="MS Mincho" w:cs="Myriad Pro"/>
          <w:lang w:eastAsia="ja-JP"/>
        </w:rPr>
        <w:t>ROA) érdemben befolyásolják a nyerési esélyt – azonban ezek szignifikanciája változó a különböző modellekben. A legjobb illeszkedésű becslés</w:t>
      </w:r>
      <w:r w:rsidR="00790AA2" w:rsidRPr="00986F85">
        <w:rPr>
          <w:rFonts w:eastAsia="MS Mincho" w:cs="Times New Roman"/>
          <w:lang w:eastAsia="ja-JP"/>
        </w:rPr>
        <w:t xml:space="preserve"> esetében</w:t>
      </w:r>
      <w:r w:rsidR="002B2F48" w:rsidRPr="00986F85">
        <w:rPr>
          <w:rFonts w:eastAsia="MS Mincho" w:cs="Myriad Pro"/>
          <w:lang w:eastAsia="ja-JP"/>
        </w:rPr>
        <w:t xml:space="preserve"> (lásd </w:t>
      </w:r>
      <w:r w:rsidR="00103F74" w:rsidRPr="00986F85">
        <w:rPr>
          <w:rFonts w:eastAsia="MS Mincho" w:cs="Times New Roman"/>
          <w:lang w:eastAsia="ja-JP"/>
        </w:rPr>
        <w:t xml:space="preserve">16. </w:t>
      </w:r>
      <w:r w:rsidR="002B2F48" w:rsidRPr="00986F85">
        <w:rPr>
          <w:rFonts w:eastAsia="MS Mincho" w:cs="Myriad Pro"/>
          <w:lang w:eastAsia="ja-JP"/>
        </w:rPr>
        <w:t>táblázat) a tárgyi eszköz (ennek logaritmusa) pozitív hatást gyakorol, a jegyzett tőke viszont nem szignifikáns. Az egy főre jutó tárgyi eszközök értéke negatív hatással van a kezeltté válás v</w:t>
      </w:r>
      <w:r w:rsidR="00790AA2" w:rsidRPr="00986F85">
        <w:rPr>
          <w:rFonts w:eastAsia="MS Mincho" w:cs="Myriad Pro"/>
          <w:lang w:eastAsia="ja-JP"/>
        </w:rPr>
        <w:t>alószínűségére, azaz minél tőke-</w:t>
      </w:r>
      <w:r w:rsidR="002B2F48" w:rsidRPr="00986F85">
        <w:rPr>
          <w:rFonts w:eastAsia="MS Mincho" w:cs="Myriad Pro"/>
          <w:lang w:eastAsia="ja-JP"/>
        </w:rPr>
        <w:t>intenzivebb egy cég</w:t>
      </w:r>
      <w:r w:rsidR="003A1710" w:rsidRPr="00986F85">
        <w:rPr>
          <w:rFonts w:eastAsia="MS Mincho" w:cs="Myriad Pro"/>
          <w:lang w:eastAsia="ja-JP"/>
        </w:rPr>
        <w:t>,</w:t>
      </w:r>
      <w:r w:rsidR="002B2F48" w:rsidRPr="00986F85">
        <w:rPr>
          <w:rFonts w:eastAsia="MS Mincho" w:cs="Myriad Pro"/>
          <w:lang w:eastAsia="ja-JP"/>
        </w:rPr>
        <w:t xml:space="preserve"> annál kisebb az esélye, hogy pályázatot nyer. </w:t>
      </w:r>
    </w:p>
    <w:p w14:paraId="11F9F9E9" w14:textId="77777777" w:rsidR="008B1FCD" w:rsidRPr="00986F85" w:rsidRDefault="008B1FCD" w:rsidP="002B2F48">
      <w:pPr>
        <w:spacing w:after="0" w:line="360" w:lineRule="auto"/>
        <w:jc w:val="both"/>
        <w:rPr>
          <w:rFonts w:eastAsia="MS Mincho" w:cs="Times New Roman"/>
          <w:lang w:eastAsia="ja-JP"/>
        </w:rPr>
      </w:pPr>
    </w:p>
    <w:p w14:paraId="3DF51166" w14:textId="77777777" w:rsidR="0066366C" w:rsidRPr="00986F85" w:rsidRDefault="002B2F48" w:rsidP="002B2F48">
      <w:pPr>
        <w:spacing w:after="0" w:line="360" w:lineRule="auto"/>
        <w:jc w:val="both"/>
        <w:rPr>
          <w:rFonts w:eastAsia="MS Mincho" w:cs="Times New Roman"/>
          <w:lang w:eastAsia="ja-JP"/>
        </w:rPr>
      </w:pPr>
      <w:r w:rsidRPr="00986F85">
        <w:rPr>
          <w:rFonts w:eastAsia="MS Mincho" w:cs="Myriad Pro"/>
          <w:lang w:eastAsia="ja-JP"/>
        </w:rPr>
        <w:t>A likviditási ráta, melyet a forgóeszközök és a rövid lejáratú kötelezettségek hányadosával mértünk</w:t>
      </w:r>
      <w:r w:rsidR="003A1710" w:rsidRPr="00986F85">
        <w:rPr>
          <w:rFonts w:eastAsia="MS Mincho" w:cs="Myriad Pro"/>
          <w:lang w:eastAsia="ja-JP"/>
        </w:rPr>
        <w:t>,</w:t>
      </w:r>
      <w:r w:rsidRPr="00986F85">
        <w:rPr>
          <w:rFonts w:eastAsia="MS Mincho" w:cs="Myriad Pro"/>
          <w:lang w:eastAsia="ja-JP"/>
        </w:rPr>
        <w:t xml:space="preserve"> szintén negatív hatással van a kezeltté válás </w:t>
      </w:r>
      <w:r w:rsidR="00790AA2" w:rsidRPr="00986F85">
        <w:rPr>
          <w:rFonts w:eastAsia="MS Mincho" w:cs="Times New Roman"/>
          <w:lang w:eastAsia="ja-JP"/>
        </w:rPr>
        <w:t>esélyére</w:t>
      </w:r>
      <w:r w:rsidRPr="00986F85">
        <w:rPr>
          <w:rFonts w:eastAsia="MS Mincho" w:cs="Myriad Pro"/>
          <w:lang w:eastAsia="ja-JP"/>
        </w:rPr>
        <w:t xml:space="preserve">, csakúgy, mint a hozzáadott érték logaritmusa. </w:t>
      </w:r>
      <w:r w:rsidR="00E0545C" w:rsidRPr="00986F85">
        <w:rPr>
          <w:rFonts w:eastAsia="MS Mincho" w:cs="Times New Roman"/>
          <w:lang w:eastAsia="ja-JP"/>
        </w:rPr>
        <w:t>(</w:t>
      </w:r>
      <w:r w:rsidRPr="00986F85">
        <w:rPr>
          <w:rFonts w:eastAsia="MS Mincho" w:cs="Myriad Pro"/>
          <w:lang w:eastAsia="ja-JP"/>
        </w:rPr>
        <w:t>A hozzáadott értéket az összes személyi jellegű ráfordítás az értékcsökkenés és az adózás előtti eredmény összegeként értelmeztük.</w:t>
      </w:r>
      <w:r w:rsidR="00E0545C" w:rsidRPr="00986F85">
        <w:rPr>
          <w:rFonts w:eastAsia="MS Mincho" w:cs="Times New Roman"/>
          <w:lang w:eastAsia="ja-JP"/>
        </w:rPr>
        <w:t>)</w:t>
      </w:r>
      <w:r w:rsidRPr="00986F85">
        <w:rPr>
          <w:rFonts w:eastAsia="MS Mincho" w:cs="Myriad Pro"/>
          <w:lang w:eastAsia="ja-JP"/>
        </w:rPr>
        <w:t xml:space="preserve"> A magasabb nettó árbevétel és az eszközarányos nyereség (adózott eredmény/összes eszköz) növeli a kezeltté válás valószínűségét.</w:t>
      </w:r>
      <w:r w:rsidR="00790AA2" w:rsidRPr="00986F85">
        <w:rPr>
          <w:rFonts w:eastAsia="MS Mincho" w:cs="Times New Roman"/>
          <w:lang w:eastAsia="ja-JP"/>
        </w:rPr>
        <w:t xml:space="preserve"> A </w:t>
      </w:r>
      <w:r w:rsidR="00955022" w:rsidRPr="00986F85">
        <w:rPr>
          <w:rFonts w:eastAsia="MS Mincho" w:cs="Times New Roman"/>
          <w:lang w:eastAsia="ja-JP"/>
        </w:rPr>
        <w:t>tágabb</w:t>
      </w:r>
      <w:r w:rsidR="00790AA2" w:rsidRPr="00986F85">
        <w:rPr>
          <w:rFonts w:eastAsia="MS Mincho" w:cs="Times New Roman"/>
          <w:lang w:eastAsia="ja-JP"/>
        </w:rPr>
        <w:t xml:space="preserve"> almintára futtatott becsléseink érdemben </w:t>
      </w:r>
      <w:r w:rsidR="00790AA2" w:rsidRPr="00986F85">
        <w:rPr>
          <w:rFonts w:eastAsia="MS Mincho" w:cs="Times New Roman"/>
          <w:lang w:eastAsia="ja-JP"/>
        </w:rPr>
        <w:lastRenderedPageBreak/>
        <w:t>megerősítik ezeket az eredményeket (</w:t>
      </w:r>
      <w:r w:rsidR="00EC5991" w:rsidRPr="00986F85">
        <w:rPr>
          <w:rFonts w:eastAsia="MS Mincho" w:cs="Times New Roman"/>
          <w:lang w:eastAsia="ja-JP"/>
        </w:rPr>
        <w:t>l</w:t>
      </w:r>
      <w:r w:rsidR="00790AA2" w:rsidRPr="00986F85">
        <w:rPr>
          <w:rFonts w:eastAsia="MS Mincho" w:cs="Times New Roman"/>
          <w:lang w:eastAsia="ja-JP"/>
        </w:rPr>
        <w:t>ásd</w:t>
      </w:r>
      <w:r w:rsidR="008B1FCD" w:rsidRPr="00986F85">
        <w:rPr>
          <w:rFonts w:eastAsia="MS Mincho" w:cs="Times New Roman"/>
          <w:lang w:eastAsia="ja-JP"/>
        </w:rPr>
        <w:t xml:space="preserve"> </w:t>
      </w:r>
      <w:r w:rsidR="00955022" w:rsidRPr="00986F85">
        <w:rPr>
          <w:rFonts w:eastAsia="MS Mincho" w:cs="Times New Roman"/>
          <w:lang w:eastAsia="ja-JP"/>
        </w:rPr>
        <w:t>a 3</w:t>
      </w:r>
      <w:r w:rsidR="00790AA2" w:rsidRPr="00986F85">
        <w:rPr>
          <w:rFonts w:eastAsia="MS Mincho" w:cs="Times New Roman"/>
          <w:lang w:eastAsia="ja-JP"/>
        </w:rPr>
        <w:t xml:space="preserve"> fő feletti létszámmal rendelkező cégek almintájára</w:t>
      </w:r>
      <w:r w:rsidR="008B1FCD" w:rsidRPr="00986F85">
        <w:rPr>
          <w:rFonts w:eastAsia="MS Mincho" w:cs="Times New Roman"/>
          <w:lang w:eastAsia="ja-JP"/>
        </w:rPr>
        <w:t xml:space="preserve"> végzett becslések eredménytáblái a I. sz. Módszertani Mellékletben</w:t>
      </w:r>
      <w:r w:rsidR="00790AA2" w:rsidRPr="00986F85">
        <w:rPr>
          <w:rFonts w:eastAsia="MS Mincho" w:cs="Times New Roman"/>
          <w:lang w:eastAsia="ja-JP"/>
        </w:rPr>
        <w:t>.)</w:t>
      </w:r>
      <w:r w:rsidR="00EC5991" w:rsidRPr="00986F85">
        <w:rPr>
          <w:rFonts w:eastAsia="MS Mincho" w:cs="Times New Roman"/>
          <w:lang w:eastAsia="ja-JP"/>
        </w:rPr>
        <w:t xml:space="preserve"> </w:t>
      </w:r>
    </w:p>
    <w:p w14:paraId="7DA940E8" w14:textId="77777777" w:rsidR="0066366C" w:rsidRPr="00986F85" w:rsidRDefault="0066366C" w:rsidP="002B2F48">
      <w:pPr>
        <w:spacing w:after="0" w:line="360" w:lineRule="auto"/>
        <w:jc w:val="both"/>
        <w:rPr>
          <w:rFonts w:eastAsia="MS Mincho" w:cs="Times New Roman"/>
          <w:lang w:eastAsia="ja-JP"/>
        </w:rPr>
      </w:pPr>
    </w:p>
    <w:p w14:paraId="612BEFBA" w14:textId="77777777" w:rsidR="00B474DD" w:rsidRPr="00986F85" w:rsidRDefault="00B42279" w:rsidP="002B2F48">
      <w:pPr>
        <w:spacing w:after="0" w:line="360" w:lineRule="auto"/>
        <w:jc w:val="both"/>
        <w:rPr>
          <w:rFonts w:eastAsia="MS Mincho" w:cs="Times New Roman"/>
          <w:lang w:eastAsia="ja-JP"/>
        </w:rPr>
      </w:pPr>
      <w:r w:rsidRPr="00986F85">
        <w:rPr>
          <w:rFonts w:eastAsia="MS Mincho" w:cs="Times New Roman"/>
          <w:lang w:eastAsia="ja-JP"/>
        </w:rPr>
        <w:t>Az export tevékenység pedig egyértelműen negatív hatással van a nyerési esélyre  - legalább is azon becsléseink szerint, ahol az árbevétel arányában mért export-bevételt is szerepeltettük a magyarázó változók között. Mivel más hazai vállalkozások körében tett vizsgálatok megállapították, hogy az export-orientáció és a vállalati növekedés erősen hatnak egymásra (Békés-Muraközy 2013), érdemes lenne egy kevésbé hiányos és korlátozott EMIR-NAV összekapcsolt vállalati mintán vizsgálni az export-orientáció és a pá</w:t>
      </w:r>
      <w:r w:rsidR="00A650B7" w:rsidRPr="00986F85">
        <w:rPr>
          <w:rFonts w:eastAsia="MS Mincho" w:cs="Times New Roman"/>
          <w:lang w:eastAsia="ja-JP"/>
        </w:rPr>
        <w:t xml:space="preserve">lyázási hajlandóság, illetve a kapcsolódó </w:t>
      </w:r>
      <w:r w:rsidRPr="00986F85">
        <w:rPr>
          <w:rFonts w:eastAsia="MS Mincho" w:cs="Times New Roman"/>
          <w:lang w:eastAsia="ja-JP"/>
        </w:rPr>
        <w:t xml:space="preserve">támogatások </w:t>
      </w:r>
      <w:r w:rsidR="00A650B7" w:rsidRPr="00986F85">
        <w:rPr>
          <w:rFonts w:eastAsia="MS Mincho" w:cs="Times New Roman"/>
          <w:lang w:eastAsia="ja-JP"/>
        </w:rPr>
        <w:t xml:space="preserve">esetleges </w:t>
      </w:r>
      <w:r w:rsidRPr="00986F85">
        <w:rPr>
          <w:rFonts w:eastAsia="MS Mincho" w:cs="Times New Roman"/>
          <w:lang w:eastAsia="ja-JP"/>
        </w:rPr>
        <w:t xml:space="preserve">hatásait. </w:t>
      </w:r>
    </w:p>
    <w:p w14:paraId="6D989EB0" w14:textId="77777777" w:rsidR="00255252" w:rsidRPr="00986F85" w:rsidRDefault="007E1F98" w:rsidP="004A1D51">
      <w:pPr>
        <w:pStyle w:val="Kpalrs"/>
        <w:keepNext/>
        <w:jc w:val="center"/>
      </w:pPr>
      <w:r w:rsidRPr="00986F85">
        <w:fldChar w:fldCharType="begin"/>
      </w:r>
      <w:r w:rsidR="00255252" w:rsidRPr="00986F85">
        <w:instrText xml:space="preserve"> SEQ táblázat \* ARABIC </w:instrText>
      </w:r>
      <w:r w:rsidRPr="00986F85">
        <w:fldChar w:fldCharType="separate"/>
      </w:r>
      <w:bookmarkStart w:id="54" w:name="_Toc230854362"/>
      <w:r w:rsidR="00255252" w:rsidRPr="00986F85">
        <w:t>16</w:t>
      </w:r>
      <w:r w:rsidRPr="00986F85">
        <w:fldChar w:fldCharType="end"/>
      </w:r>
      <w:r w:rsidR="00255252" w:rsidRPr="00986F85">
        <w:t>. táblázat: Szelekciós modell eredményei</w:t>
      </w:r>
      <w:r w:rsidR="00CB73DE" w:rsidRPr="00986F85">
        <w:t xml:space="preserve"> – GOP2.1.1.A és KMOP1.2.1.A</w:t>
      </w:r>
      <w:r w:rsidR="00255252" w:rsidRPr="00986F85">
        <w:t>, 2006</w:t>
      </w:r>
      <w:bookmarkEnd w:id="54"/>
    </w:p>
    <w:tbl>
      <w:tblPr>
        <w:tblW w:w="8748" w:type="dxa"/>
        <w:tblBorders>
          <w:top w:val="nil"/>
          <w:left w:val="nil"/>
          <w:right w:val="nil"/>
        </w:tblBorders>
        <w:tblLook w:val="0000" w:firstRow="0" w:lastRow="0" w:firstColumn="0" w:lastColumn="0" w:noHBand="0" w:noVBand="0"/>
      </w:tblPr>
      <w:tblGrid>
        <w:gridCol w:w="4786"/>
        <w:gridCol w:w="1985"/>
        <w:gridCol w:w="1977"/>
      </w:tblGrid>
      <w:tr w:rsidR="00E8738C" w:rsidRPr="00986F85" w14:paraId="41D74963" w14:textId="77777777" w:rsidTr="007517F0">
        <w:trPr>
          <w:trHeight w:hRule="exact" w:val="515"/>
          <w:tblHeader/>
        </w:trPr>
        <w:tc>
          <w:tcPr>
            <w:tcW w:w="4786" w:type="dxa"/>
            <w:tcBorders>
              <w:top w:val="single" w:sz="8" w:space="0" w:color="BFBFBF"/>
              <w:left w:val="single" w:sz="8" w:space="0" w:color="BFBFBF"/>
              <w:bottom w:val="single" w:sz="8" w:space="0" w:color="BFBFBF"/>
              <w:right w:val="single" w:sz="8" w:space="0" w:color="BFBFBF"/>
            </w:tcBorders>
            <w:shd w:val="clear" w:color="auto" w:fill="B10000"/>
            <w:tcMar>
              <w:top w:w="100" w:type="nil"/>
              <w:right w:w="100" w:type="nil"/>
            </w:tcMar>
          </w:tcPr>
          <w:p w14:paraId="130CCA44" w14:textId="77777777" w:rsidR="00E8738C" w:rsidRPr="00986F85" w:rsidRDefault="007517F0" w:rsidP="007517F0">
            <w:pPr>
              <w:widowControl w:val="0"/>
              <w:autoSpaceDE w:val="0"/>
              <w:autoSpaceDN w:val="0"/>
              <w:adjustRightInd w:val="0"/>
              <w:spacing w:line="240" w:lineRule="auto"/>
              <w:rPr>
                <w:rFonts w:eastAsia="MS Mincho"/>
                <w:b/>
                <w:sz w:val="20"/>
                <w:szCs w:val="20"/>
                <w:lang w:val="en-US" w:eastAsia="ja-JP"/>
              </w:rPr>
            </w:pPr>
            <w:r w:rsidRPr="00986F85">
              <w:rPr>
                <w:rFonts w:eastAsia="MS Mincho" w:cs="Times New Roman"/>
                <w:b/>
                <w:sz w:val="20"/>
                <w:szCs w:val="20"/>
                <w:lang w:val="en-US" w:eastAsia="ja-JP"/>
              </w:rPr>
              <w:t>Magyarázó v</w:t>
            </w:r>
            <w:r w:rsidR="00E8738C" w:rsidRPr="00986F85">
              <w:rPr>
                <w:rFonts w:eastAsia="MS Mincho" w:cs="Myriad Pro"/>
                <w:b/>
                <w:sz w:val="20"/>
                <w:szCs w:val="20"/>
                <w:lang w:val="en-US" w:eastAsia="ja-JP"/>
              </w:rPr>
              <w:t>áltozók</w:t>
            </w:r>
          </w:p>
        </w:tc>
        <w:tc>
          <w:tcPr>
            <w:tcW w:w="1985" w:type="dxa"/>
            <w:tcBorders>
              <w:top w:val="single" w:sz="8" w:space="0" w:color="BFBFBF"/>
              <w:left w:val="single" w:sz="8" w:space="0" w:color="BFBFBF"/>
              <w:bottom w:val="single" w:sz="8" w:space="0" w:color="BFBFBF"/>
              <w:right w:val="single" w:sz="8" w:space="0" w:color="BFBFBF"/>
            </w:tcBorders>
            <w:shd w:val="clear" w:color="auto" w:fill="B10000"/>
            <w:tcMar>
              <w:top w:w="100" w:type="nil"/>
              <w:right w:w="100" w:type="nil"/>
            </w:tcMar>
          </w:tcPr>
          <w:p w14:paraId="6CB83DC9" w14:textId="77777777" w:rsidR="00E8738C" w:rsidRPr="00986F85" w:rsidRDefault="00E8738C" w:rsidP="007517F0">
            <w:pPr>
              <w:widowControl w:val="0"/>
              <w:autoSpaceDE w:val="0"/>
              <w:autoSpaceDN w:val="0"/>
              <w:adjustRightInd w:val="0"/>
              <w:spacing w:line="240" w:lineRule="auto"/>
              <w:jc w:val="right"/>
              <w:rPr>
                <w:rFonts w:eastAsia="MS Mincho"/>
                <w:b/>
                <w:sz w:val="20"/>
                <w:szCs w:val="20"/>
                <w:lang w:val="en-US" w:eastAsia="ja-JP"/>
              </w:rPr>
            </w:pPr>
            <w:r w:rsidRPr="00986F85">
              <w:rPr>
                <w:rFonts w:eastAsia="MS Mincho" w:cs="Myriad Pro"/>
                <w:b/>
                <w:sz w:val="20"/>
                <w:szCs w:val="20"/>
                <w:lang w:val="en-US" w:eastAsia="ja-JP"/>
              </w:rPr>
              <w:t xml:space="preserve">GOP A – KMOP </w:t>
            </w:r>
            <w:r w:rsidR="00A650B7" w:rsidRPr="00986F85">
              <w:rPr>
                <w:rFonts w:eastAsia="MS Mincho" w:cs="Times New Roman"/>
                <w:b/>
                <w:sz w:val="20"/>
                <w:szCs w:val="20"/>
                <w:lang w:val="en-US" w:eastAsia="ja-JP"/>
              </w:rPr>
              <w:t>v</w:t>
            </w:r>
            <w:r w:rsidRPr="00986F85">
              <w:rPr>
                <w:rFonts w:eastAsia="MS Mincho" w:cs="Myriad Pro"/>
                <w:b/>
                <w:sz w:val="20"/>
                <w:szCs w:val="20"/>
                <w:lang w:val="en-US" w:eastAsia="ja-JP"/>
              </w:rPr>
              <w:t>A</w:t>
            </w:r>
            <w:r w:rsidR="007517F0" w:rsidRPr="00986F85">
              <w:rPr>
                <w:rFonts w:eastAsia="MS Mincho" w:cs="Times New Roman"/>
                <w:b/>
                <w:sz w:val="20"/>
                <w:szCs w:val="20"/>
                <w:lang w:val="en-US" w:eastAsia="ja-JP"/>
              </w:rPr>
              <w:t xml:space="preserve"> kezelt, </w:t>
            </w:r>
            <w:r w:rsidRPr="00986F85">
              <w:rPr>
                <w:rFonts w:eastAsia="MS Mincho" w:cs="Myriad Pro"/>
                <w:b/>
                <w:sz w:val="20"/>
                <w:szCs w:val="20"/>
                <w:lang w:val="en-US" w:eastAsia="ja-JP"/>
              </w:rPr>
              <w:t>2007-2011</w:t>
            </w:r>
          </w:p>
        </w:tc>
        <w:tc>
          <w:tcPr>
            <w:tcW w:w="1977" w:type="dxa"/>
            <w:tcBorders>
              <w:top w:val="single" w:sz="8" w:space="0" w:color="BFBFBF"/>
              <w:left w:val="single" w:sz="8" w:space="0" w:color="BFBFBF"/>
              <w:bottom w:val="single" w:sz="8" w:space="0" w:color="BFBFBF"/>
              <w:right w:val="single" w:sz="8" w:space="0" w:color="BFBFBF"/>
            </w:tcBorders>
            <w:shd w:val="clear" w:color="auto" w:fill="B10000"/>
            <w:tcMar>
              <w:top w:w="100" w:type="nil"/>
              <w:right w:w="100" w:type="nil"/>
            </w:tcMar>
          </w:tcPr>
          <w:p w14:paraId="732732DD" w14:textId="77777777" w:rsidR="00E8738C" w:rsidRPr="00986F85" w:rsidRDefault="00E8738C" w:rsidP="007517F0">
            <w:pPr>
              <w:widowControl w:val="0"/>
              <w:autoSpaceDE w:val="0"/>
              <w:autoSpaceDN w:val="0"/>
              <w:adjustRightInd w:val="0"/>
              <w:spacing w:line="240" w:lineRule="auto"/>
              <w:jc w:val="right"/>
              <w:rPr>
                <w:rFonts w:eastAsia="MS Mincho"/>
                <w:b/>
                <w:sz w:val="20"/>
                <w:szCs w:val="20"/>
                <w:lang w:val="en-US" w:eastAsia="ja-JP"/>
              </w:rPr>
            </w:pPr>
            <w:r w:rsidRPr="00986F85">
              <w:rPr>
                <w:rFonts w:eastAsia="MS Mincho" w:cs="Myriad Pro"/>
                <w:b/>
                <w:sz w:val="20"/>
                <w:szCs w:val="20"/>
                <w:lang w:val="en-US" w:eastAsia="ja-JP"/>
              </w:rPr>
              <w:t>Marginális hatások</w:t>
            </w:r>
          </w:p>
        </w:tc>
      </w:tr>
      <w:tr w:rsidR="00E8738C" w:rsidRPr="00986F85" w14:paraId="583CF01F"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7B27339A" w14:textId="77777777" w:rsidR="00E8738C" w:rsidRPr="00986F85" w:rsidRDefault="00E8738C" w:rsidP="007517F0">
            <w:pPr>
              <w:widowControl w:val="0"/>
              <w:autoSpaceDE w:val="0"/>
              <w:autoSpaceDN w:val="0"/>
              <w:adjustRightInd w:val="0"/>
              <w:spacing w:line="240" w:lineRule="auto"/>
              <w:rPr>
                <w:rFonts w:eastAsia="MS Mincho"/>
                <w:sz w:val="20"/>
                <w:szCs w:val="20"/>
                <w:lang w:eastAsia="ja-JP"/>
              </w:rPr>
            </w:pPr>
            <w:r w:rsidRPr="00986F85">
              <w:rPr>
                <w:rFonts w:eastAsia="MS Mincho" w:cs="Myriad Pro"/>
                <w:sz w:val="20"/>
                <w:szCs w:val="20"/>
                <w:lang w:eastAsia="ja-JP"/>
              </w:rPr>
              <w:t xml:space="preserve">Adminisztratív és szolg. támogató tev. </w:t>
            </w: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29F39694"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0.173</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00E47A85"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0.0117</w:t>
            </w:r>
          </w:p>
        </w:tc>
      </w:tr>
      <w:tr w:rsidR="00E8738C" w:rsidRPr="00986F85" w14:paraId="3A5A149F"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34D4AAC2"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5DA79D15"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(0.147)</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024208D9"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(0.0115)</w:t>
            </w:r>
          </w:p>
        </w:tc>
      </w:tr>
      <w:tr w:rsidR="00E8738C" w:rsidRPr="00986F85" w14:paraId="54B63710"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2CD5DC8D"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r w:rsidRPr="00986F85">
              <w:rPr>
                <w:rFonts w:eastAsia="MS Mincho" w:cs="Myriad Pro"/>
                <w:sz w:val="20"/>
                <w:szCs w:val="20"/>
                <w:lang w:val="en-US" w:eastAsia="ja-JP"/>
              </w:rPr>
              <w:t>Bányászat, kőfejtés</w:t>
            </w: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237ACDF6"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0.630***</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393C2DCF"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0.0661*</w:t>
            </w:r>
          </w:p>
        </w:tc>
      </w:tr>
      <w:tr w:rsidR="00E8738C" w:rsidRPr="00986F85" w14:paraId="39B92511"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6D6B4AFC"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48288E26"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(0.223)</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56E21129"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(0.0364)</w:t>
            </w:r>
          </w:p>
        </w:tc>
      </w:tr>
      <w:tr w:rsidR="00E8738C" w:rsidRPr="00986F85" w14:paraId="68AEC757"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0ECFC87B"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r w:rsidRPr="00986F85">
              <w:rPr>
                <w:rFonts w:eastAsia="MS Mincho" w:cs="Myriad Pro"/>
                <w:sz w:val="20"/>
                <w:szCs w:val="20"/>
                <w:lang w:val="en-US" w:eastAsia="ja-JP"/>
              </w:rPr>
              <w:t>Egyéb szolgáltatás</w:t>
            </w: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544ADF37"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0.329*</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5762143A"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0.0261</w:t>
            </w:r>
          </w:p>
        </w:tc>
      </w:tr>
      <w:tr w:rsidR="00E8738C" w:rsidRPr="00986F85" w14:paraId="787601A6"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14223F62"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00E63FDD"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(0.169)</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1C2CA9AD"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(0.0175)</w:t>
            </w:r>
          </w:p>
        </w:tc>
      </w:tr>
      <w:tr w:rsidR="00E8738C" w:rsidRPr="00986F85" w14:paraId="2B958957"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622A44A9"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r w:rsidRPr="00986F85">
              <w:rPr>
                <w:rFonts w:eastAsia="MS Mincho" w:cs="Myriad Pro"/>
                <w:sz w:val="20"/>
                <w:szCs w:val="20"/>
                <w:lang w:val="en-US" w:eastAsia="ja-JP"/>
              </w:rPr>
              <w:t>Építőipar</w:t>
            </w: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0A98F9AA"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0.472***</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29AEA24F"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0.0391***</w:t>
            </w:r>
          </w:p>
        </w:tc>
      </w:tr>
      <w:tr w:rsidR="00E8738C" w:rsidRPr="00986F85" w14:paraId="7C5A7974"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22C2A3E0"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201596FA"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(0.133)</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774DBD0C"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(0.0149)</w:t>
            </w:r>
          </w:p>
        </w:tc>
      </w:tr>
      <w:tr w:rsidR="00E8738C" w:rsidRPr="00986F85" w14:paraId="4FB9B28A"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35F26056"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r w:rsidRPr="00986F85">
              <w:rPr>
                <w:rFonts w:eastAsia="MS Mincho" w:cs="Myriad Pro"/>
                <w:sz w:val="20"/>
                <w:szCs w:val="20"/>
                <w:lang w:val="en-US" w:eastAsia="ja-JP"/>
              </w:rPr>
              <w:t>Feldolgozóipar</w:t>
            </w: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2E668D33"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0.548***</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2F439BB8"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0.0458***</w:t>
            </w:r>
          </w:p>
        </w:tc>
      </w:tr>
      <w:tr w:rsidR="00E8738C" w:rsidRPr="00986F85" w14:paraId="7E334EB3"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22034A07"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733BA59D"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(0.130)</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524D6548"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(0.0149)</w:t>
            </w:r>
          </w:p>
        </w:tc>
      </w:tr>
      <w:tr w:rsidR="00E8738C" w:rsidRPr="00986F85" w14:paraId="069574AC"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115F172D"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r w:rsidRPr="00986F85">
              <w:rPr>
                <w:rFonts w:eastAsia="MS Mincho" w:cs="Myriad Pro"/>
                <w:sz w:val="20"/>
                <w:szCs w:val="20"/>
                <w:lang w:val="en-US" w:eastAsia="ja-JP"/>
              </w:rPr>
              <w:t>Humán-egészségügyi, szociális ellátás</w:t>
            </w: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0808CD6D"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0.311**</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54BD8B4A"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0.0241</w:t>
            </w:r>
          </w:p>
        </w:tc>
      </w:tr>
      <w:tr w:rsidR="00E8738C" w:rsidRPr="00986F85" w14:paraId="015F7A17"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2EA99558"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3AD326EA"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(0.153)</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51889F98"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(0.0152)</w:t>
            </w:r>
          </w:p>
        </w:tc>
      </w:tr>
      <w:tr w:rsidR="00E8738C" w:rsidRPr="00986F85" w14:paraId="30462AB8"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46DB7F19"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r w:rsidRPr="00986F85">
              <w:rPr>
                <w:rFonts w:eastAsia="MS Mincho" w:cs="Myriad Pro"/>
                <w:sz w:val="20"/>
                <w:szCs w:val="20"/>
                <w:lang w:val="en-US" w:eastAsia="ja-JP"/>
              </w:rPr>
              <w:t>Információ, kommunikáció</w:t>
            </w: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6DA7CB81"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0.481***</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59370EF8"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0.0431**</w:t>
            </w:r>
          </w:p>
        </w:tc>
      </w:tr>
      <w:tr w:rsidR="00E8738C" w:rsidRPr="00986F85" w14:paraId="281B167A"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0EE19A88"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7FF20408"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(0.145)</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0291A2B1"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(0.0185)</w:t>
            </w:r>
          </w:p>
        </w:tc>
      </w:tr>
      <w:tr w:rsidR="00E8738C" w:rsidRPr="00986F85" w14:paraId="74D3CAF4"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323A0650"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r w:rsidRPr="00986F85">
              <w:rPr>
                <w:rFonts w:eastAsia="MS Mincho" w:cs="Myriad Pro"/>
                <w:sz w:val="20"/>
                <w:szCs w:val="20"/>
                <w:lang w:val="en-US" w:eastAsia="ja-JP"/>
              </w:rPr>
              <w:t>Ingatlanügyek</w:t>
            </w: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7710FA2F"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0.0582</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615AD615"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0.00355</w:t>
            </w:r>
          </w:p>
        </w:tc>
      </w:tr>
      <w:tr w:rsidR="00E8738C" w:rsidRPr="00986F85" w14:paraId="631467BC"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7C1DDEFC"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21005C90"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(0.146)</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25EBD343"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(0.00940)</w:t>
            </w:r>
          </w:p>
        </w:tc>
      </w:tr>
      <w:tr w:rsidR="00E8738C" w:rsidRPr="00986F85" w14:paraId="55AB83B7"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20DC928E"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r w:rsidRPr="00986F85">
              <w:rPr>
                <w:rFonts w:eastAsia="MS Mincho" w:cs="Myriad Pro"/>
                <w:sz w:val="20"/>
                <w:szCs w:val="20"/>
                <w:lang w:val="en-US" w:eastAsia="ja-JP"/>
              </w:rPr>
              <w:t>Kereskedelem, gépjárműjavítás</w:t>
            </w: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48EF23B5"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0.236*</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1939B398"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0.0151</w:t>
            </w:r>
          </w:p>
        </w:tc>
      </w:tr>
      <w:tr w:rsidR="00E8738C" w:rsidRPr="00986F85" w14:paraId="04BE85FC"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2FE8F7D8"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1778F6AF"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(0.131)</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169C498E"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(0.00930)</w:t>
            </w:r>
          </w:p>
        </w:tc>
      </w:tr>
      <w:tr w:rsidR="00E8738C" w:rsidRPr="00986F85" w14:paraId="3B03C1E9"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1C26CD45"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r w:rsidRPr="00986F85">
              <w:rPr>
                <w:rFonts w:eastAsia="MS Mincho" w:cs="Myriad Pro"/>
                <w:sz w:val="20"/>
                <w:szCs w:val="20"/>
                <w:lang w:val="en-US" w:eastAsia="ja-JP"/>
              </w:rPr>
              <w:t>Közigazgatás, védelem; kötelező tb.</w:t>
            </w: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179D96CD"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0.780</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13AEFBEF"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0.0933</w:t>
            </w:r>
          </w:p>
        </w:tc>
      </w:tr>
      <w:tr w:rsidR="00E8738C" w:rsidRPr="00986F85" w14:paraId="2021B884"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1A32E96E"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2E31D603"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(0.579)</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48EBFBA5"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(0.114)</w:t>
            </w:r>
          </w:p>
        </w:tc>
      </w:tr>
      <w:tr w:rsidR="00E8738C" w:rsidRPr="00986F85" w14:paraId="622F8A6D"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48B0760C"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r w:rsidRPr="00986F85">
              <w:rPr>
                <w:rFonts w:eastAsia="MS Mincho" w:cs="Myriad Pro"/>
                <w:sz w:val="20"/>
                <w:szCs w:val="20"/>
                <w:lang w:val="en-US" w:eastAsia="ja-JP"/>
              </w:rPr>
              <w:t>Mezőgazdaság, erdőgazdaság, halászat</w:t>
            </w: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34AD78E3"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-1.154***</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7E035DB9"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-0.0265***</w:t>
            </w:r>
          </w:p>
        </w:tc>
      </w:tr>
      <w:tr w:rsidR="00E8738C" w:rsidRPr="00986F85" w14:paraId="0C08AA63"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54DE5A21"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7134785B"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(0.194)</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04FA2922"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(0.00138)</w:t>
            </w:r>
          </w:p>
        </w:tc>
      </w:tr>
      <w:tr w:rsidR="00E8738C" w:rsidRPr="00986F85" w14:paraId="1D099E0B"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437D51CF"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r w:rsidRPr="00986F85">
              <w:rPr>
                <w:rFonts w:eastAsia="MS Mincho" w:cs="Myriad Pro"/>
                <w:sz w:val="20"/>
                <w:szCs w:val="20"/>
                <w:lang w:val="en-US" w:eastAsia="ja-JP"/>
              </w:rPr>
              <w:t>Művészet, szórakoztatás, szabadidő</w:t>
            </w: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39B854BB"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-0.194</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6F975E4D"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-0.00934</w:t>
            </w:r>
          </w:p>
        </w:tc>
      </w:tr>
      <w:tr w:rsidR="00E8738C" w:rsidRPr="00986F85" w14:paraId="4E7FF757"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1500DF65"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5D86DF89"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(0.201)</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1A3A6D4E"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(0.00786)</w:t>
            </w:r>
          </w:p>
        </w:tc>
      </w:tr>
      <w:tr w:rsidR="00E8738C" w:rsidRPr="00986F85" w14:paraId="53ABFA93"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1E40B2AD"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r w:rsidRPr="00986F85">
              <w:rPr>
                <w:rFonts w:eastAsia="MS Mincho" w:cs="Myriad Pro"/>
                <w:sz w:val="20"/>
                <w:szCs w:val="20"/>
                <w:lang w:val="en-US" w:eastAsia="ja-JP"/>
              </w:rPr>
              <w:t>Oktatás</w:t>
            </w: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33136A2B"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0.542***</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0ADCCCDD"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0.0524**</w:t>
            </w:r>
          </w:p>
        </w:tc>
      </w:tr>
      <w:tr w:rsidR="00E8738C" w:rsidRPr="00986F85" w14:paraId="6BAABBFE"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07B8AD67"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52E0ED48"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(0.182)</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19FBCB16"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(0.0261)</w:t>
            </w:r>
          </w:p>
        </w:tc>
      </w:tr>
      <w:tr w:rsidR="00E8738C" w:rsidRPr="00986F85" w14:paraId="17E6BD62"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0FFAF789"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r w:rsidRPr="00986F85">
              <w:rPr>
                <w:rFonts w:eastAsia="MS Mincho" w:cs="Myriad Pro"/>
                <w:sz w:val="20"/>
                <w:szCs w:val="20"/>
                <w:lang w:val="en-US" w:eastAsia="ja-JP"/>
              </w:rPr>
              <w:t>Pénzügyi, biztosítási tevékenység</w:t>
            </w: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29F70AC7"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0.253</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05653D21"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0.0187</w:t>
            </w:r>
          </w:p>
        </w:tc>
      </w:tr>
      <w:tr w:rsidR="00E8738C" w:rsidRPr="00986F85" w14:paraId="4BF4EEB8"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09FC1A64"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278D343D"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(0.177)</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6F19CDB1"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(0.0162)</w:t>
            </w:r>
          </w:p>
        </w:tc>
      </w:tr>
      <w:tr w:rsidR="00E8738C" w:rsidRPr="00986F85" w14:paraId="3555AB91"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0E76E695"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r w:rsidRPr="00986F85">
              <w:rPr>
                <w:rFonts w:eastAsia="MS Mincho" w:cs="Myriad Pro"/>
                <w:sz w:val="20"/>
                <w:szCs w:val="20"/>
                <w:lang w:val="en-US" w:eastAsia="ja-JP"/>
              </w:rPr>
              <w:t>Szakmai, tudományos, műszaki tevékenység</w:t>
            </w: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02789E86"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0.376***</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68663D97"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0.0297**</w:t>
            </w:r>
          </w:p>
        </w:tc>
      </w:tr>
      <w:tr w:rsidR="00E8738C" w:rsidRPr="00986F85" w14:paraId="4BD81503"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32A39EC3"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4A0E6473"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(0.137)</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25305FCD"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(0.0141)</w:t>
            </w:r>
          </w:p>
        </w:tc>
      </w:tr>
      <w:tr w:rsidR="00E8738C" w:rsidRPr="00986F85" w14:paraId="33CD8789"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3BAAF041"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r w:rsidRPr="00986F85">
              <w:rPr>
                <w:rFonts w:eastAsia="MS Mincho" w:cs="Myriad Pro"/>
                <w:sz w:val="20"/>
                <w:szCs w:val="20"/>
                <w:lang w:val="en-US" w:eastAsia="ja-JP"/>
              </w:rPr>
              <w:t>Szálláshely-szolgáltatás, vendéglátás</w:t>
            </w: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27CFB120"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0.266*</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65CAE559"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0.0194</w:t>
            </w:r>
          </w:p>
        </w:tc>
      </w:tr>
      <w:tr w:rsidR="00E8738C" w:rsidRPr="00986F85" w14:paraId="2A4AF46B"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6ED56470"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0B7B1C72"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(0.140)</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0CFEE95B"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(0.0125)</w:t>
            </w:r>
          </w:p>
        </w:tc>
      </w:tr>
      <w:tr w:rsidR="00E8738C" w:rsidRPr="00986F85" w14:paraId="6AAFDC7D"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188F74BB"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r w:rsidRPr="00986F85">
              <w:rPr>
                <w:rFonts w:eastAsia="MS Mincho" w:cs="Myriad Pro"/>
                <w:sz w:val="20"/>
                <w:szCs w:val="20"/>
                <w:lang w:val="en-US" w:eastAsia="ja-JP"/>
              </w:rPr>
              <w:t>Szállítás, raktározás</w:t>
            </w: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527DE4D4"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0.0477</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42C06A03"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0.00289</w:t>
            </w:r>
          </w:p>
        </w:tc>
      </w:tr>
      <w:tr w:rsidR="00E8738C" w:rsidRPr="00986F85" w14:paraId="4A9C0688"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77AA9AB9"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66FE99F3"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(0.140)</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5064EB19"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(0.00880)</w:t>
            </w:r>
          </w:p>
        </w:tc>
      </w:tr>
      <w:tr w:rsidR="00E8738C" w:rsidRPr="00986F85" w14:paraId="6A6DB752"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5EB37130"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r w:rsidRPr="00986F85">
              <w:rPr>
                <w:rFonts w:eastAsia="MS Mincho" w:cs="Myriad Pro"/>
                <w:sz w:val="20"/>
                <w:szCs w:val="20"/>
                <w:lang w:val="en-US" w:eastAsia="ja-JP"/>
              </w:rPr>
              <w:t>Villamosenergia-, gáz-, gőzellátás, légkondicionálás</w:t>
            </w: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250A19DA"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0.119</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0F8E8AC1"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0.00773</w:t>
            </w:r>
          </w:p>
        </w:tc>
      </w:tr>
      <w:tr w:rsidR="00E8738C" w:rsidRPr="00986F85" w14:paraId="471FDA6C"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0E1EC140"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4CE85C69"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(0.279)</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092E0FC6"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(0.0202)</w:t>
            </w:r>
          </w:p>
        </w:tc>
      </w:tr>
      <w:tr w:rsidR="00E8738C" w:rsidRPr="00986F85" w14:paraId="0530F217"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2C0B439E"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r w:rsidRPr="00986F85">
              <w:rPr>
                <w:rFonts w:eastAsia="MS Mincho" w:cs="Myriad Pro"/>
                <w:sz w:val="20"/>
                <w:szCs w:val="20"/>
                <w:lang w:val="en-US" w:eastAsia="ja-JP"/>
              </w:rPr>
              <w:t>Közép-Magyarország</w:t>
            </w: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472DCAD5"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-0.422***</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42CB1D54"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-0.0238***</w:t>
            </w:r>
          </w:p>
        </w:tc>
      </w:tr>
      <w:tr w:rsidR="00E8738C" w:rsidRPr="00986F85" w14:paraId="6F91E432"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41C41646"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1A9764EE"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(0.0446)</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3D07CEB6"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(0.00253)</w:t>
            </w:r>
          </w:p>
        </w:tc>
      </w:tr>
      <w:tr w:rsidR="00E8738C" w:rsidRPr="00986F85" w14:paraId="6CF2B627"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4AEC4853"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r w:rsidRPr="00986F85">
              <w:rPr>
                <w:rFonts w:eastAsia="MS Mincho" w:cs="Myriad Pro"/>
                <w:sz w:val="20"/>
                <w:szCs w:val="20"/>
                <w:lang w:val="en-US" w:eastAsia="ja-JP"/>
              </w:rPr>
              <w:t>Közép-Dunántúl</w:t>
            </w: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659F8339"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-0.139***</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337A1134"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-0.00723***</w:t>
            </w:r>
          </w:p>
        </w:tc>
      </w:tr>
      <w:tr w:rsidR="00E8738C" w:rsidRPr="00986F85" w14:paraId="372B015C"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3642F433"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419F1016"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(0.0478)</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0E38E161"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(0.00222)</w:t>
            </w:r>
          </w:p>
        </w:tc>
      </w:tr>
      <w:tr w:rsidR="00E8738C" w:rsidRPr="00986F85" w14:paraId="53589DBD"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07DFE5F7"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r w:rsidRPr="00986F85">
              <w:rPr>
                <w:rFonts w:eastAsia="MS Mincho" w:cs="Myriad Pro"/>
                <w:sz w:val="20"/>
                <w:szCs w:val="20"/>
                <w:lang w:val="en-US" w:eastAsia="ja-JP"/>
              </w:rPr>
              <w:t>Nyugat-Dunántúl</w:t>
            </w: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3385E968"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-0.0911*</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335808DC"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-0.00491**</w:t>
            </w:r>
          </w:p>
        </w:tc>
      </w:tr>
      <w:tr w:rsidR="00E8738C" w:rsidRPr="00986F85" w14:paraId="1166C7E5"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09A82FE2"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1441AAE0"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(0.0475)</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36450893"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(0.00237)</w:t>
            </w:r>
          </w:p>
        </w:tc>
      </w:tr>
      <w:tr w:rsidR="00E8738C" w:rsidRPr="00986F85" w14:paraId="4FA767D3"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2F0F6386"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r w:rsidRPr="00986F85">
              <w:rPr>
                <w:rFonts w:eastAsia="MS Mincho" w:cs="Myriad Pro"/>
                <w:sz w:val="20"/>
                <w:szCs w:val="20"/>
                <w:lang w:val="en-US" w:eastAsia="ja-JP"/>
              </w:rPr>
              <w:t>Dél-Dunántúl</w:t>
            </w: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7C69E285"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-0.0556</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0523F62A"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-0.00308</w:t>
            </w:r>
          </w:p>
        </w:tc>
      </w:tr>
      <w:tr w:rsidR="00E8738C" w:rsidRPr="00986F85" w14:paraId="68C32ACB"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6446D6D4"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0CAC604E"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(0.0493)</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4BF74948"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(0.00260)</w:t>
            </w:r>
          </w:p>
        </w:tc>
      </w:tr>
      <w:tr w:rsidR="00E8738C" w:rsidRPr="00986F85" w14:paraId="539B90BD"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224D8D35"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r w:rsidRPr="00986F85">
              <w:rPr>
                <w:rFonts w:eastAsia="MS Mincho" w:cs="Myriad Pro"/>
                <w:sz w:val="20"/>
                <w:szCs w:val="20"/>
                <w:lang w:val="en-US" w:eastAsia="ja-JP"/>
              </w:rPr>
              <w:t>Észak-Magyarország</w:t>
            </w: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142EED78"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-0.0283</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6758C572"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-0.00160</w:t>
            </w:r>
          </w:p>
        </w:tc>
      </w:tr>
      <w:tr w:rsidR="00E8738C" w:rsidRPr="00986F85" w14:paraId="65BB3FF2"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120C72D6"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029E3CDC"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(0.0499)</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0B91717B"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(0.00276)</w:t>
            </w:r>
          </w:p>
        </w:tc>
      </w:tr>
      <w:tr w:rsidR="00E8738C" w:rsidRPr="00986F85" w14:paraId="173BFD58"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5B910397"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r w:rsidRPr="00986F85">
              <w:rPr>
                <w:rFonts w:eastAsia="MS Mincho" w:cs="Myriad Pro"/>
                <w:sz w:val="20"/>
                <w:szCs w:val="20"/>
                <w:lang w:val="en-US" w:eastAsia="ja-JP"/>
              </w:rPr>
              <w:t>Észak-Alföld</w:t>
            </w: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65439CDB"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-0.0565</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6DE57810"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-0.00313</w:t>
            </w:r>
          </w:p>
        </w:tc>
      </w:tr>
      <w:tr w:rsidR="00E8738C" w:rsidRPr="00986F85" w14:paraId="28F919CB"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7372D270"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16FFF8BE"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(0.0461)</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74F653C8"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(0.00244)</w:t>
            </w:r>
          </w:p>
        </w:tc>
      </w:tr>
      <w:tr w:rsidR="00E8738C" w:rsidRPr="00986F85" w14:paraId="46C31091"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775F3737" w14:textId="77777777" w:rsidR="00E8738C" w:rsidRPr="00986F85" w:rsidRDefault="007A7AFE" w:rsidP="007517F0">
            <w:pPr>
              <w:widowControl w:val="0"/>
              <w:autoSpaceDE w:val="0"/>
              <w:autoSpaceDN w:val="0"/>
              <w:adjustRightInd w:val="0"/>
              <w:spacing w:line="240" w:lineRule="auto"/>
              <w:rPr>
                <w:rFonts w:eastAsia="MS Mincho" w:cs="Times New Roman"/>
                <w:sz w:val="20"/>
                <w:szCs w:val="20"/>
                <w:lang w:val="en-US" w:eastAsia="ja-JP"/>
              </w:rPr>
            </w:pPr>
            <w:r w:rsidRPr="00986F85">
              <w:rPr>
                <w:rFonts w:eastAsia="MS Mincho" w:cs="Times New Roman"/>
                <w:sz w:val="20"/>
                <w:szCs w:val="20"/>
                <w:lang w:val="en-US" w:eastAsia="ja-JP"/>
              </w:rPr>
              <w:t>Vállalat kora</w:t>
            </w: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1AD63B35"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-0.0334***</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27AA2E68"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-0.00193***</w:t>
            </w:r>
          </w:p>
        </w:tc>
      </w:tr>
      <w:tr w:rsidR="00E8738C" w:rsidRPr="00986F85" w14:paraId="0E9C97D2"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445F5AC6"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192A3E71"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(0.00789)</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04AA26BB"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(0.000458)</w:t>
            </w:r>
          </w:p>
        </w:tc>
      </w:tr>
      <w:tr w:rsidR="00E8738C" w:rsidRPr="00986F85" w14:paraId="2DD2583B"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28791C7F" w14:textId="77777777" w:rsidR="00E8738C" w:rsidRPr="00986F85" w:rsidRDefault="007A7AFE" w:rsidP="007A7AFE">
            <w:pPr>
              <w:widowControl w:val="0"/>
              <w:autoSpaceDE w:val="0"/>
              <w:autoSpaceDN w:val="0"/>
              <w:adjustRightInd w:val="0"/>
              <w:spacing w:line="240" w:lineRule="auto"/>
              <w:rPr>
                <w:rFonts w:eastAsia="MS Mincho" w:cs="Times New Roman"/>
                <w:sz w:val="20"/>
                <w:szCs w:val="20"/>
                <w:lang w:val="en-US" w:eastAsia="ja-JP"/>
              </w:rPr>
            </w:pPr>
            <w:r w:rsidRPr="00986F85">
              <w:rPr>
                <w:rFonts w:eastAsia="MS Mincho" w:cs="Times New Roman"/>
                <w:sz w:val="20"/>
                <w:szCs w:val="20"/>
                <w:lang w:val="en-US" w:eastAsia="ja-JP"/>
              </w:rPr>
              <w:t>Vállalat kora</w:t>
            </w:r>
            <w:r w:rsidRPr="00986F85">
              <w:rPr>
                <w:rFonts w:eastAsia="MS Mincho" w:cs="Myriad Pro"/>
                <w:sz w:val="20"/>
                <w:szCs w:val="20"/>
                <w:lang w:val="en-US" w:eastAsia="ja-JP"/>
              </w:rPr>
              <w:t xml:space="preserve"> </w:t>
            </w:r>
            <w:r w:rsidRPr="00986F85">
              <w:rPr>
                <w:rFonts w:eastAsia="MS Mincho" w:cs="Times New Roman"/>
                <w:sz w:val="20"/>
                <w:szCs w:val="20"/>
                <w:lang w:val="en-US" w:eastAsia="ja-JP"/>
              </w:rPr>
              <w:t xml:space="preserve">– </w:t>
            </w:r>
            <w:r w:rsidRPr="00986F85">
              <w:rPr>
                <w:rFonts w:eastAsia="MS Mincho" w:cs="Myriad Pro"/>
                <w:sz w:val="20"/>
                <w:szCs w:val="20"/>
                <w:lang w:val="en-US" w:eastAsia="ja-JP"/>
              </w:rPr>
              <w:t>né</w:t>
            </w:r>
            <w:r w:rsidR="00E8738C" w:rsidRPr="00986F85">
              <w:rPr>
                <w:rFonts w:eastAsia="MS Mincho" w:cs="Myriad Pro"/>
                <w:sz w:val="20"/>
                <w:szCs w:val="20"/>
                <w:lang w:val="en-US" w:eastAsia="ja-JP"/>
              </w:rPr>
              <w:t>gyzet</w:t>
            </w:r>
            <w:r w:rsidRPr="00986F85">
              <w:rPr>
                <w:rFonts w:eastAsia="MS Mincho" w:cs="Times New Roman"/>
                <w:sz w:val="20"/>
                <w:szCs w:val="20"/>
                <w:lang w:val="en-US" w:eastAsia="ja-JP"/>
              </w:rPr>
              <w:t>es tag</w:t>
            </w: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4946F95F"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0.000875**</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42D9850F"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5.07e-05**</w:t>
            </w:r>
          </w:p>
        </w:tc>
      </w:tr>
      <w:tr w:rsidR="00E8738C" w:rsidRPr="00986F85" w14:paraId="52B61B2F"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798FA9B8"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176EF354"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(0.000400)</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16799E2E"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(2.32e-05)</w:t>
            </w:r>
          </w:p>
        </w:tc>
      </w:tr>
      <w:tr w:rsidR="00E8738C" w:rsidRPr="00986F85" w14:paraId="4353B7C3" w14:textId="77777777" w:rsidTr="007A7AFE">
        <w:tblPrEx>
          <w:tblBorders>
            <w:top w:val="none" w:sz="0" w:space="0" w:color="auto"/>
          </w:tblBorders>
        </w:tblPrEx>
        <w:trPr>
          <w:trHeight w:hRule="exact" w:val="506"/>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2F3DB710" w14:textId="77777777" w:rsidR="00E8738C" w:rsidRPr="00986F85" w:rsidRDefault="007A7AFE" w:rsidP="007A7AFE">
            <w:pPr>
              <w:widowControl w:val="0"/>
              <w:autoSpaceDE w:val="0"/>
              <w:autoSpaceDN w:val="0"/>
              <w:adjustRightInd w:val="0"/>
              <w:spacing w:line="240" w:lineRule="auto"/>
              <w:rPr>
                <w:rFonts w:eastAsia="MS Mincho" w:cs="Times New Roman"/>
                <w:sz w:val="20"/>
                <w:szCs w:val="20"/>
                <w:lang w:eastAsia="ja-JP"/>
              </w:rPr>
            </w:pPr>
            <w:r w:rsidRPr="00986F85">
              <w:rPr>
                <w:rFonts w:eastAsia="MS Mincho" w:cs="Times New Roman"/>
                <w:sz w:val="20"/>
                <w:szCs w:val="20"/>
                <w:lang w:eastAsia="ja-JP"/>
              </w:rPr>
              <w:t>Hátrányos helyzetű kistétségben található vállakozás (LHH</w:t>
            </w:r>
            <w:r w:rsidR="00E8738C" w:rsidRPr="00986F85">
              <w:rPr>
                <w:rFonts w:eastAsia="MS Mincho" w:cs="Myriad Pro"/>
                <w:sz w:val="20"/>
                <w:szCs w:val="20"/>
                <w:lang w:eastAsia="ja-JP"/>
              </w:rPr>
              <w:t>33</w:t>
            </w:r>
            <w:r w:rsidRPr="00986F85">
              <w:rPr>
                <w:rFonts w:eastAsia="MS Mincho" w:cs="Times New Roman"/>
                <w:sz w:val="20"/>
                <w:szCs w:val="20"/>
                <w:lang w:eastAsia="ja-JP"/>
              </w:rPr>
              <w:t>)</w:t>
            </w: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6DA4A43F"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0.117**</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603DF102"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0.00749**</w:t>
            </w:r>
          </w:p>
        </w:tc>
      </w:tr>
      <w:tr w:rsidR="00E8738C" w:rsidRPr="00986F85" w14:paraId="0ABB3BB1"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7DBD8C1A"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6BB4C099"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(0.0468)</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104D90DE"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(0.00331)</w:t>
            </w:r>
          </w:p>
        </w:tc>
      </w:tr>
      <w:tr w:rsidR="00E8738C" w:rsidRPr="00986F85" w14:paraId="04F369B9"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4BED9AC4" w14:textId="77777777" w:rsidR="00E8738C" w:rsidRPr="00986F85" w:rsidRDefault="00222F9B" w:rsidP="00222F9B">
            <w:pPr>
              <w:widowControl w:val="0"/>
              <w:autoSpaceDE w:val="0"/>
              <w:autoSpaceDN w:val="0"/>
              <w:adjustRightInd w:val="0"/>
              <w:spacing w:line="240" w:lineRule="auto"/>
              <w:rPr>
                <w:rFonts w:eastAsia="MS Mincho"/>
                <w:sz w:val="20"/>
                <w:szCs w:val="20"/>
                <w:lang w:val="en-US" w:eastAsia="ja-JP"/>
              </w:rPr>
            </w:pPr>
            <w:r w:rsidRPr="00986F85">
              <w:rPr>
                <w:rFonts w:eastAsia="MS Mincho" w:cs="Times New Roman"/>
                <w:sz w:val="20"/>
                <w:szCs w:val="20"/>
                <w:lang w:val="en-US" w:eastAsia="ja-JP"/>
              </w:rPr>
              <w:t xml:space="preserve">Vállalatsűrűség </w:t>
            </w: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75572425"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0.0551</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2B12A291"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0.00319</w:t>
            </w:r>
          </w:p>
        </w:tc>
      </w:tr>
      <w:tr w:rsidR="00E8738C" w:rsidRPr="00986F85" w14:paraId="66D2CCD8"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092B97E8"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686F4D83"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(0.347)</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10FD7734"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(0.0201)</w:t>
            </w:r>
          </w:p>
        </w:tc>
      </w:tr>
      <w:tr w:rsidR="00E8738C" w:rsidRPr="00986F85" w14:paraId="410D3261"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40097B32" w14:textId="77777777" w:rsidR="00E8738C" w:rsidRPr="00986F85" w:rsidRDefault="00222F9B" w:rsidP="007517F0">
            <w:pPr>
              <w:widowControl w:val="0"/>
              <w:autoSpaceDE w:val="0"/>
              <w:autoSpaceDN w:val="0"/>
              <w:adjustRightInd w:val="0"/>
              <w:spacing w:line="240" w:lineRule="auto"/>
              <w:rPr>
                <w:rFonts w:eastAsia="MS Mincho" w:cs="Times New Roman"/>
                <w:sz w:val="20"/>
                <w:szCs w:val="20"/>
                <w:lang w:val="en-US" w:eastAsia="ja-JP"/>
              </w:rPr>
            </w:pPr>
            <w:r w:rsidRPr="00986F85">
              <w:rPr>
                <w:rFonts w:eastAsia="MS Mincho" w:cs="Times New Roman"/>
                <w:sz w:val="20"/>
                <w:szCs w:val="20"/>
                <w:lang w:val="en-US" w:eastAsia="ja-JP"/>
              </w:rPr>
              <w:t>Foglalkoztatotti létszám</w:t>
            </w: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46C80940"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-0.00254</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0317BF29"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-0.000147</w:t>
            </w:r>
          </w:p>
        </w:tc>
      </w:tr>
      <w:tr w:rsidR="00E8738C" w:rsidRPr="00986F85" w14:paraId="35710869"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32528CB5"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23ECC197"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(0.00205)</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4CCB7C6C"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(0.000118)</w:t>
            </w:r>
          </w:p>
        </w:tc>
      </w:tr>
      <w:tr w:rsidR="00E8738C" w:rsidRPr="00986F85" w14:paraId="54D2FAD9"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4C5C816E" w14:textId="77777777" w:rsidR="00E8738C" w:rsidRPr="00986F85" w:rsidRDefault="00222F9B" w:rsidP="007517F0">
            <w:pPr>
              <w:widowControl w:val="0"/>
              <w:autoSpaceDE w:val="0"/>
              <w:autoSpaceDN w:val="0"/>
              <w:adjustRightInd w:val="0"/>
              <w:spacing w:line="240" w:lineRule="auto"/>
              <w:rPr>
                <w:rFonts w:eastAsia="MS Mincho"/>
                <w:sz w:val="20"/>
                <w:szCs w:val="20"/>
                <w:lang w:val="en-US" w:eastAsia="ja-JP"/>
              </w:rPr>
            </w:pPr>
            <w:r w:rsidRPr="00986F85">
              <w:rPr>
                <w:rFonts w:eastAsia="MS Mincho" w:cs="Times New Roman"/>
                <w:sz w:val="20"/>
                <w:szCs w:val="20"/>
                <w:lang w:val="en-US" w:eastAsia="ja-JP"/>
              </w:rPr>
              <w:t>Foglalkoztatotti létszám – négyzetes tag</w:t>
            </w: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13DE3846"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7.49e-05***</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4F218AB4"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4.34e-06***</w:t>
            </w:r>
          </w:p>
        </w:tc>
      </w:tr>
      <w:tr w:rsidR="00E8738C" w:rsidRPr="00986F85" w14:paraId="7F385989"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3CEE4068"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1B29AD00"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(1.80e-05)</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28DE9CF6"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(1.05e-06)</w:t>
            </w:r>
          </w:p>
        </w:tc>
      </w:tr>
      <w:tr w:rsidR="00E8738C" w:rsidRPr="00986F85" w14:paraId="3DA18342"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2FCFEA9C" w14:textId="77777777" w:rsidR="00E8738C" w:rsidRPr="00986F85" w:rsidRDefault="00222F9B" w:rsidP="007517F0">
            <w:pPr>
              <w:widowControl w:val="0"/>
              <w:autoSpaceDE w:val="0"/>
              <w:autoSpaceDN w:val="0"/>
              <w:adjustRightInd w:val="0"/>
              <w:spacing w:line="240" w:lineRule="auto"/>
              <w:rPr>
                <w:rFonts w:eastAsia="MS Mincho" w:cs="Times New Roman"/>
                <w:sz w:val="20"/>
                <w:szCs w:val="20"/>
                <w:lang w:val="en-US" w:eastAsia="ja-JP"/>
              </w:rPr>
            </w:pPr>
            <w:r w:rsidRPr="00986F85">
              <w:rPr>
                <w:rFonts w:eastAsia="MS Mincho" w:cs="Times New Roman"/>
                <w:sz w:val="20"/>
                <w:szCs w:val="20"/>
                <w:lang w:val="en-US" w:eastAsia="ja-JP"/>
              </w:rPr>
              <w:t>ROA</w:t>
            </w: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566836AA"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0.132***</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77060959"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0.00767***</w:t>
            </w:r>
          </w:p>
        </w:tc>
      </w:tr>
      <w:tr w:rsidR="00E8738C" w:rsidRPr="00986F85" w14:paraId="2439E4F0"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7835526A"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30A7ABBD"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(0.0378)</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2B74359F"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(0.00217)</w:t>
            </w:r>
          </w:p>
        </w:tc>
      </w:tr>
      <w:tr w:rsidR="00E8738C" w:rsidRPr="00986F85" w14:paraId="3BD389D4"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5C108C4C" w14:textId="77777777" w:rsidR="00E8738C" w:rsidRPr="00986F85" w:rsidRDefault="00222F9B" w:rsidP="007517F0">
            <w:pPr>
              <w:widowControl w:val="0"/>
              <w:autoSpaceDE w:val="0"/>
              <w:autoSpaceDN w:val="0"/>
              <w:adjustRightInd w:val="0"/>
              <w:spacing w:line="240" w:lineRule="auto"/>
              <w:rPr>
                <w:rFonts w:eastAsia="MS Mincho" w:cs="Times New Roman"/>
                <w:sz w:val="20"/>
                <w:szCs w:val="20"/>
                <w:lang w:val="en-US" w:eastAsia="ja-JP"/>
              </w:rPr>
            </w:pPr>
            <w:r w:rsidRPr="00986F85">
              <w:rPr>
                <w:rFonts w:eastAsia="MS Mincho" w:cs="Myriad Pro"/>
                <w:sz w:val="20"/>
                <w:szCs w:val="20"/>
                <w:lang w:val="en-US" w:eastAsia="ja-JP"/>
              </w:rPr>
              <w:t>L</w:t>
            </w:r>
            <w:r w:rsidR="00E8738C" w:rsidRPr="00986F85">
              <w:rPr>
                <w:rFonts w:eastAsia="MS Mincho" w:cs="Myriad Pro"/>
                <w:sz w:val="20"/>
                <w:szCs w:val="20"/>
                <w:lang w:val="en-US" w:eastAsia="ja-JP"/>
              </w:rPr>
              <w:t>ikvid</w:t>
            </w:r>
            <w:r w:rsidRPr="00986F85">
              <w:rPr>
                <w:rFonts w:eastAsia="MS Mincho" w:cs="Times New Roman"/>
                <w:sz w:val="20"/>
                <w:szCs w:val="20"/>
                <w:lang w:val="en-US" w:eastAsia="ja-JP"/>
              </w:rPr>
              <w:t>itás</w:t>
            </w: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01E339E5"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-0.0114***</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0530CA74"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-0.000658***</w:t>
            </w:r>
          </w:p>
        </w:tc>
      </w:tr>
      <w:tr w:rsidR="00E8738C" w:rsidRPr="00986F85" w14:paraId="65463405"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3D5B51A3"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7357BDA4"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(0.00326)</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08133E35"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(0.000180)</w:t>
            </w:r>
          </w:p>
        </w:tc>
      </w:tr>
      <w:tr w:rsidR="00E8738C" w:rsidRPr="00986F85" w14:paraId="7C96C01E"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51468991" w14:textId="77777777" w:rsidR="00E8738C" w:rsidRPr="00986F85" w:rsidRDefault="00222F9B" w:rsidP="007517F0">
            <w:pPr>
              <w:widowControl w:val="0"/>
              <w:autoSpaceDE w:val="0"/>
              <w:autoSpaceDN w:val="0"/>
              <w:adjustRightInd w:val="0"/>
              <w:spacing w:line="240" w:lineRule="auto"/>
              <w:rPr>
                <w:rFonts w:eastAsia="MS Mincho"/>
                <w:sz w:val="20"/>
                <w:szCs w:val="20"/>
                <w:lang w:val="en-US" w:eastAsia="ja-JP"/>
              </w:rPr>
            </w:pPr>
            <w:r w:rsidRPr="00986F85">
              <w:rPr>
                <w:rFonts w:eastAsia="MS Mincho" w:cs="Myriad Pro"/>
                <w:sz w:val="20"/>
                <w:szCs w:val="20"/>
                <w:lang w:val="en-US" w:eastAsia="ja-JP"/>
              </w:rPr>
              <w:t>T</w:t>
            </w:r>
            <w:r w:rsidR="00E8738C" w:rsidRPr="00986F85">
              <w:rPr>
                <w:rFonts w:eastAsia="MS Mincho" w:cs="Myriad Pro"/>
                <w:sz w:val="20"/>
                <w:szCs w:val="20"/>
                <w:lang w:val="en-US" w:eastAsia="ja-JP"/>
              </w:rPr>
              <w:t>őkeintenzitás</w:t>
            </w: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1A187325"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-5.93e-06***</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37060265"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-3.43e-07***</w:t>
            </w:r>
          </w:p>
        </w:tc>
      </w:tr>
      <w:tr w:rsidR="00E8738C" w:rsidRPr="00986F85" w14:paraId="7CC88EBD"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3E554086"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679937CF"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(1.13e-06)</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7BFEE5F3"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(6.43e-08)</w:t>
            </w:r>
          </w:p>
        </w:tc>
      </w:tr>
      <w:tr w:rsidR="00E8738C" w:rsidRPr="00986F85" w14:paraId="764D707A"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3518E56B" w14:textId="77777777" w:rsidR="00E8738C" w:rsidRPr="00986F85" w:rsidRDefault="00222F9B" w:rsidP="00222F9B">
            <w:pPr>
              <w:widowControl w:val="0"/>
              <w:autoSpaceDE w:val="0"/>
              <w:autoSpaceDN w:val="0"/>
              <w:adjustRightInd w:val="0"/>
              <w:spacing w:line="240" w:lineRule="auto"/>
              <w:rPr>
                <w:rFonts w:eastAsia="MS Mincho" w:cs="Times New Roman"/>
                <w:sz w:val="20"/>
                <w:szCs w:val="20"/>
                <w:lang w:val="en-US" w:eastAsia="ja-JP"/>
              </w:rPr>
            </w:pPr>
            <w:r w:rsidRPr="00986F85">
              <w:rPr>
                <w:rFonts w:eastAsia="MS Mincho" w:cs="Times New Roman"/>
                <w:sz w:val="20"/>
                <w:szCs w:val="20"/>
                <w:lang w:val="en-US" w:eastAsia="ja-JP"/>
              </w:rPr>
              <w:t>Je</w:t>
            </w:r>
            <w:r w:rsidR="00E8738C" w:rsidRPr="00986F85">
              <w:rPr>
                <w:rFonts w:eastAsia="MS Mincho" w:cs="Myriad Pro"/>
                <w:sz w:val="20"/>
                <w:szCs w:val="20"/>
                <w:lang w:val="en-US" w:eastAsia="ja-JP"/>
              </w:rPr>
              <w:t>gyzett tőke</w:t>
            </w:r>
            <w:r w:rsidRPr="00986F85">
              <w:rPr>
                <w:rFonts w:eastAsia="MS Mincho" w:cs="Times New Roman"/>
                <w:sz w:val="20"/>
                <w:szCs w:val="20"/>
                <w:lang w:val="en-US" w:eastAsia="ja-JP"/>
              </w:rPr>
              <w:t xml:space="preserve"> (</w:t>
            </w:r>
            <w:r w:rsidRPr="00986F85">
              <w:rPr>
                <w:rFonts w:eastAsia="MS Mincho" w:cs="Myriad Pro"/>
                <w:sz w:val="20"/>
                <w:szCs w:val="20"/>
                <w:lang w:val="en-US" w:eastAsia="ja-JP"/>
              </w:rPr>
              <w:t>log</w:t>
            </w:r>
            <w:r w:rsidRPr="00986F85">
              <w:rPr>
                <w:rFonts w:eastAsia="MS Mincho" w:cs="Times New Roman"/>
                <w:sz w:val="20"/>
                <w:szCs w:val="20"/>
                <w:lang w:val="en-US" w:eastAsia="ja-JP"/>
              </w:rPr>
              <w:t>)</w:t>
            </w: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1725FDFC"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-0.00897</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278D644C"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-0.000520</w:t>
            </w:r>
          </w:p>
        </w:tc>
      </w:tr>
      <w:tr w:rsidR="00E8738C" w:rsidRPr="00986F85" w14:paraId="1327FC03"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13E0F35B"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37E4A76D"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(0.00737)</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59F7D15E"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(0.000427)</w:t>
            </w:r>
          </w:p>
        </w:tc>
      </w:tr>
      <w:tr w:rsidR="00E8738C" w:rsidRPr="00986F85" w14:paraId="5C08AEF5"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7FFBB20A" w14:textId="77777777" w:rsidR="00E8738C" w:rsidRPr="00986F85" w:rsidRDefault="00222F9B" w:rsidP="007517F0">
            <w:pPr>
              <w:widowControl w:val="0"/>
              <w:autoSpaceDE w:val="0"/>
              <w:autoSpaceDN w:val="0"/>
              <w:adjustRightInd w:val="0"/>
              <w:spacing w:line="240" w:lineRule="auto"/>
              <w:rPr>
                <w:rFonts w:eastAsia="MS Mincho" w:cs="Times New Roman"/>
                <w:sz w:val="20"/>
                <w:szCs w:val="20"/>
                <w:lang w:val="en-US" w:eastAsia="ja-JP"/>
              </w:rPr>
            </w:pPr>
            <w:r w:rsidRPr="00986F85">
              <w:rPr>
                <w:rFonts w:eastAsia="MS Mincho" w:cs="Times New Roman"/>
                <w:sz w:val="20"/>
                <w:szCs w:val="20"/>
                <w:lang w:val="en-US" w:eastAsia="ja-JP"/>
              </w:rPr>
              <w:t>T</w:t>
            </w:r>
            <w:r w:rsidR="00E8738C" w:rsidRPr="00986F85">
              <w:rPr>
                <w:rFonts w:eastAsia="MS Mincho" w:cs="Myriad Pro"/>
                <w:sz w:val="20"/>
                <w:szCs w:val="20"/>
                <w:lang w:val="en-US" w:eastAsia="ja-JP"/>
              </w:rPr>
              <w:t>árgyi eszköz</w:t>
            </w:r>
            <w:r w:rsidRPr="00986F85">
              <w:rPr>
                <w:rFonts w:eastAsia="MS Mincho" w:cs="Times New Roman"/>
                <w:sz w:val="20"/>
                <w:szCs w:val="20"/>
                <w:lang w:val="en-US" w:eastAsia="ja-JP"/>
              </w:rPr>
              <w:t xml:space="preserve"> (</w:t>
            </w:r>
            <w:r w:rsidRPr="00986F85">
              <w:rPr>
                <w:rFonts w:eastAsia="MS Mincho" w:cs="Myriad Pro"/>
                <w:sz w:val="20"/>
                <w:szCs w:val="20"/>
                <w:lang w:val="en-US" w:eastAsia="ja-JP"/>
              </w:rPr>
              <w:t>log</w:t>
            </w:r>
            <w:r w:rsidRPr="00986F85">
              <w:rPr>
                <w:rFonts w:eastAsia="MS Mincho" w:cs="Times New Roman"/>
                <w:sz w:val="20"/>
                <w:szCs w:val="20"/>
                <w:lang w:val="en-US" w:eastAsia="ja-JP"/>
              </w:rPr>
              <w:t>)</w:t>
            </w: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75EA1740"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0.212***</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308AE890"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0.0123***</w:t>
            </w:r>
          </w:p>
        </w:tc>
      </w:tr>
      <w:tr w:rsidR="00E8738C" w:rsidRPr="00986F85" w14:paraId="48C9F21D"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542CD441"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56D7A6FD"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(0.0114)</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2A2E2EE6"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(0.000657)</w:t>
            </w:r>
          </w:p>
        </w:tc>
      </w:tr>
      <w:tr w:rsidR="00E8738C" w:rsidRPr="00986F85" w14:paraId="12EF0E5D"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065A2418" w14:textId="77777777" w:rsidR="00E8738C" w:rsidRPr="00986F85" w:rsidRDefault="00222F9B" w:rsidP="00222F9B">
            <w:pPr>
              <w:widowControl w:val="0"/>
              <w:autoSpaceDE w:val="0"/>
              <w:autoSpaceDN w:val="0"/>
              <w:adjustRightInd w:val="0"/>
              <w:spacing w:line="240" w:lineRule="auto"/>
              <w:rPr>
                <w:rFonts w:eastAsia="MS Mincho" w:cs="Times New Roman"/>
                <w:sz w:val="20"/>
                <w:szCs w:val="20"/>
                <w:lang w:val="en-US" w:eastAsia="ja-JP"/>
              </w:rPr>
            </w:pPr>
            <w:r w:rsidRPr="00986F85">
              <w:rPr>
                <w:rFonts w:eastAsia="MS Mincho" w:cs="Times New Roman"/>
                <w:sz w:val="20"/>
                <w:szCs w:val="20"/>
                <w:lang w:val="en-US" w:eastAsia="ja-JP"/>
              </w:rPr>
              <w:t>Ár</w:t>
            </w:r>
            <w:r w:rsidR="00E8738C" w:rsidRPr="00986F85">
              <w:rPr>
                <w:rFonts w:eastAsia="MS Mincho" w:cs="Myriad Pro"/>
                <w:sz w:val="20"/>
                <w:szCs w:val="20"/>
                <w:lang w:val="en-US" w:eastAsia="ja-JP"/>
              </w:rPr>
              <w:t>bevétel</w:t>
            </w:r>
            <w:r w:rsidRPr="00986F85">
              <w:rPr>
                <w:rFonts w:eastAsia="MS Mincho" w:cs="Times New Roman"/>
                <w:sz w:val="20"/>
                <w:szCs w:val="20"/>
                <w:lang w:val="en-US" w:eastAsia="ja-JP"/>
              </w:rPr>
              <w:t xml:space="preserve"> (</w:t>
            </w:r>
            <w:r w:rsidRPr="00986F85">
              <w:rPr>
                <w:rFonts w:eastAsia="MS Mincho" w:cs="Myriad Pro"/>
                <w:sz w:val="20"/>
                <w:szCs w:val="20"/>
                <w:lang w:val="en-US" w:eastAsia="ja-JP"/>
              </w:rPr>
              <w:t>log</w:t>
            </w:r>
            <w:r w:rsidRPr="00986F85">
              <w:rPr>
                <w:rFonts w:eastAsia="MS Mincho" w:cs="Times New Roman"/>
                <w:sz w:val="20"/>
                <w:szCs w:val="20"/>
                <w:lang w:val="en-US" w:eastAsia="ja-JP"/>
              </w:rPr>
              <w:t>)</w:t>
            </w: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4B27733A"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0.139***</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437C4EFD"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0.00806***</w:t>
            </w:r>
          </w:p>
        </w:tc>
      </w:tr>
      <w:tr w:rsidR="00E8738C" w:rsidRPr="00986F85" w14:paraId="7167943A"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7806C014"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3603A53E"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(0.0164)</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44E71D9B"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(0.000974)</w:t>
            </w:r>
          </w:p>
        </w:tc>
      </w:tr>
      <w:tr w:rsidR="00E8738C" w:rsidRPr="00986F85" w14:paraId="076831B5"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2DAE7BDE" w14:textId="77777777" w:rsidR="00E8738C" w:rsidRPr="00986F85" w:rsidRDefault="00222F9B" w:rsidP="00222F9B">
            <w:pPr>
              <w:widowControl w:val="0"/>
              <w:autoSpaceDE w:val="0"/>
              <w:autoSpaceDN w:val="0"/>
              <w:adjustRightInd w:val="0"/>
              <w:spacing w:line="240" w:lineRule="auto"/>
              <w:rPr>
                <w:rFonts w:eastAsia="MS Mincho"/>
                <w:sz w:val="20"/>
                <w:szCs w:val="20"/>
                <w:lang w:val="en-US" w:eastAsia="ja-JP"/>
              </w:rPr>
            </w:pPr>
            <w:r w:rsidRPr="00986F85">
              <w:rPr>
                <w:rFonts w:eastAsia="MS Mincho" w:cs="Times New Roman"/>
                <w:sz w:val="20"/>
                <w:szCs w:val="20"/>
                <w:lang w:val="en-US" w:eastAsia="ja-JP"/>
              </w:rPr>
              <w:t>Ho</w:t>
            </w:r>
            <w:r w:rsidR="00E8738C" w:rsidRPr="00986F85">
              <w:rPr>
                <w:rFonts w:eastAsia="MS Mincho" w:cs="Myriad Pro"/>
                <w:sz w:val="20"/>
                <w:szCs w:val="20"/>
                <w:lang w:val="en-US" w:eastAsia="ja-JP"/>
              </w:rPr>
              <w:t xml:space="preserve">zzáadott érték </w:t>
            </w:r>
            <w:r w:rsidRPr="00986F85">
              <w:rPr>
                <w:rFonts w:eastAsia="MS Mincho" w:cs="Times New Roman"/>
                <w:sz w:val="20"/>
                <w:szCs w:val="20"/>
                <w:lang w:val="en-US" w:eastAsia="ja-JP"/>
              </w:rPr>
              <w:t>(</w:t>
            </w:r>
            <w:r w:rsidRPr="00986F85">
              <w:rPr>
                <w:rFonts w:eastAsia="MS Mincho" w:cs="Myriad Pro"/>
                <w:sz w:val="20"/>
                <w:szCs w:val="20"/>
                <w:lang w:val="en-US" w:eastAsia="ja-JP"/>
              </w:rPr>
              <w:t>log</w:t>
            </w:r>
            <w:r w:rsidRPr="00986F85">
              <w:rPr>
                <w:rFonts w:eastAsia="MS Mincho" w:cs="Times New Roman"/>
                <w:sz w:val="20"/>
                <w:szCs w:val="20"/>
                <w:lang w:val="en-US" w:eastAsia="ja-JP"/>
              </w:rPr>
              <w:t>)</w:t>
            </w: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19D2C4CC"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-0.0390*</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45D49515"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-0.00226*</w:t>
            </w:r>
          </w:p>
        </w:tc>
      </w:tr>
      <w:tr w:rsidR="00E8738C" w:rsidRPr="00986F85" w14:paraId="10E8978A"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43478F85"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2B59C5F2"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(0.0209)</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2E0BAC95"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(0.00121)</w:t>
            </w:r>
          </w:p>
        </w:tc>
      </w:tr>
      <w:tr w:rsidR="00E8738C" w:rsidRPr="00986F85" w14:paraId="271AE565"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460A4094"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r w:rsidRPr="00986F85">
              <w:rPr>
                <w:rFonts w:eastAsia="MS Mincho"/>
                <w:sz w:val="20"/>
                <w:szCs w:val="20"/>
                <w:lang w:val="en-US" w:eastAsia="ja-JP"/>
              </w:rPr>
              <w:t>Konstans</w:t>
            </w: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125C577E"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-4.797***</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7B953B8F"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p>
        </w:tc>
      </w:tr>
      <w:tr w:rsidR="00E8738C" w:rsidRPr="00986F85" w14:paraId="19066755"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4DDF24B0"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048F5B58"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r w:rsidRPr="00986F85">
              <w:rPr>
                <w:rFonts w:eastAsia="MS Mincho" w:cs="Myriad Pro"/>
                <w:sz w:val="20"/>
                <w:szCs w:val="20"/>
                <w:lang w:val="en-US" w:eastAsia="ja-JP"/>
              </w:rPr>
              <w:t>(0.204)</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0AAFE58F"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p>
        </w:tc>
      </w:tr>
      <w:tr w:rsidR="00E8738C" w:rsidRPr="00986F85" w14:paraId="0F122CB7"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25B6ED31" w14:textId="77777777" w:rsidR="00E8738C" w:rsidRPr="00986F85" w:rsidRDefault="00E8738C" w:rsidP="007517F0">
            <w:pPr>
              <w:widowControl w:val="0"/>
              <w:autoSpaceDE w:val="0"/>
              <w:autoSpaceDN w:val="0"/>
              <w:adjustRightInd w:val="0"/>
              <w:spacing w:line="240" w:lineRule="auto"/>
              <w:rPr>
                <w:rFonts w:eastAsia="MS Mincho"/>
                <w:sz w:val="20"/>
                <w:szCs w:val="20"/>
                <w:lang w:val="en-US" w:eastAsia="ja-JP"/>
              </w:rPr>
            </w:pP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75B624F3"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67B4684C" w14:textId="77777777" w:rsidR="00E8738C" w:rsidRPr="00986F85" w:rsidRDefault="00E8738C" w:rsidP="007517F0">
            <w:pPr>
              <w:widowControl w:val="0"/>
              <w:autoSpaceDE w:val="0"/>
              <w:autoSpaceDN w:val="0"/>
              <w:adjustRightInd w:val="0"/>
              <w:spacing w:line="240" w:lineRule="auto"/>
              <w:jc w:val="right"/>
              <w:rPr>
                <w:rFonts w:eastAsia="MS Mincho"/>
                <w:sz w:val="20"/>
                <w:szCs w:val="20"/>
                <w:lang w:val="en-US" w:eastAsia="ja-JP"/>
              </w:rPr>
            </w:pPr>
          </w:p>
        </w:tc>
      </w:tr>
      <w:tr w:rsidR="00E8738C" w:rsidRPr="00986F85" w14:paraId="6F54DBF0"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4" w:space="0" w:color="00000A"/>
              <w:right w:val="single" w:sz="8" w:space="0" w:color="BFBFBF"/>
            </w:tcBorders>
            <w:shd w:val="clear" w:color="auto" w:fill="FFFFFF"/>
            <w:tcMar>
              <w:top w:w="100" w:type="nil"/>
              <w:right w:w="100" w:type="nil"/>
            </w:tcMar>
          </w:tcPr>
          <w:p w14:paraId="474A1AAF" w14:textId="77777777" w:rsidR="00E8738C" w:rsidRPr="00986F85" w:rsidRDefault="00E8738C" w:rsidP="007517F0">
            <w:pPr>
              <w:widowControl w:val="0"/>
              <w:autoSpaceDE w:val="0"/>
              <w:autoSpaceDN w:val="0"/>
              <w:adjustRightInd w:val="0"/>
              <w:spacing w:line="240" w:lineRule="auto"/>
              <w:rPr>
                <w:rFonts w:eastAsia="MS Mincho"/>
                <w:i/>
                <w:sz w:val="20"/>
                <w:szCs w:val="20"/>
                <w:lang w:val="en-US" w:eastAsia="ja-JP"/>
              </w:rPr>
            </w:pPr>
            <w:r w:rsidRPr="00986F85">
              <w:rPr>
                <w:rFonts w:eastAsia="MS Mincho"/>
                <w:i/>
                <w:sz w:val="20"/>
                <w:szCs w:val="20"/>
                <w:lang w:val="en-US" w:eastAsia="ja-JP"/>
              </w:rPr>
              <w:t>Megfigyelések száma</w:t>
            </w:r>
          </w:p>
        </w:tc>
        <w:tc>
          <w:tcPr>
            <w:tcW w:w="1985" w:type="dxa"/>
            <w:tcBorders>
              <w:top w:val="single" w:sz="8" w:space="0" w:color="BFBFBF"/>
              <w:left w:val="single" w:sz="8" w:space="0" w:color="BFBFBF"/>
              <w:bottom w:val="single" w:sz="4" w:space="0" w:color="00000A"/>
              <w:right w:val="single" w:sz="8" w:space="0" w:color="BFBFBF"/>
            </w:tcBorders>
            <w:shd w:val="clear" w:color="auto" w:fill="FFFFFF"/>
            <w:tcMar>
              <w:top w:w="100" w:type="nil"/>
              <w:right w:w="100" w:type="nil"/>
            </w:tcMar>
          </w:tcPr>
          <w:p w14:paraId="00EE79E1" w14:textId="77777777" w:rsidR="00E8738C" w:rsidRPr="00986F85" w:rsidRDefault="00E8738C" w:rsidP="007517F0">
            <w:pPr>
              <w:widowControl w:val="0"/>
              <w:autoSpaceDE w:val="0"/>
              <w:autoSpaceDN w:val="0"/>
              <w:adjustRightInd w:val="0"/>
              <w:spacing w:line="240" w:lineRule="auto"/>
              <w:jc w:val="right"/>
              <w:rPr>
                <w:rFonts w:eastAsia="MS Mincho"/>
                <w:i/>
                <w:sz w:val="20"/>
                <w:szCs w:val="20"/>
                <w:lang w:val="en-US" w:eastAsia="ja-JP"/>
              </w:rPr>
            </w:pPr>
            <w:r w:rsidRPr="00986F85">
              <w:rPr>
                <w:rFonts w:eastAsia="MS Mincho" w:cs="Myriad Pro"/>
                <w:i/>
                <w:sz w:val="20"/>
                <w:szCs w:val="20"/>
                <w:lang w:val="en-US" w:eastAsia="ja-JP"/>
              </w:rPr>
              <w:t>41,969</w:t>
            </w:r>
          </w:p>
        </w:tc>
        <w:tc>
          <w:tcPr>
            <w:tcW w:w="1977" w:type="dxa"/>
            <w:tcBorders>
              <w:top w:val="single" w:sz="8" w:space="0" w:color="BFBFBF"/>
              <w:left w:val="single" w:sz="8" w:space="0" w:color="BFBFBF"/>
              <w:bottom w:val="single" w:sz="4" w:space="0" w:color="000001"/>
              <w:right w:val="single" w:sz="8" w:space="0" w:color="BFBFBF"/>
            </w:tcBorders>
            <w:shd w:val="clear" w:color="auto" w:fill="FFFFFF"/>
            <w:tcMar>
              <w:top w:w="100" w:type="nil"/>
              <w:right w:w="100" w:type="nil"/>
            </w:tcMar>
          </w:tcPr>
          <w:p w14:paraId="57C65918" w14:textId="77777777" w:rsidR="00E8738C" w:rsidRPr="00986F85" w:rsidRDefault="00E8738C" w:rsidP="007517F0">
            <w:pPr>
              <w:widowControl w:val="0"/>
              <w:autoSpaceDE w:val="0"/>
              <w:autoSpaceDN w:val="0"/>
              <w:adjustRightInd w:val="0"/>
              <w:spacing w:line="240" w:lineRule="auto"/>
              <w:jc w:val="right"/>
              <w:rPr>
                <w:rFonts w:eastAsia="MS Mincho"/>
                <w:i/>
                <w:sz w:val="20"/>
                <w:szCs w:val="20"/>
                <w:lang w:val="en-US" w:eastAsia="ja-JP"/>
              </w:rPr>
            </w:pPr>
            <w:r w:rsidRPr="00986F85">
              <w:rPr>
                <w:rFonts w:eastAsia="MS Mincho" w:cs="Myriad Pro"/>
                <w:i/>
                <w:sz w:val="20"/>
                <w:szCs w:val="20"/>
                <w:lang w:val="en-US" w:eastAsia="ja-JP"/>
              </w:rPr>
              <w:t>41,969</w:t>
            </w:r>
          </w:p>
        </w:tc>
      </w:tr>
      <w:tr w:rsidR="00E8738C" w:rsidRPr="00986F85" w14:paraId="33FCF0BA"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258672E9" w14:textId="77777777" w:rsidR="00E8738C" w:rsidRPr="00986F85" w:rsidRDefault="00E8738C" w:rsidP="007517F0">
            <w:pPr>
              <w:widowControl w:val="0"/>
              <w:autoSpaceDE w:val="0"/>
              <w:autoSpaceDN w:val="0"/>
              <w:adjustRightInd w:val="0"/>
              <w:spacing w:line="240" w:lineRule="auto"/>
              <w:rPr>
                <w:rFonts w:eastAsia="MS Mincho"/>
                <w:i/>
                <w:sz w:val="20"/>
                <w:szCs w:val="20"/>
                <w:lang w:val="en-US" w:eastAsia="ja-JP"/>
              </w:rPr>
            </w:pPr>
            <w:r w:rsidRPr="00986F85">
              <w:rPr>
                <w:rFonts w:eastAsia="MS Mincho" w:cs="Myriad Pro"/>
                <w:i/>
                <w:sz w:val="20"/>
                <w:szCs w:val="20"/>
                <w:lang w:val="en-US" w:eastAsia="ja-JP"/>
              </w:rPr>
              <w:t>Standard hibák zárójelben</w:t>
            </w: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31F31DB3" w14:textId="77777777" w:rsidR="00E8738C" w:rsidRPr="00986F85" w:rsidRDefault="00E8738C" w:rsidP="007517F0">
            <w:pPr>
              <w:widowControl w:val="0"/>
              <w:autoSpaceDE w:val="0"/>
              <w:autoSpaceDN w:val="0"/>
              <w:adjustRightInd w:val="0"/>
              <w:spacing w:line="240" w:lineRule="auto"/>
              <w:jc w:val="right"/>
              <w:rPr>
                <w:rFonts w:eastAsia="MS Mincho"/>
                <w:i/>
                <w:sz w:val="20"/>
                <w:szCs w:val="20"/>
                <w:lang w:val="en-US" w:eastAsia="ja-JP"/>
              </w:rPr>
            </w:pP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56C739B0" w14:textId="77777777" w:rsidR="00E8738C" w:rsidRPr="00986F85" w:rsidRDefault="00E8738C" w:rsidP="007517F0">
            <w:pPr>
              <w:widowControl w:val="0"/>
              <w:autoSpaceDE w:val="0"/>
              <w:autoSpaceDN w:val="0"/>
              <w:adjustRightInd w:val="0"/>
              <w:spacing w:line="240" w:lineRule="auto"/>
              <w:jc w:val="right"/>
              <w:rPr>
                <w:rFonts w:eastAsia="MS Mincho"/>
                <w:i/>
                <w:sz w:val="20"/>
                <w:szCs w:val="20"/>
                <w:lang w:val="en-US" w:eastAsia="ja-JP"/>
              </w:rPr>
            </w:pPr>
          </w:p>
        </w:tc>
      </w:tr>
      <w:tr w:rsidR="00E8738C" w:rsidRPr="00986F85" w14:paraId="669B2FC1"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09ABD69B" w14:textId="77777777" w:rsidR="00E8738C" w:rsidRPr="00986F85" w:rsidRDefault="00E8738C" w:rsidP="007517F0">
            <w:pPr>
              <w:widowControl w:val="0"/>
              <w:autoSpaceDE w:val="0"/>
              <w:autoSpaceDN w:val="0"/>
              <w:adjustRightInd w:val="0"/>
              <w:spacing w:line="240" w:lineRule="auto"/>
              <w:rPr>
                <w:rFonts w:eastAsia="MS Mincho"/>
                <w:i/>
                <w:sz w:val="20"/>
                <w:szCs w:val="20"/>
                <w:lang w:val="en-US" w:eastAsia="ja-JP"/>
              </w:rPr>
            </w:pPr>
            <w:r w:rsidRPr="00986F85">
              <w:rPr>
                <w:rFonts w:eastAsia="MS Mincho" w:cs="Myriad Pro"/>
                <w:i/>
                <w:sz w:val="20"/>
                <w:szCs w:val="20"/>
                <w:lang w:val="en-US" w:eastAsia="ja-JP"/>
              </w:rPr>
              <w:t>*** p&lt;0.01, ** p&lt;0.05, * p&lt;0.1</w:t>
            </w: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2054B348" w14:textId="77777777" w:rsidR="00E8738C" w:rsidRPr="00986F85" w:rsidRDefault="00E8738C" w:rsidP="007517F0">
            <w:pPr>
              <w:widowControl w:val="0"/>
              <w:autoSpaceDE w:val="0"/>
              <w:autoSpaceDN w:val="0"/>
              <w:adjustRightInd w:val="0"/>
              <w:spacing w:line="240" w:lineRule="auto"/>
              <w:jc w:val="right"/>
              <w:rPr>
                <w:rFonts w:eastAsia="MS Mincho"/>
                <w:i/>
                <w:sz w:val="20"/>
                <w:szCs w:val="20"/>
                <w:lang w:val="en-US" w:eastAsia="ja-JP"/>
              </w:rPr>
            </w:pP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6C6E82C2" w14:textId="77777777" w:rsidR="00E8738C" w:rsidRPr="00986F85" w:rsidRDefault="00E8738C" w:rsidP="007517F0">
            <w:pPr>
              <w:widowControl w:val="0"/>
              <w:autoSpaceDE w:val="0"/>
              <w:autoSpaceDN w:val="0"/>
              <w:adjustRightInd w:val="0"/>
              <w:spacing w:line="240" w:lineRule="auto"/>
              <w:jc w:val="right"/>
              <w:rPr>
                <w:rFonts w:eastAsia="MS Mincho"/>
                <w:i/>
                <w:sz w:val="20"/>
                <w:szCs w:val="20"/>
                <w:lang w:val="en-US" w:eastAsia="ja-JP"/>
              </w:rPr>
            </w:pPr>
          </w:p>
        </w:tc>
      </w:tr>
      <w:tr w:rsidR="00E8738C" w:rsidRPr="00986F85" w14:paraId="227F7E86" w14:textId="77777777" w:rsidTr="007517F0">
        <w:tblPrEx>
          <w:tblBorders>
            <w:top w:val="none" w:sz="0" w:space="0" w:color="auto"/>
          </w:tblBorders>
        </w:tblPrEx>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6A83F2E0" w14:textId="77777777" w:rsidR="00E8738C" w:rsidRPr="00986F85" w:rsidRDefault="00E8738C" w:rsidP="007517F0">
            <w:pPr>
              <w:widowControl w:val="0"/>
              <w:autoSpaceDE w:val="0"/>
              <w:autoSpaceDN w:val="0"/>
              <w:adjustRightInd w:val="0"/>
              <w:spacing w:line="240" w:lineRule="auto"/>
              <w:rPr>
                <w:rFonts w:eastAsia="MS Mincho"/>
                <w:i/>
                <w:sz w:val="20"/>
                <w:szCs w:val="20"/>
                <w:lang w:val="en-US" w:eastAsia="ja-JP"/>
              </w:rPr>
            </w:pPr>
            <w:r w:rsidRPr="00986F85">
              <w:rPr>
                <w:rFonts w:eastAsia="MS Mincho" w:cs="Myriad Pro"/>
                <w:i/>
                <w:sz w:val="20"/>
                <w:szCs w:val="20"/>
                <w:lang w:val="en-US" w:eastAsia="ja-JP"/>
              </w:rPr>
              <w:t>McFadden Adjusted R2</w:t>
            </w: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63096D90" w14:textId="77777777" w:rsidR="00E8738C" w:rsidRPr="00986F85" w:rsidRDefault="00E8738C" w:rsidP="007517F0">
            <w:pPr>
              <w:widowControl w:val="0"/>
              <w:autoSpaceDE w:val="0"/>
              <w:autoSpaceDN w:val="0"/>
              <w:adjustRightInd w:val="0"/>
              <w:spacing w:line="240" w:lineRule="auto"/>
              <w:jc w:val="right"/>
              <w:rPr>
                <w:rFonts w:eastAsia="MS Mincho"/>
                <w:i/>
                <w:sz w:val="20"/>
                <w:szCs w:val="20"/>
                <w:lang w:val="en-US" w:eastAsia="ja-JP"/>
              </w:rPr>
            </w:pPr>
            <w:r w:rsidRPr="00986F85">
              <w:rPr>
                <w:rFonts w:eastAsia="MS Mincho" w:cs="Myriad Pro"/>
                <w:i/>
                <w:sz w:val="20"/>
                <w:szCs w:val="20"/>
                <w:lang w:val="en-US" w:eastAsia="ja-JP"/>
              </w:rPr>
              <w:t>0,138</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7BBD269E" w14:textId="77777777" w:rsidR="00E8738C" w:rsidRPr="00986F85" w:rsidRDefault="00E8738C" w:rsidP="007517F0">
            <w:pPr>
              <w:widowControl w:val="0"/>
              <w:autoSpaceDE w:val="0"/>
              <w:autoSpaceDN w:val="0"/>
              <w:adjustRightInd w:val="0"/>
              <w:spacing w:line="240" w:lineRule="auto"/>
              <w:jc w:val="right"/>
              <w:rPr>
                <w:rFonts w:eastAsia="MS Mincho"/>
                <w:i/>
                <w:sz w:val="20"/>
                <w:szCs w:val="20"/>
                <w:lang w:val="en-US" w:eastAsia="ja-JP"/>
              </w:rPr>
            </w:pPr>
          </w:p>
        </w:tc>
      </w:tr>
      <w:tr w:rsidR="00E8738C" w:rsidRPr="00986F85" w14:paraId="4E7C9D38" w14:textId="77777777" w:rsidTr="007517F0">
        <w:trPr>
          <w:trHeight w:hRule="exact" w:val="227"/>
          <w:tblHeader/>
        </w:trPr>
        <w:tc>
          <w:tcPr>
            <w:tcW w:w="478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1025AFBA" w14:textId="77777777" w:rsidR="00E8738C" w:rsidRPr="00986F85" w:rsidRDefault="00E8738C" w:rsidP="007517F0">
            <w:pPr>
              <w:widowControl w:val="0"/>
              <w:autoSpaceDE w:val="0"/>
              <w:autoSpaceDN w:val="0"/>
              <w:adjustRightInd w:val="0"/>
              <w:spacing w:line="240" w:lineRule="auto"/>
              <w:rPr>
                <w:rFonts w:eastAsia="MS Mincho"/>
                <w:i/>
                <w:sz w:val="20"/>
                <w:szCs w:val="20"/>
                <w:lang w:val="en-US" w:eastAsia="ja-JP"/>
              </w:rPr>
            </w:pPr>
            <w:r w:rsidRPr="00986F85">
              <w:rPr>
                <w:rFonts w:eastAsia="MS Mincho" w:cs="Myriad Pro"/>
                <w:i/>
                <w:sz w:val="20"/>
                <w:szCs w:val="20"/>
                <w:lang w:val="en-US" w:eastAsia="ja-JP"/>
              </w:rPr>
              <w:t>Cragg-Uhler R2</w:t>
            </w:r>
          </w:p>
        </w:tc>
        <w:tc>
          <w:tcPr>
            <w:tcW w:w="1985"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10D32C45" w14:textId="77777777" w:rsidR="00E8738C" w:rsidRPr="00986F85" w:rsidRDefault="00E8738C" w:rsidP="007517F0">
            <w:pPr>
              <w:widowControl w:val="0"/>
              <w:autoSpaceDE w:val="0"/>
              <w:autoSpaceDN w:val="0"/>
              <w:adjustRightInd w:val="0"/>
              <w:spacing w:line="240" w:lineRule="auto"/>
              <w:jc w:val="right"/>
              <w:rPr>
                <w:rFonts w:eastAsia="MS Mincho"/>
                <w:i/>
                <w:sz w:val="20"/>
                <w:szCs w:val="20"/>
                <w:lang w:val="en-US" w:eastAsia="ja-JP"/>
              </w:rPr>
            </w:pPr>
            <w:r w:rsidRPr="00986F85">
              <w:rPr>
                <w:rFonts w:eastAsia="MS Mincho" w:cs="Myriad Pro"/>
                <w:i/>
                <w:sz w:val="20"/>
                <w:szCs w:val="20"/>
                <w:lang w:val="en-US" w:eastAsia="ja-JP"/>
              </w:rPr>
              <w:t>0,167</w:t>
            </w:r>
          </w:p>
        </w:tc>
        <w:tc>
          <w:tcPr>
            <w:tcW w:w="1977"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tcPr>
          <w:p w14:paraId="1056014D" w14:textId="77777777" w:rsidR="00E8738C" w:rsidRPr="00986F85" w:rsidRDefault="00E8738C" w:rsidP="007517F0">
            <w:pPr>
              <w:widowControl w:val="0"/>
              <w:autoSpaceDE w:val="0"/>
              <w:autoSpaceDN w:val="0"/>
              <w:adjustRightInd w:val="0"/>
              <w:spacing w:line="240" w:lineRule="auto"/>
              <w:jc w:val="right"/>
              <w:rPr>
                <w:rFonts w:eastAsia="MS Mincho"/>
                <w:i/>
                <w:sz w:val="20"/>
                <w:szCs w:val="20"/>
                <w:lang w:val="en-US" w:eastAsia="ja-JP"/>
              </w:rPr>
            </w:pPr>
          </w:p>
        </w:tc>
      </w:tr>
    </w:tbl>
    <w:p w14:paraId="1DA85AAB" w14:textId="77777777" w:rsidR="00E8738C" w:rsidRPr="00986F85" w:rsidRDefault="00E8738C" w:rsidP="00E8738C">
      <w:pPr>
        <w:widowControl w:val="0"/>
        <w:autoSpaceDE w:val="0"/>
        <w:autoSpaceDN w:val="0"/>
        <w:adjustRightInd w:val="0"/>
        <w:spacing w:after="0" w:line="240" w:lineRule="auto"/>
        <w:jc w:val="both"/>
        <w:rPr>
          <w:rFonts w:eastAsia="MS Mincho" w:cs="Times New Roman"/>
          <w:szCs w:val="24"/>
          <w:lang w:eastAsia="ja-JP"/>
        </w:rPr>
      </w:pPr>
      <w:r w:rsidRPr="00986F85">
        <w:rPr>
          <w:rFonts w:eastAsia="MS Mincho" w:cs="Myriad Pro"/>
          <w:i/>
          <w:iCs/>
          <w:szCs w:val="24"/>
          <w:lang w:eastAsia="ja-JP"/>
        </w:rPr>
        <w:t>Forrás: saját számítás</w:t>
      </w:r>
      <w:r w:rsidR="00426835" w:rsidRPr="00986F85">
        <w:rPr>
          <w:rFonts w:eastAsia="MS Mincho" w:cs="Times New Roman"/>
          <w:i/>
          <w:iCs/>
          <w:szCs w:val="24"/>
          <w:lang w:eastAsia="ja-JP"/>
        </w:rPr>
        <w:t>, EMIR-NAV kapcsolt adatbázis</w:t>
      </w:r>
    </w:p>
    <w:p w14:paraId="5EAB061F" w14:textId="77777777" w:rsidR="00E8738C" w:rsidRPr="00986F85" w:rsidRDefault="00E8738C" w:rsidP="00E8738C">
      <w:pPr>
        <w:widowControl w:val="0"/>
        <w:autoSpaceDE w:val="0"/>
        <w:autoSpaceDN w:val="0"/>
        <w:adjustRightInd w:val="0"/>
        <w:spacing w:after="0" w:line="240" w:lineRule="auto"/>
        <w:jc w:val="both"/>
        <w:rPr>
          <w:rFonts w:eastAsia="MS Mincho" w:cs="Times New Roman"/>
          <w:i/>
          <w:iCs/>
          <w:szCs w:val="24"/>
          <w:lang w:eastAsia="ja-JP"/>
        </w:rPr>
      </w:pPr>
      <w:r w:rsidRPr="00986F85">
        <w:rPr>
          <w:rFonts w:eastAsia="MS Mincho" w:cs="Myriad Pro"/>
          <w:i/>
          <w:iCs/>
          <w:szCs w:val="24"/>
          <w:lang w:eastAsia="ja-JP"/>
        </w:rPr>
        <w:t>Megjegyzés: A marginális hatások a többi változó átlagértékén lettek meghatározva.</w:t>
      </w:r>
      <w:r w:rsidR="00B51EFD" w:rsidRPr="00986F85">
        <w:rPr>
          <w:rFonts w:eastAsia="MS Mincho" w:cs="Times New Roman"/>
          <w:i/>
          <w:iCs/>
          <w:szCs w:val="24"/>
          <w:lang w:eastAsia="ja-JP"/>
        </w:rPr>
        <w:t xml:space="preserve"> Vizsgált sokaság: 2007-2011</w:t>
      </w:r>
      <w:r w:rsidR="0058513E" w:rsidRPr="00986F85">
        <w:rPr>
          <w:rFonts w:eastAsia="MS Mincho" w:cs="Times New Roman"/>
          <w:i/>
          <w:iCs/>
          <w:szCs w:val="24"/>
          <w:lang w:eastAsia="ja-JP"/>
        </w:rPr>
        <w:t xml:space="preserve"> között nyertes, 5</w:t>
      </w:r>
      <w:r w:rsidR="00FA1261" w:rsidRPr="00986F85">
        <w:rPr>
          <w:rFonts w:eastAsia="MS Mincho" w:cs="Times New Roman"/>
          <w:i/>
          <w:iCs/>
          <w:szCs w:val="24"/>
          <w:lang w:eastAsia="ja-JP"/>
        </w:rPr>
        <w:t xml:space="preserve"> fő feletti foglalkoztatotti létszámmal rendelkező cégek.</w:t>
      </w:r>
    </w:p>
    <w:p w14:paraId="6216AF59" w14:textId="77777777" w:rsidR="00FA1261" w:rsidRPr="00986F85" w:rsidRDefault="00FA1261" w:rsidP="00E8738C">
      <w:pPr>
        <w:widowControl w:val="0"/>
        <w:autoSpaceDE w:val="0"/>
        <w:autoSpaceDN w:val="0"/>
        <w:adjustRightInd w:val="0"/>
        <w:spacing w:after="0" w:line="240" w:lineRule="auto"/>
        <w:jc w:val="both"/>
        <w:rPr>
          <w:rFonts w:eastAsia="MS Mincho" w:cs="Times New Roman"/>
          <w:szCs w:val="24"/>
          <w:lang w:eastAsia="ja-JP"/>
        </w:rPr>
      </w:pPr>
    </w:p>
    <w:p w14:paraId="1B51CC3D" w14:textId="77777777" w:rsidR="00E8738C" w:rsidRPr="00986F85" w:rsidRDefault="00E8738C" w:rsidP="00E8738C">
      <w:pPr>
        <w:widowControl w:val="0"/>
        <w:autoSpaceDE w:val="0"/>
        <w:autoSpaceDN w:val="0"/>
        <w:adjustRightInd w:val="0"/>
        <w:spacing w:after="0" w:line="240" w:lineRule="auto"/>
        <w:jc w:val="both"/>
        <w:rPr>
          <w:rFonts w:eastAsia="MS Mincho"/>
          <w:szCs w:val="24"/>
          <w:lang w:eastAsia="ja-JP"/>
        </w:rPr>
      </w:pPr>
    </w:p>
    <w:p w14:paraId="2C151102" w14:textId="77777777" w:rsidR="00E8738C" w:rsidRPr="00986F85" w:rsidRDefault="00E8738C" w:rsidP="00285FFF">
      <w:pPr>
        <w:widowControl w:val="0"/>
        <w:autoSpaceDE w:val="0"/>
        <w:autoSpaceDN w:val="0"/>
        <w:adjustRightInd w:val="0"/>
        <w:spacing w:after="0" w:line="360" w:lineRule="auto"/>
        <w:jc w:val="both"/>
        <w:rPr>
          <w:rFonts w:eastAsia="MS Mincho"/>
          <w:lang w:eastAsia="ja-JP"/>
        </w:rPr>
      </w:pPr>
      <w:r w:rsidRPr="00986F85">
        <w:rPr>
          <w:rFonts w:eastAsia="MS Mincho" w:cs="Myriad Pro"/>
          <w:lang w:eastAsia="ja-JP"/>
        </w:rPr>
        <w:lastRenderedPageBreak/>
        <w:t>Összefoglalva elmondható, hogy az időben korlátozottan rendelkezésünkre álló (2006</w:t>
      </w:r>
      <w:r w:rsidR="00204F12" w:rsidRPr="00986F85">
        <w:rPr>
          <w:rFonts w:eastAsia="MS Mincho" w:cs="Times New Roman"/>
          <w:lang w:eastAsia="ja-JP"/>
        </w:rPr>
        <w:t>-2011</w:t>
      </w:r>
      <w:r w:rsidR="007543DC" w:rsidRPr="00986F85">
        <w:rPr>
          <w:rFonts w:eastAsia="MS Mincho" w:cs="Times New Roman"/>
          <w:lang w:eastAsia="ja-JP"/>
        </w:rPr>
        <w:t>-es</w:t>
      </w:r>
      <w:r w:rsidRPr="00986F85">
        <w:rPr>
          <w:rFonts w:eastAsia="MS Mincho" w:cs="Myriad Pro"/>
          <w:lang w:eastAsia="ja-JP"/>
        </w:rPr>
        <w:t>) vállalati adatok alapján:</w:t>
      </w:r>
    </w:p>
    <w:p w14:paraId="3F3A5331" w14:textId="77777777" w:rsidR="00E8738C" w:rsidRPr="00986F85" w:rsidRDefault="00285FFF" w:rsidP="00285FFF">
      <w:pPr>
        <w:widowControl w:val="0"/>
        <w:numPr>
          <w:ilvl w:val="0"/>
          <w:numId w:val="38"/>
        </w:numPr>
        <w:autoSpaceDE w:val="0"/>
        <w:autoSpaceDN w:val="0"/>
        <w:adjustRightInd w:val="0"/>
        <w:spacing w:after="0" w:line="360" w:lineRule="auto"/>
        <w:jc w:val="both"/>
        <w:rPr>
          <w:rFonts w:eastAsia="MS Mincho"/>
          <w:lang w:val="en-US" w:eastAsia="ja-JP"/>
        </w:rPr>
      </w:pPr>
      <w:r w:rsidRPr="00986F85">
        <w:rPr>
          <w:rFonts w:eastAsia="MS Mincho" w:cs="Times New Roman"/>
          <w:lang w:val="en-US" w:eastAsia="ja-JP"/>
        </w:rPr>
        <w:t xml:space="preserve">minél </w:t>
      </w:r>
      <w:r w:rsidR="001546B2" w:rsidRPr="00986F85">
        <w:rPr>
          <w:rFonts w:eastAsia="MS Mincho" w:cs="Times New Roman"/>
          <w:lang w:val="en-US" w:eastAsia="ja-JP"/>
        </w:rPr>
        <w:t>újabb alapítású</w:t>
      </w:r>
      <w:r w:rsidRPr="00986F85">
        <w:rPr>
          <w:rFonts w:eastAsia="MS Mincho" w:cs="Times New Roman"/>
          <w:lang w:val="en-US" w:eastAsia="ja-JP"/>
        </w:rPr>
        <w:t xml:space="preserve">, </w:t>
      </w:r>
    </w:p>
    <w:p w14:paraId="3B9653FF" w14:textId="77777777" w:rsidR="00E8738C" w:rsidRPr="00986F85" w:rsidRDefault="00E8738C" w:rsidP="00285FFF">
      <w:pPr>
        <w:widowControl w:val="0"/>
        <w:numPr>
          <w:ilvl w:val="0"/>
          <w:numId w:val="38"/>
        </w:numPr>
        <w:autoSpaceDE w:val="0"/>
        <w:autoSpaceDN w:val="0"/>
        <w:adjustRightInd w:val="0"/>
        <w:spacing w:after="0" w:line="360" w:lineRule="auto"/>
        <w:jc w:val="both"/>
        <w:rPr>
          <w:rFonts w:eastAsia="MS Mincho"/>
          <w:lang w:val="en-US" w:eastAsia="ja-JP"/>
        </w:rPr>
      </w:pPr>
      <w:r w:rsidRPr="00986F85">
        <w:rPr>
          <w:rFonts w:eastAsia="MS Mincho" w:cs="Myriad Pro"/>
          <w:lang w:val="en-US" w:eastAsia="ja-JP"/>
        </w:rPr>
        <w:t xml:space="preserve">nagyobb tárgyi eszközállománnyal bíró, </w:t>
      </w:r>
    </w:p>
    <w:p w14:paraId="11212545" w14:textId="77777777" w:rsidR="004D6CB1" w:rsidRPr="00986F85" w:rsidRDefault="00E8738C" w:rsidP="00285FFF">
      <w:pPr>
        <w:widowControl w:val="0"/>
        <w:numPr>
          <w:ilvl w:val="0"/>
          <w:numId w:val="38"/>
        </w:numPr>
        <w:suppressAutoHyphens w:val="0"/>
        <w:autoSpaceDE w:val="0"/>
        <w:autoSpaceDN w:val="0"/>
        <w:adjustRightInd w:val="0"/>
        <w:spacing w:after="0" w:line="360" w:lineRule="auto"/>
        <w:ind w:right="-432"/>
        <w:jc w:val="both"/>
        <w:rPr>
          <w:rFonts w:eastAsia="MS Mincho"/>
          <w:lang w:val="en-US" w:eastAsia="ja-JP"/>
        </w:rPr>
      </w:pPr>
      <w:r w:rsidRPr="00986F85">
        <w:rPr>
          <w:rFonts w:eastAsia="MS Mincho" w:cs="Myriad Pro"/>
          <w:lang w:val="en-US" w:eastAsia="ja-JP"/>
        </w:rPr>
        <w:t>kevésbé likvid</w:t>
      </w:r>
      <w:r w:rsidR="004D6CB1" w:rsidRPr="00986F85">
        <w:rPr>
          <w:rFonts w:eastAsia="MS Mincho" w:cs="Times New Roman"/>
          <w:lang w:val="en-US" w:eastAsia="ja-JP"/>
        </w:rPr>
        <w:t xml:space="preserve"> </w:t>
      </w:r>
      <w:r w:rsidR="00E234EA" w:rsidRPr="00986F85">
        <w:rPr>
          <w:rFonts w:eastAsia="MS Mincho" w:cs="Myriad Pro"/>
          <w:lang w:val="en-US" w:eastAsia="ja-JP"/>
        </w:rPr>
        <w:t>és</w:t>
      </w:r>
      <w:r w:rsidR="004D6CB1" w:rsidRPr="00986F85">
        <w:rPr>
          <w:rFonts w:eastAsia="MS Mincho" w:cs="Times New Roman"/>
          <w:lang w:val="en-US" w:eastAsia="ja-JP"/>
        </w:rPr>
        <w:t xml:space="preserve"> tőkeintenzív, illetve</w:t>
      </w:r>
      <w:r w:rsidR="00E234EA" w:rsidRPr="00986F85">
        <w:rPr>
          <w:rFonts w:eastAsia="MS Mincho" w:cs="Myriad Pro"/>
          <w:lang w:val="en-US" w:eastAsia="ja-JP"/>
        </w:rPr>
        <w:t xml:space="preserve"> </w:t>
      </w:r>
    </w:p>
    <w:p w14:paraId="3F9F946B" w14:textId="77777777" w:rsidR="00E8738C" w:rsidRPr="00986F85" w:rsidRDefault="00E234EA" w:rsidP="00285FFF">
      <w:pPr>
        <w:widowControl w:val="0"/>
        <w:numPr>
          <w:ilvl w:val="0"/>
          <w:numId w:val="38"/>
        </w:numPr>
        <w:suppressAutoHyphens w:val="0"/>
        <w:autoSpaceDE w:val="0"/>
        <w:autoSpaceDN w:val="0"/>
        <w:adjustRightInd w:val="0"/>
        <w:spacing w:after="0" w:line="360" w:lineRule="auto"/>
        <w:ind w:right="-432"/>
        <w:jc w:val="both"/>
        <w:rPr>
          <w:rFonts w:eastAsia="MS Mincho"/>
          <w:lang w:val="en-US" w:eastAsia="ja-JP"/>
        </w:rPr>
      </w:pPr>
      <w:r w:rsidRPr="00986F85">
        <w:rPr>
          <w:rFonts w:eastAsia="MS Mincho" w:cs="Myriad Pro"/>
          <w:lang w:val="en-US" w:eastAsia="ja-JP"/>
        </w:rPr>
        <w:t>kisebb hozzáadott értéket állít elő</w:t>
      </w:r>
    </w:p>
    <w:p w14:paraId="680DAA3B" w14:textId="77777777" w:rsidR="00E8738C" w:rsidRPr="00986F85" w:rsidRDefault="00285FFF" w:rsidP="00285FFF">
      <w:pPr>
        <w:widowControl w:val="0"/>
        <w:autoSpaceDE w:val="0"/>
        <w:autoSpaceDN w:val="0"/>
        <w:adjustRightInd w:val="0"/>
        <w:spacing w:after="0" w:line="360" w:lineRule="auto"/>
        <w:jc w:val="both"/>
        <w:rPr>
          <w:rFonts w:eastAsia="MS Mincho" w:cs="Times New Roman"/>
          <w:lang w:val="en-US" w:eastAsia="ja-JP"/>
        </w:rPr>
      </w:pPr>
      <w:r w:rsidRPr="00986F85">
        <w:rPr>
          <w:rFonts w:eastAsia="MS Mincho" w:cs="Times New Roman"/>
          <w:lang w:val="en-US" w:eastAsia="ja-JP"/>
        </w:rPr>
        <w:t>egy</w:t>
      </w:r>
      <w:r w:rsidR="00E234EA" w:rsidRPr="00986F85">
        <w:rPr>
          <w:rFonts w:eastAsia="MS Mincho" w:cs="Times New Roman"/>
          <w:lang w:val="en-US" w:eastAsia="ja-JP"/>
        </w:rPr>
        <w:t>-egy</w:t>
      </w:r>
      <w:r w:rsidRPr="00986F85">
        <w:rPr>
          <w:rFonts w:eastAsia="MS Mincho" w:cs="Times New Roman"/>
          <w:lang w:val="en-US" w:eastAsia="ja-JP"/>
        </w:rPr>
        <w:t xml:space="preserve"> pályázó </w:t>
      </w:r>
      <w:r w:rsidRPr="00986F85">
        <w:rPr>
          <w:rFonts w:eastAsia="MS Mincho" w:cs="Myriad Pro"/>
          <w:lang w:val="en-US" w:eastAsia="ja-JP"/>
        </w:rPr>
        <w:t xml:space="preserve">vállalat, annál nagyobb </w:t>
      </w:r>
      <w:r w:rsidR="00E8738C" w:rsidRPr="00986F85">
        <w:rPr>
          <w:rFonts w:eastAsia="MS Mincho" w:cs="Myriad Pro"/>
          <w:lang w:val="en-US" w:eastAsia="ja-JP"/>
        </w:rPr>
        <w:t xml:space="preserve">valószínűséggel </w:t>
      </w:r>
      <w:r w:rsidRPr="00986F85">
        <w:rPr>
          <w:rFonts w:eastAsia="MS Mincho" w:cs="Times New Roman"/>
          <w:lang w:val="en-US" w:eastAsia="ja-JP"/>
        </w:rPr>
        <w:t xml:space="preserve">nyert támogatást </w:t>
      </w:r>
      <w:r w:rsidR="00E8738C" w:rsidRPr="00986F85">
        <w:rPr>
          <w:rFonts w:eastAsia="MS Mincho" w:cs="Myriad Pro"/>
          <w:lang w:val="en-US" w:eastAsia="ja-JP"/>
        </w:rPr>
        <w:t xml:space="preserve">a 2007-2011 közötti időszakban. A leghátrányosabb helyzetű kistérségben található cégeknek pedig egyértelműen kedveztek a kiírások. </w:t>
      </w:r>
      <w:r w:rsidR="00EC5991" w:rsidRPr="00986F85">
        <w:rPr>
          <w:rFonts w:eastAsia="MS Mincho" w:cs="Times New Roman"/>
          <w:lang w:val="en-US" w:eastAsia="ja-JP"/>
        </w:rPr>
        <w:t xml:space="preserve"> </w:t>
      </w:r>
    </w:p>
    <w:p w14:paraId="6F487FB5" w14:textId="77777777" w:rsidR="0017066A" w:rsidRPr="00986F85" w:rsidRDefault="00EC5991" w:rsidP="004A1D51">
      <w:pPr>
        <w:widowControl w:val="0"/>
        <w:autoSpaceDE w:val="0"/>
        <w:autoSpaceDN w:val="0"/>
        <w:adjustRightInd w:val="0"/>
        <w:spacing w:after="0" w:line="360" w:lineRule="auto"/>
        <w:jc w:val="both"/>
        <w:rPr>
          <w:rFonts w:cs="Times New Roman"/>
          <w:b/>
          <w:szCs w:val="24"/>
        </w:rPr>
      </w:pPr>
      <w:r w:rsidRPr="00986F85">
        <w:rPr>
          <w:rFonts w:eastAsia="MS Mincho" w:cs="Times New Roman"/>
          <w:lang w:val="en-US" w:eastAsia="ja-JP"/>
        </w:rPr>
        <w:t>Megjegyzendő: míg a hozzáadott érték esetében kevésbé megbízhatóak az eredmények, mind a bővebb, mind a szűkebb almintán ki</w:t>
      </w:r>
      <w:r w:rsidR="0058513E" w:rsidRPr="00986F85">
        <w:rPr>
          <w:rFonts w:eastAsia="MS Mincho" w:cs="Times New Roman"/>
          <w:lang w:val="en-US" w:eastAsia="ja-JP"/>
        </w:rPr>
        <w:t xml:space="preserve">sebb 10 százalékos hibahatárral. </w:t>
      </w:r>
    </w:p>
    <w:p w14:paraId="4B5840A2" w14:textId="77777777" w:rsidR="009658BB" w:rsidRPr="00986F85" w:rsidRDefault="009658BB" w:rsidP="00BD324F">
      <w:pPr>
        <w:spacing w:after="0" w:line="360" w:lineRule="auto"/>
        <w:jc w:val="both"/>
        <w:rPr>
          <w:rFonts w:cs="Times New Roman"/>
          <w:b/>
          <w:szCs w:val="24"/>
        </w:rPr>
      </w:pPr>
    </w:p>
    <w:p w14:paraId="13B466B0" w14:textId="77777777" w:rsidR="00D7733C" w:rsidRPr="00986F85" w:rsidRDefault="009658BB" w:rsidP="00BD324F">
      <w:pPr>
        <w:spacing w:after="0" w:line="360" w:lineRule="auto"/>
        <w:jc w:val="both"/>
        <w:rPr>
          <w:rFonts w:cs="Times New Roman"/>
          <w:b/>
          <w:szCs w:val="24"/>
        </w:rPr>
      </w:pPr>
      <w:r w:rsidRPr="00986F85">
        <w:rPr>
          <w:rFonts w:cs="Times New Roman"/>
          <w:b/>
          <w:szCs w:val="24"/>
        </w:rPr>
        <w:t xml:space="preserve">Vállakozás szintű hatások </w:t>
      </w:r>
    </w:p>
    <w:p w14:paraId="0AD42DA1" w14:textId="77777777" w:rsidR="005510B3" w:rsidRPr="00986F85" w:rsidRDefault="005510B3" w:rsidP="00BC7F01">
      <w:pPr>
        <w:widowControl w:val="0"/>
        <w:autoSpaceDE w:val="0"/>
        <w:autoSpaceDN w:val="0"/>
        <w:adjustRightInd w:val="0"/>
        <w:spacing w:after="0" w:line="360" w:lineRule="auto"/>
        <w:jc w:val="both"/>
        <w:rPr>
          <w:rFonts w:cs="Times New Roman"/>
          <w:szCs w:val="24"/>
        </w:rPr>
      </w:pPr>
      <w:r w:rsidRPr="00986F85">
        <w:rPr>
          <w:rFonts w:cs="Myriad Pro"/>
          <w:szCs w:val="24"/>
        </w:rPr>
        <w:t>A hatásvizsgálat során a kezeltek tekintetében két csoportot különböztet</w:t>
      </w:r>
      <w:r w:rsidRPr="00986F85">
        <w:rPr>
          <w:szCs w:val="24"/>
        </w:rPr>
        <w:t>t</w:t>
      </w:r>
      <w:r w:rsidRPr="00986F85">
        <w:rPr>
          <w:rFonts w:cs="Myriad Pro"/>
          <w:szCs w:val="24"/>
        </w:rPr>
        <w:t xml:space="preserve">ünk meg. Az egyik csoport azokat a GOP A nyerteseket tartalmazza, akik 2007-2009 között megkapták a támogatás teljes összegét, de más pályázatból nem kaptak pénzt.  A másik csoportot azok a kezelt cégek képezik, akik vagy az előző csoportba tartoznak, vagy olyanok, akik a GOP A kiírásokhoz hasonló KMOP-2.1.1. A nyertesek. Az adatok megbízhatósága miatt elsősorban az 5 fő feletti cégekre fókuszáltunk, mert ebben a körben </w:t>
      </w:r>
      <w:r w:rsidR="00BC7F01" w:rsidRPr="00986F85">
        <w:rPr>
          <w:rFonts w:cs="Times New Roman"/>
          <w:szCs w:val="24"/>
        </w:rPr>
        <w:t>lényegesen</w:t>
      </w:r>
      <w:r w:rsidRPr="00986F85">
        <w:rPr>
          <w:rFonts w:cs="Myriad Pro"/>
          <w:szCs w:val="24"/>
        </w:rPr>
        <w:t xml:space="preserve"> kisebb a mérlegadatok hiánya, egyértelműbb az ágazati hovatartozás</w:t>
      </w:r>
      <w:r w:rsidR="00BC7F01" w:rsidRPr="00986F85">
        <w:rPr>
          <w:rFonts w:cs="Times New Roman"/>
          <w:szCs w:val="24"/>
        </w:rPr>
        <w:t>. Ugyanakkor</w:t>
      </w:r>
      <w:r w:rsidRPr="00986F85">
        <w:rPr>
          <w:rFonts w:cs="Times New Roman"/>
          <w:szCs w:val="24"/>
        </w:rPr>
        <w:t xml:space="preserve"> </w:t>
      </w:r>
      <w:r w:rsidRPr="00986F85">
        <w:rPr>
          <w:rFonts w:cs="Myriad Pro"/>
          <w:szCs w:val="24"/>
        </w:rPr>
        <w:t xml:space="preserve">a minta elemszámának növelése érdekében 3 fő feletti mintára is elvégeztük az elemzéseket mindkét előbb említett célcsoport esetében.  </w:t>
      </w:r>
    </w:p>
    <w:p w14:paraId="08E73C1A" w14:textId="77777777" w:rsidR="00BC7F01" w:rsidRPr="00986F85" w:rsidRDefault="00BC7F01" w:rsidP="00BC7F01">
      <w:pPr>
        <w:widowControl w:val="0"/>
        <w:autoSpaceDE w:val="0"/>
        <w:autoSpaceDN w:val="0"/>
        <w:adjustRightInd w:val="0"/>
        <w:spacing w:after="0" w:line="360" w:lineRule="auto"/>
        <w:jc w:val="both"/>
        <w:rPr>
          <w:rFonts w:cs="Times New Roman"/>
          <w:szCs w:val="24"/>
        </w:rPr>
      </w:pPr>
    </w:p>
    <w:p w14:paraId="29F97748" w14:textId="77777777" w:rsidR="005510B3" w:rsidRPr="00986F85" w:rsidRDefault="005510B3" w:rsidP="00BC7F01">
      <w:pPr>
        <w:pStyle w:val="Lbjegyzetszveg"/>
        <w:spacing w:after="0" w:line="360" w:lineRule="auto"/>
        <w:jc w:val="both"/>
        <w:rPr>
          <w:rFonts w:cs="Myriad Pro"/>
        </w:rPr>
      </w:pPr>
      <w:r w:rsidRPr="00986F85">
        <w:rPr>
          <w:rFonts w:cs="Myriad Pro"/>
        </w:rPr>
        <w:t>A támogatás hatását a következő kilenc vállalati ismérv változásán mérjük: árbevétel, egy főre j</w:t>
      </w:r>
      <w:r w:rsidR="00BC7F01" w:rsidRPr="00986F85">
        <w:rPr>
          <w:rFonts w:cs="Myriad Pro"/>
        </w:rPr>
        <w:t xml:space="preserve">utó árbevétel, eredmény (üzemi </w:t>
      </w:r>
      <w:r w:rsidRPr="00986F85">
        <w:rPr>
          <w:rFonts w:cs="Myriad Pro"/>
        </w:rPr>
        <w:t>tevékenység eredménye), egy főre jutó eredmény, tárgyi eszközök értéke, egy főre jutó tárgyi eszköz, foglalkoztatottak száma, hozzáadott érték, egy főre jutó hozzáadott érték</w:t>
      </w:r>
      <w:r w:rsidR="00BC7F01" w:rsidRPr="00986F85">
        <w:rPr>
          <w:rFonts w:cs="Myriad Pro"/>
        </w:rPr>
        <w:t xml:space="preserve"> és a likviditási mutató</w:t>
      </w:r>
      <w:r w:rsidRPr="00986F85">
        <w:rPr>
          <w:rFonts w:cs="Myriad Pro"/>
        </w:rPr>
        <w:t xml:space="preserve">. </w:t>
      </w:r>
      <w:r w:rsidR="00BC7F01" w:rsidRPr="00986F85">
        <w:rPr>
          <w:rFonts w:cs="Myriad Pro"/>
        </w:rPr>
        <w:t xml:space="preserve">(Ez utóbbit a következők szerint kalkuláltuk: forgóeszközök /rövid lejáratú kötelezettségek = (készletek + követelések + értékpapírok + pénzeszközök)/rövid lejáratú kötelezettségek). </w:t>
      </w:r>
      <w:r w:rsidRPr="00986F85">
        <w:rPr>
          <w:rFonts w:cs="Myriad Pro"/>
        </w:rPr>
        <w:t xml:space="preserve">A párosításos modellekben az előbbi ismérvek 2011/2006-os változása a függő változó, különbségek </w:t>
      </w:r>
      <w:r w:rsidRPr="00986F85">
        <w:rPr>
          <w:rFonts w:cs="Myriad Pro"/>
        </w:rPr>
        <w:lastRenderedPageBreak/>
        <w:t>különbsége modellekben ezen ismérvek szintjei, míg a panel modellben az eredmény és az egy főre jutó eredmény változókon kívül a függő változók logaritmusa szerepel.</w:t>
      </w:r>
    </w:p>
    <w:p w14:paraId="6261C3B8" w14:textId="77777777" w:rsidR="00BC7F01" w:rsidRPr="00986F85" w:rsidRDefault="00BC7F01" w:rsidP="00BC7F01">
      <w:pPr>
        <w:widowControl w:val="0"/>
        <w:autoSpaceDE w:val="0"/>
        <w:autoSpaceDN w:val="0"/>
        <w:adjustRightInd w:val="0"/>
        <w:spacing w:after="0" w:line="360" w:lineRule="auto"/>
        <w:jc w:val="both"/>
        <w:rPr>
          <w:rFonts w:cs="Times New Roman"/>
          <w:szCs w:val="24"/>
        </w:rPr>
      </w:pPr>
    </w:p>
    <w:p w14:paraId="5B9E5D62" w14:textId="77777777" w:rsidR="005510B3" w:rsidRPr="00986F85" w:rsidRDefault="005510B3" w:rsidP="00BC7F01">
      <w:pPr>
        <w:widowControl w:val="0"/>
        <w:autoSpaceDE w:val="0"/>
        <w:autoSpaceDN w:val="0"/>
        <w:adjustRightInd w:val="0"/>
        <w:spacing w:after="0" w:line="360" w:lineRule="auto"/>
        <w:jc w:val="both"/>
        <w:rPr>
          <w:rFonts w:cs="Times New Roman"/>
          <w:szCs w:val="24"/>
        </w:rPr>
      </w:pPr>
      <w:r w:rsidRPr="00986F85">
        <w:rPr>
          <w:rFonts w:cs="Myriad Pro"/>
          <w:szCs w:val="24"/>
        </w:rPr>
        <w:t>A párosítás és a különbségek különbsége modellek a függő változó 2006 és 201</w:t>
      </w:r>
      <w:r w:rsidR="00BC7F01" w:rsidRPr="00986F85">
        <w:rPr>
          <w:rFonts w:cs="Myriad Pro"/>
          <w:szCs w:val="24"/>
        </w:rPr>
        <w:t xml:space="preserve">1 közötti változását mutatják, </w:t>
      </w:r>
      <w:r w:rsidRPr="00986F85">
        <w:rPr>
          <w:rFonts w:cs="Myriad Pro"/>
          <w:szCs w:val="24"/>
        </w:rPr>
        <w:t>panel model értelmezése azonban némiképp eltérő. Itt az eredmények</w:t>
      </w:r>
      <w:r w:rsidR="00BC7F01" w:rsidRPr="00986F85">
        <w:rPr>
          <w:rFonts w:cs="Times New Roman"/>
          <w:szCs w:val="24"/>
        </w:rPr>
        <w:t xml:space="preserve"> úgy értelmezhetők, hogy bármely évben</w:t>
      </w:r>
      <w:r w:rsidRPr="00986F85">
        <w:rPr>
          <w:rFonts w:cs="Times New Roman"/>
          <w:szCs w:val="24"/>
        </w:rPr>
        <w:t xml:space="preserve"> </w:t>
      </w:r>
      <w:r w:rsidRPr="00986F85">
        <w:rPr>
          <w:rFonts w:cs="Myriad Pro"/>
          <w:szCs w:val="24"/>
        </w:rPr>
        <w:t>kiválasztva egy kezelt céget</w:t>
      </w:r>
      <w:r w:rsidR="00BC7F01" w:rsidRPr="00986F85">
        <w:rPr>
          <w:rFonts w:cs="Times New Roman"/>
          <w:szCs w:val="24"/>
        </w:rPr>
        <w:t xml:space="preserve">, az várhatóan </w:t>
      </w:r>
      <w:r w:rsidRPr="00986F85">
        <w:rPr>
          <w:rFonts w:cs="Myriad Pro"/>
          <w:szCs w:val="24"/>
        </w:rPr>
        <w:t xml:space="preserve">milyen mértékben tér el a függő változó értékében </w:t>
      </w:r>
      <w:r w:rsidR="00BC7F01" w:rsidRPr="00986F85">
        <w:rPr>
          <w:rFonts w:cs="Times New Roman"/>
          <w:szCs w:val="24"/>
        </w:rPr>
        <w:t xml:space="preserve">egy, az adott céghez rendkívül hasonló, de nem nyertes céghez képest. </w:t>
      </w:r>
      <w:r w:rsidRPr="00986F85">
        <w:rPr>
          <w:szCs w:val="24"/>
        </w:rPr>
        <w:t>Fontos megjegyezni, hogy e</w:t>
      </w:r>
      <w:r w:rsidRPr="00986F85">
        <w:rPr>
          <w:rFonts w:cs="Myriad Pro"/>
          <w:szCs w:val="24"/>
        </w:rPr>
        <w:t xml:space="preserve">miatt a panel model eredményei </w:t>
      </w:r>
      <w:r w:rsidR="008467A5" w:rsidRPr="00986F85">
        <w:rPr>
          <w:rFonts w:cs="Times New Roman"/>
          <w:szCs w:val="24"/>
        </w:rPr>
        <w:t xml:space="preserve">közvetlenül </w:t>
      </w:r>
      <w:r w:rsidRPr="00986F85">
        <w:rPr>
          <w:rFonts w:cs="Myriad Pro"/>
          <w:szCs w:val="24"/>
        </w:rPr>
        <w:t xml:space="preserve">nem hasonlíthatók </w:t>
      </w:r>
      <w:r w:rsidR="008467A5" w:rsidRPr="00986F85">
        <w:rPr>
          <w:rFonts w:cs="Times New Roman"/>
          <w:szCs w:val="24"/>
        </w:rPr>
        <w:t xml:space="preserve">össze </w:t>
      </w:r>
      <w:r w:rsidRPr="00986F85">
        <w:rPr>
          <w:rFonts w:cs="Myriad Pro"/>
          <w:szCs w:val="24"/>
        </w:rPr>
        <w:t>a párosítás és a különbségek különbsége modellek eredményeivel.</w:t>
      </w:r>
    </w:p>
    <w:p w14:paraId="657155E3" w14:textId="77777777" w:rsidR="008467A5" w:rsidRPr="00986F85" w:rsidRDefault="008467A5" w:rsidP="00BC7F01">
      <w:pPr>
        <w:widowControl w:val="0"/>
        <w:autoSpaceDE w:val="0"/>
        <w:autoSpaceDN w:val="0"/>
        <w:adjustRightInd w:val="0"/>
        <w:spacing w:after="0" w:line="360" w:lineRule="auto"/>
        <w:jc w:val="both"/>
        <w:rPr>
          <w:rFonts w:cs="Times New Roman"/>
          <w:szCs w:val="24"/>
        </w:rPr>
      </w:pPr>
    </w:p>
    <w:p w14:paraId="47F8C4C6" w14:textId="77777777" w:rsidR="005510B3" w:rsidRPr="00986F85" w:rsidRDefault="005510B3" w:rsidP="005510B3">
      <w:pPr>
        <w:widowControl w:val="0"/>
        <w:autoSpaceDE w:val="0"/>
        <w:autoSpaceDN w:val="0"/>
        <w:adjustRightInd w:val="0"/>
        <w:spacing w:line="360" w:lineRule="auto"/>
        <w:jc w:val="both"/>
        <w:rPr>
          <w:szCs w:val="24"/>
        </w:rPr>
      </w:pPr>
      <w:r w:rsidRPr="00986F85">
        <w:rPr>
          <w:rFonts w:cs="Myriad Pro"/>
          <w:szCs w:val="24"/>
        </w:rPr>
        <w:t>Az egyes modellek némiképp eltérő kontrollcsoportot vesznek figyelembe, ezért a különböző modellek alkalmazása ebben a tekintetben egyfajta érzékenység-vizsgálatnak is felfogható. A párosítás és a különbségek különbsége modellek szignifikáns eredményei közötti különbségek döntően ennek köszönhetők.</w:t>
      </w:r>
    </w:p>
    <w:p w14:paraId="2DA1BB92" w14:textId="77777777" w:rsidR="005510B3" w:rsidRPr="00986F85" w:rsidRDefault="008467A5" w:rsidP="005510B3">
      <w:pPr>
        <w:widowControl w:val="0"/>
        <w:autoSpaceDE w:val="0"/>
        <w:autoSpaceDN w:val="0"/>
        <w:adjustRightInd w:val="0"/>
        <w:spacing w:line="360" w:lineRule="auto"/>
        <w:jc w:val="both"/>
        <w:rPr>
          <w:rFonts w:cs="Myriad Pro"/>
          <w:szCs w:val="24"/>
        </w:rPr>
      </w:pPr>
      <w:r w:rsidRPr="00986F85">
        <w:rPr>
          <w:rFonts w:cs="Times New Roman"/>
          <w:szCs w:val="24"/>
        </w:rPr>
        <w:t>Bár</w:t>
      </w:r>
      <w:r w:rsidR="005510B3" w:rsidRPr="00986F85">
        <w:rPr>
          <w:rFonts w:cs="Myriad Pro"/>
          <w:szCs w:val="24"/>
        </w:rPr>
        <w:t xml:space="preserve"> a három modellnek némileg eltérő lesz az interpretációja és önmagukban is értékelhetők, mégis úgy gondoljuk, hogy azokat az eredményeket tartjuk igazán megbízhatónak, melyek </w:t>
      </w:r>
      <w:r w:rsidRPr="00986F85">
        <w:rPr>
          <w:rFonts w:cs="Times New Roman"/>
          <w:szCs w:val="24"/>
        </w:rPr>
        <w:t xml:space="preserve">egy-egy változó esetében </w:t>
      </w:r>
      <w:r w:rsidR="005510B3" w:rsidRPr="00986F85">
        <w:rPr>
          <w:rFonts w:cs="Myriad Pro"/>
          <w:szCs w:val="24"/>
        </w:rPr>
        <w:t>több modellben</w:t>
      </w:r>
      <w:r w:rsidRPr="00986F85">
        <w:rPr>
          <w:rFonts w:cs="Times New Roman"/>
          <w:szCs w:val="24"/>
        </w:rPr>
        <w:t xml:space="preserve"> is ugyanarra a következtetésre vezetnek. </w:t>
      </w:r>
    </w:p>
    <w:p w14:paraId="30A58923" w14:textId="77777777" w:rsidR="00EF4A08" w:rsidRPr="00986F85" w:rsidRDefault="00EF4A08" w:rsidP="00EF4A08">
      <w:pPr>
        <w:widowControl w:val="0"/>
        <w:autoSpaceDE w:val="0"/>
        <w:autoSpaceDN w:val="0"/>
        <w:adjustRightInd w:val="0"/>
        <w:spacing w:line="360" w:lineRule="auto"/>
        <w:jc w:val="both"/>
        <w:rPr>
          <w:rFonts w:cs="Times New Roman"/>
          <w:b/>
          <w:bCs/>
          <w:i/>
          <w:szCs w:val="24"/>
        </w:rPr>
      </w:pPr>
      <w:r w:rsidRPr="00986F85">
        <w:rPr>
          <w:rFonts w:cs="Times New Roman"/>
          <w:b/>
          <w:bCs/>
          <w:i/>
          <w:szCs w:val="24"/>
        </w:rPr>
        <w:t>GOP2.1.1. A nyertesek</w:t>
      </w:r>
    </w:p>
    <w:p w14:paraId="598AC6ED" w14:textId="77777777" w:rsidR="00E0204A" w:rsidRPr="00986F85" w:rsidRDefault="00C76561" w:rsidP="005510B3">
      <w:pPr>
        <w:widowControl w:val="0"/>
        <w:autoSpaceDE w:val="0"/>
        <w:autoSpaceDN w:val="0"/>
        <w:adjustRightInd w:val="0"/>
        <w:spacing w:line="360" w:lineRule="auto"/>
        <w:jc w:val="both"/>
        <w:rPr>
          <w:rFonts w:cs="Times New Roman"/>
          <w:szCs w:val="24"/>
        </w:rPr>
      </w:pPr>
      <w:r w:rsidRPr="00986F85">
        <w:rPr>
          <w:rFonts w:cs="Myriad Pro"/>
          <w:szCs w:val="24"/>
        </w:rPr>
        <w:t xml:space="preserve">A 17. </w:t>
      </w:r>
      <w:r w:rsidR="005510B3" w:rsidRPr="00986F85">
        <w:rPr>
          <w:rFonts w:cs="Myriad Pro"/>
          <w:szCs w:val="24"/>
        </w:rPr>
        <w:t>táblázatban összefoglaltuk  az egyes modellspecifikációkból azokat, amelyekben szignifikáns eredményeket találtunk</w:t>
      </w:r>
      <w:r w:rsidR="00D52ADA" w:rsidRPr="00986F85">
        <w:rPr>
          <w:rFonts w:cs="Times New Roman"/>
          <w:szCs w:val="24"/>
        </w:rPr>
        <w:t xml:space="preserve"> a GOP2.1.1.A nyertesekre szűkített mintában</w:t>
      </w:r>
      <w:r w:rsidR="005510B3" w:rsidRPr="00986F85">
        <w:rPr>
          <w:rFonts w:cs="Myriad Pro"/>
          <w:szCs w:val="24"/>
        </w:rPr>
        <w:t>. Jól látható, hogy csak a foglalkoztatásra gyakorolt hatás szignifikáns mindhárom modellben. A különbségek különbsége modellben 3 fő feletti minta esetén azt mondhatjuk, hogy átlagosan 1 fővel nőtt  a támogatás hatására 2006 és 2011 között a kezelt csoport létszáma a kontrollhoz képest. A párosítás mindkét eljárás esetében (</w:t>
      </w:r>
      <w:r w:rsidR="005510B3" w:rsidRPr="00986F85">
        <w:rPr>
          <w:rFonts w:cs="Myriad Pro"/>
          <w:i/>
          <w:szCs w:val="24"/>
        </w:rPr>
        <w:t>kernel</w:t>
      </w:r>
      <w:r w:rsidR="005510B3" w:rsidRPr="00986F85">
        <w:rPr>
          <w:rFonts w:cs="Myriad Pro"/>
          <w:szCs w:val="24"/>
        </w:rPr>
        <w:t xml:space="preserve"> és legközelebbi szomszéd) </w:t>
      </w:r>
      <w:r w:rsidR="00EF4A08" w:rsidRPr="00986F85">
        <w:rPr>
          <w:rFonts w:cs="Myriad Pro"/>
          <w:szCs w:val="24"/>
        </w:rPr>
        <w:t>közel azonos eredményt adott: 33</w:t>
      </w:r>
      <w:r w:rsidR="005510B3" w:rsidRPr="00986F85">
        <w:rPr>
          <w:rFonts w:cs="Myriad Pro"/>
          <w:szCs w:val="24"/>
        </w:rPr>
        <w:t xml:space="preserve">-35 százalékpont az átlagos kezelési hatás, azaz ennyivel nagyobb mértékben nőtt 2006-2011 között a foglalkoztatás a kezelt cégeknél a kontrollcsoportba tartozó cégekhez képest. Az öt fő feletti minta esetében </w:t>
      </w:r>
      <w:r w:rsidR="005510B3" w:rsidRPr="00986F85">
        <w:rPr>
          <w:rFonts w:cs="Myriad Pro"/>
          <w:szCs w:val="24"/>
        </w:rPr>
        <w:lastRenderedPageBreak/>
        <w:t xml:space="preserve">nagyon hasonló eredményeket </w:t>
      </w:r>
      <w:r w:rsidR="00EF4A08" w:rsidRPr="00986F85">
        <w:rPr>
          <w:rFonts w:cs="Times New Roman"/>
          <w:szCs w:val="24"/>
        </w:rPr>
        <w:t>kaptunk</w:t>
      </w:r>
      <w:r w:rsidR="005510B3" w:rsidRPr="00986F85">
        <w:rPr>
          <w:rFonts w:cs="Myriad Pro"/>
          <w:szCs w:val="24"/>
        </w:rPr>
        <w:t xml:space="preserve">. A párosításos modellekben ugyanakkor kicsit csökkent ez a pozitív foglalkoztatási hatás, a különbségek különbsége modellben pedig kicsit nőtt a 3 fő feletti mintához képest. </w:t>
      </w:r>
    </w:p>
    <w:p w14:paraId="3BFE4951" w14:textId="77777777" w:rsidR="005510B3" w:rsidRPr="00986F85" w:rsidRDefault="005510B3" w:rsidP="005510B3">
      <w:pPr>
        <w:widowControl w:val="0"/>
        <w:autoSpaceDE w:val="0"/>
        <w:autoSpaceDN w:val="0"/>
        <w:adjustRightInd w:val="0"/>
        <w:spacing w:line="360" w:lineRule="auto"/>
        <w:jc w:val="both"/>
        <w:rPr>
          <w:szCs w:val="24"/>
        </w:rPr>
      </w:pPr>
      <w:r w:rsidRPr="00986F85">
        <w:rPr>
          <w:rFonts w:cs="Myriad Pro"/>
          <w:szCs w:val="24"/>
        </w:rPr>
        <w:t>A panel becslés eredményei megerősítik a foglalkoztatottak számának növekedésével kapcsolatos eredményeinket. Mindkét vizsgált csoport esetében azt tapasztaljuk, hogy a teljes támogatási összeget már megkapott cégek átlagosan 2,5-3%-al több alkalmazottnak adnak munkát, mint a hozzájuk (a magyarázó változókban) nagyon hasonló nem támogatott cégek.</w:t>
      </w:r>
    </w:p>
    <w:p w14:paraId="254F6C63" w14:textId="77777777" w:rsidR="00AA36CF" w:rsidRPr="00986F85" w:rsidRDefault="005510B3" w:rsidP="005510B3">
      <w:pPr>
        <w:widowControl w:val="0"/>
        <w:autoSpaceDE w:val="0"/>
        <w:autoSpaceDN w:val="0"/>
        <w:adjustRightInd w:val="0"/>
        <w:spacing w:line="360" w:lineRule="auto"/>
        <w:jc w:val="both"/>
        <w:rPr>
          <w:rFonts w:cs="Times New Roman"/>
          <w:szCs w:val="24"/>
        </w:rPr>
      </w:pPr>
      <w:r w:rsidRPr="00986F85">
        <w:rPr>
          <w:rFonts w:cs="Myriad Pro"/>
          <w:szCs w:val="24"/>
        </w:rPr>
        <w:t>A párosításos modellben és a panel modellben is szignifikánsan pozitív hatása van a támogatásnak a tárgyi eszközök növekedésére</w:t>
      </w:r>
      <w:r w:rsidR="00C76561" w:rsidRPr="00986F85">
        <w:rPr>
          <w:rFonts w:cs="Times New Roman"/>
          <w:szCs w:val="24"/>
        </w:rPr>
        <w:t>. A</w:t>
      </w:r>
      <w:r w:rsidRPr="00986F85">
        <w:rPr>
          <w:rFonts w:cs="Myriad Pro"/>
          <w:szCs w:val="24"/>
        </w:rPr>
        <w:t>z egy főre jutó tárgyi eszköz növekedésére és a hozzáadott érték növekedésére</w:t>
      </w:r>
      <w:r w:rsidR="00C76561" w:rsidRPr="00986F85">
        <w:rPr>
          <w:rFonts w:cs="Times New Roman"/>
          <w:szCs w:val="24"/>
        </w:rPr>
        <w:t xml:space="preserve"> nem erősítik meg a pozitív eredményeket a teszt-vizsgálatok (lásd Bootstrap módszer alapján végzett tesztek)</w:t>
      </w:r>
      <w:r w:rsidR="00C76561" w:rsidRPr="00986F85">
        <w:rPr>
          <w:rFonts w:cs="Myriad Pro"/>
          <w:szCs w:val="24"/>
        </w:rPr>
        <w:t>, illetve m</w:t>
      </w:r>
      <w:r w:rsidRPr="00986F85">
        <w:rPr>
          <w:rFonts w:cs="Myriad Pro"/>
          <w:szCs w:val="24"/>
        </w:rPr>
        <w:t xml:space="preserve">indhárom </w:t>
      </w:r>
      <w:r w:rsidR="00C76561" w:rsidRPr="00986F85">
        <w:rPr>
          <w:rFonts w:cs="Times New Roman"/>
          <w:szCs w:val="24"/>
        </w:rPr>
        <w:t xml:space="preserve">változó </w:t>
      </w:r>
      <w:r w:rsidRPr="00986F85">
        <w:rPr>
          <w:rFonts w:cs="Myriad Pro"/>
          <w:szCs w:val="24"/>
        </w:rPr>
        <w:t>eset</w:t>
      </w:r>
      <w:r w:rsidR="00C76561" w:rsidRPr="00986F85">
        <w:rPr>
          <w:rFonts w:cs="Times New Roman"/>
          <w:szCs w:val="24"/>
        </w:rPr>
        <w:t>é</w:t>
      </w:r>
      <w:r w:rsidRPr="00986F85">
        <w:rPr>
          <w:rFonts w:cs="Myriad Pro"/>
          <w:szCs w:val="24"/>
        </w:rPr>
        <w:t xml:space="preserve">ben </w:t>
      </w:r>
      <w:r w:rsidR="00C76561" w:rsidRPr="00986F85">
        <w:rPr>
          <w:rFonts w:cs="Times New Roman"/>
          <w:szCs w:val="24"/>
        </w:rPr>
        <w:t xml:space="preserve">egyértelműen </w:t>
      </w:r>
      <w:r w:rsidR="00C76561" w:rsidRPr="00986F85">
        <w:rPr>
          <w:rFonts w:cs="Myriad Pro"/>
          <w:szCs w:val="24"/>
        </w:rPr>
        <w:t xml:space="preserve">csökken </w:t>
      </w:r>
      <w:r w:rsidRPr="00986F85">
        <w:rPr>
          <w:rFonts w:cs="Myriad Pro"/>
          <w:szCs w:val="24"/>
        </w:rPr>
        <w:t xml:space="preserve">a hatás az 5 fő feletti minta esetében. A párosításos modell alapján, 3 fő felett a tárgyi eszközök 230 százalékponttal nagyobb mértékben növekedtek 2006 és 2011 között a kezelt csoportban, míg a hozzáadott érték esetében 83 százalékpontos változás volt kimutatható a kezeltek javára ugyanezen időszak alatt. A panel modell alapján azt mondhatjuk, hogy a nyertes cégek 8-9%-al több tárgyi eszközt birtokolnak, </w:t>
      </w:r>
      <w:r w:rsidR="00F82315" w:rsidRPr="00986F85">
        <w:rPr>
          <w:rFonts w:cs="Times New Roman"/>
          <w:szCs w:val="24"/>
        </w:rPr>
        <w:t xml:space="preserve">és közel </w:t>
      </w:r>
      <w:r w:rsidRPr="00986F85">
        <w:rPr>
          <w:rFonts w:cs="Myriad Pro"/>
          <w:szCs w:val="24"/>
        </w:rPr>
        <w:t>6%-al magasabb tőkeintenzitást tudhatnak magukénak, valamint 4%-al több hozzáadott értéket képesek kitermelni</w:t>
      </w:r>
      <w:r w:rsidR="00F82315" w:rsidRPr="00986F85">
        <w:rPr>
          <w:rFonts w:cs="Times New Roman"/>
          <w:szCs w:val="24"/>
        </w:rPr>
        <w:t>,</w:t>
      </w:r>
      <w:r w:rsidRPr="00986F85">
        <w:rPr>
          <w:rFonts w:cs="Myriad Pro"/>
          <w:szCs w:val="24"/>
        </w:rPr>
        <w:t xml:space="preserve"> mint a kontrollcsoport számos ismérvben hasonló cégei. </w:t>
      </w:r>
    </w:p>
    <w:p w14:paraId="72FDE223" w14:textId="77777777" w:rsidR="00ED49FA" w:rsidRPr="00986F85" w:rsidRDefault="005510B3" w:rsidP="00520BBA">
      <w:pPr>
        <w:widowControl w:val="0"/>
        <w:autoSpaceDE w:val="0"/>
        <w:autoSpaceDN w:val="0"/>
        <w:adjustRightInd w:val="0"/>
        <w:spacing w:line="360" w:lineRule="auto"/>
        <w:jc w:val="both"/>
        <w:rPr>
          <w:rFonts w:cs="Times New Roman"/>
          <w:szCs w:val="24"/>
        </w:rPr>
      </w:pPr>
      <w:r w:rsidRPr="00986F85">
        <w:rPr>
          <w:rFonts w:cs="Myriad Pro"/>
          <w:szCs w:val="24"/>
        </w:rPr>
        <w:t>Az árbevétel növekedésre vonatkozó</w:t>
      </w:r>
      <w:r w:rsidR="00C76561" w:rsidRPr="00986F85">
        <w:rPr>
          <w:rFonts w:cs="Times New Roman"/>
          <w:szCs w:val="24"/>
        </w:rPr>
        <w:t>an nem kaptunk</w:t>
      </w:r>
      <w:r w:rsidRPr="00986F85">
        <w:rPr>
          <w:rFonts w:cs="Myriad Pro"/>
          <w:szCs w:val="24"/>
        </w:rPr>
        <w:t xml:space="preserve"> szignifikáns hatást</w:t>
      </w:r>
      <w:r w:rsidR="00C76561" w:rsidRPr="00986F85">
        <w:rPr>
          <w:rFonts w:cs="Times New Roman"/>
          <w:szCs w:val="24"/>
        </w:rPr>
        <w:t xml:space="preserve"> – semmelyik almintán. </w:t>
      </w:r>
    </w:p>
    <w:p w14:paraId="10D94032" w14:textId="77777777" w:rsidR="00520BBA" w:rsidRPr="00986F85" w:rsidRDefault="00520BBA" w:rsidP="00520BBA">
      <w:pPr>
        <w:widowControl w:val="0"/>
        <w:autoSpaceDE w:val="0"/>
        <w:autoSpaceDN w:val="0"/>
        <w:adjustRightInd w:val="0"/>
        <w:spacing w:line="360" w:lineRule="auto"/>
        <w:jc w:val="both"/>
        <w:rPr>
          <w:rFonts w:cs="Times New Roman"/>
          <w:szCs w:val="24"/>
        </w:rPr>
      </w:pPr>
    </w:p>
    <w:p w14:paraId="79806BCB" w14:textId="77777777" w:rsidR="00520BBA" w:rsidRPr="00986F85" w:rsidRDefault="00520BBA" w:rsidP="00520BBA">
      <w:pPr>
        <w:widowControl w:val="0"/>
        <w:autoSpaceDE w:val="0"/>
        <w:autoSpaceDN w:val="0"/>
        <w:adjustRightInd w:val="0"/>
        <w:spacing w:line="360" w:lineRule="auto"/>
        <w:jc w:val="both"/>
        <w:rPr>
          <w:rFonts w:cs="Times New Roman"/>
          <w:szCs w:val="24"/>
        </w:rPr>
        <w:sectPr w:rsidR="00520BBA" w:rsidRPr="00986F85" w:rsidSect="0015414F">
          <w:pgSz w:w="11906" w:h="16838" w:code="9"/>
          <w:pgMar w:top="1418" w:right="1418" w:bottom="1418" w:left="1418" w:header="720" w:footer="720" w:gutter="0"/>
          <w:cols w:space="720"/>
          <w:docGrid w:linePitch="360"/>
        </w:sectPr>
      </w:pPr>
    </w:p>
    <w:p w14:paraId="4EB43C56" w14:textId="77777777" w:rsidR="00923F3D" w:rsidRPr="00986F85" w:rsidRDefault="005657E8" w:rsidP="004A1D51">
      <w:pPr>
        <w:pStyle w:val="Kpalrs"/>
        <w:keepNext/>
        <w:jc w:val="center"/>
      </w:pPr>
      <w:fldSimple w:instr=" SEQ táblázat \* ARABIC ">
        <w:bookmarkStart w:id="55" w:name="_Toc230854363"/>
        <w:r w:rsidR="00255252" w:rsidRPr="00986F85">
          <w:t>17</w:t>
        </w:r>
      </w:fldSimple>
      <w:r w:rsidR="000B0EB0" w:rsidRPr="00986F85">
        <w:t xml:space="preserve">. </w:t>
      </w:r>
      <w:commentRangeStart w:id="56"/>
      <w:r w:rsidR="000B0EB0" w:rsidRPr="00986F85">
        <w:t>táblázat</w:t>
      </w:r>
      <w:commentRangeEnd w:id="56"/>
      <w:r w:rsidR="003421F5" w:rsidRPr="00986F85">
        <w:rPr>
          <w:rStyle w:val="Jegyzethivatkozs"/>
          <w:rFonts w:cs="Calibri"/>
          <w:i w:val="0"/>
          <w:iCs w:val="0"/>
        </w:rPr>
        <w:commentReference w:id="56"/>
      </w:r>
      <w:r w:rsidR="000B0EB0" w:rsidRPr="00986F85">
        <w:t>: Támogatás hatása a csak GOP</w:t>
      </w:r>
      <w:r w:rsidR="00AA36CF" w:rsidRPr="00986F85">
        <w:t>2.1.1.</w:t>
      </w:r>
      <w:r w:rsidR="000B0EB0" w:rsidRPr="00986F85">
        <w:t xml:space="preserve"> A pályázatot nyert cégek tevékenységére</w:t>
      </w:r>
      <w:bookmarkEnd w:id="55"/>
    </w:p>
    <w:tbl>
      <w:tblPr>
        <w:tblW w:w="13120" w:type="dxa"/>
        <w:tblInd w:w="93" w:type="dxa"/>
        <w:tblLook w:val="04A0" w:firstRow="1" w:lastRow="0" w:firstColumn="1" w:lastColumn="0" w:noHBand="0" w:noVBand="1"/>
      </w:tblPr>
      <w:tblGrid>
        <w:gridCol w:w="1728"/>
        <w:gridCol w:w="1079"/>
        <w:gridCol w:w="613"/>
        <w:gridCol w:w="640"/>
        <w:gridCol w:w="613"/>
        <w:gridCol w:w="1057"/>
        <w:gridCol w:w="524"/>
        <w:gridCol w:w="1057"/>
        <w:gridCol w:w="613"/>
        <w:gridCol w:w="640"/>
        <w:gridCol w:w="693"/>
        <w:gridCol w:w="640"/>
        <w:gridCol w:w="693"/>
        <w:gridCol w:w="968"/>
        <w:gridCol w:w="569"/>
        <w:gridCol w:w="968"/>
        <w:gridCol w:w="569"/>
      </w:tblGrid>
      <w:tr w:rsidR="00ED49FA" w:rsidRPr="00986F85" w14:paraId="7C21A8FE" w14:textId="77777777" w:rsidTr="00ED49FA">
        <w:trPr>
          <w:trHeight w:val="280"/>
        </w:trPr>
        <w:tc>
          <w:tcPr>
            <w:tcW w:w="2100" w:type="dxa"/>
            <w:vMerge w:val="restart"/>
            <w:tcBorders>
              <w:top w:val="single" w:sz="4" w:space="0" w:color="auto"/>
              <w:left w:val="single" w:sz="4" w:space="0" w:color="auto"/>
              <w:bottom w:val="single" w:sz="4" w:space="0" w:color="000000"/>
              <w:right w:val="single" w:sz="4" w:space="0" w:color="auto"/>
            </w:tcBorders>
            <w:shd w:val="clear" w:color="000000" w:fill="C00000"/>
            <w:vAlign w:val="center"/>
            <w:hideMark/>
          </w:tcPr>
          <w:p w14:paraId="737B972A" w14:textId="77777777" w:rsidR="00ED49FA" w:rsidRPr="00986F85" w:rsidRDefault="00ED49FA" w:rsidP="00ED49FA">
            <w:pPr>
              <w:suppressAutoHyphens w:val="0"/>
              <w:spacing w:after="0" w:line="240" w:lineRule="auto"/>
              <w:jc w:val="center"/>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Eredményváltozók</w:t>
            </w:r>
          </w:p>
        </w:tc>
        <w:tc>
          <w:tcPr>
            <w:tcW w:w="5540" w:type="dxa"/>
            <w:gridSpan w:val="8"/>
            <w:tcBorders>
              <w:top w:val="nil"/>
              <w:left w:val="nil"/>
              <w:bottom w:val="single" w:sz="4" w:space="0" w:color="auto"/>
              <w:right w:val="nil"/>
            </w:tcBorders>
            <w:shd w:val="clear" w:color="000000" w:fill="C00000"/>
            <w:noWrap/>
            <w:vAlign w:val="bottom"/>
            <w:hideMark/>
          </w:tcPr>
          <w:p w14:paraId="676323FC" w14:textId="77777777" w:rsidR="00ED49FA" w:rsidRPr="00986F85" w:rsidRDefault="00ED49FA" w:rsidP="00ED49FA">
            <w:pPr>
              <w:suppressAutoHyphens w:val="0"/>
              <w:spacing w:after="0" w:line="240" w:lineRule="auto"/>
              <w:jc w:val="center"/>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Párosítás</w:t>
            </w:r>
          </w:p>
        </w:tc>
        <w:tc>
          <w:tcPr>
            <w:tcW w:w="2640" w:type="dxa"/>
            <w:gridSpan w:val="4"/>
            <w:tcBorders>
              <w:top w:val="nil"/>
              <w:left w:val="nil"/>
              <w:bottom w:val="single" w:sz="4" w:space="0" w:color="auto"/>
              <w:right w:val="nil"/>
            </w:tcBorders>
            <w:shd w:val="clear" w:color="000000" w:fill="C00000"/>
            <w:noWrap/>
            <w:vAlign w:val="bottom"/>
            <w:hideMark/>
          </w:tcPr>
          <w:p w14:paraId="616872F4" w14:textId="77777777" w:rsidR="00ED49FA" w:rsidRPr="00986F85" w:rsidRDefault="00ED49FA" w:rsidP="00ED49FA">
            <w:pPr>
              <w:suppressAutoHyphens w:val="0"/>
              <w:spacing w:after="0" w:line="240" w:lineRule="auto"/>
              <w:jc w:val="center"/>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Külünbségek különbsége</w:t>
            </w:r>
          </w:p>
        </w:tc>
        <w:tc>
          <w:tcPr>
            <w:tcW w:w="2840" w:type="dxa"/>
            <w:gridSpan w:val="4"/>
            <w:tcBorders>
              <w:top w:val="nil"/>
              <w:left w:val="nil"/>
              <w:bottom w:val="single" w:sz="4" w:space="0" w:color="auto"/>
              <w:right w:val="nil"/>
            </w:tcBorders>
            <w:shd w:val="clear" w:color="000000" w:fill="C00000"/>
            <w:noWrap/>
            <w:vAlign w:val="bottom"/>
            <w:hideMark/>
          </w:tcPr>
          <w:p w14:paraId="7F0EF6DE" w14:textId="77777777" w:rsidR="00ED49FA" w:rsidRPr="00986F85" w:rsidRDefault="00ED49FA" w:rsidP="00ED49FA">
            <w:pPr>
              <w:suppressAutoHyphens w:val="0"/>
              <w:spacing w:after="0" w:line="240" w:lineRule="auto"/>
              <w:jc w:val="center"/>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fix-hatás panel</w:t>
            </w:r>
          </w:p>
        </w:tc>
      </w:tr>
      <w:tr w:rsidR="00ED49FA" w:rsidRPr="00986F85" w14:paraId="4E857C02" w14:textId="77777777" w:rsidTr="00ED49FA">
        <w:trPr>
          <w:trHeight w:val="280"/>
        </w:trPr>
        <w:tc>
          <w:tcPr>
            <w:tcW w:w="2100" w:type="dxa"/>
            <w:vMerge/>
            <w:tcBorders>
              <w:top w:val="single" w:sz="4" w:space="0" w:color="auto"/>
              <w:left w:val="single" w:sz="4" w:space="0" w:color="auto"/>
              <w:bottom w:val="single" w:sz="4" w:space="0" w:color="000000"/>
              <w:right w:val="single" w:sz="4" w:space="0" w:color="auto"/>
            </w:tcBorders>
            <w:vAlign w:val="center"/>
            <w:hideMark/>
          </w:tcPr>
          <w:p w14:paraId="325D0C57" w14:textId="77777777" w:rsidR="00ED49FA" w:rsidRPr="00986F85" w:rsidRDefault="00ED49FA" w:rsidP="00ED49FA">
            <w:pPr>
              <w:suppressAutoHyphens w:val="0"/>
              <w:spacing w:after="0" w:line="240" w:lineRule="auto"/>
              <w:rPr>
                <w:rFonts w:eastAsia="Times New Roman" w:cs="Times New Roman"/>
                <w:b/>
                <w:bCs/>
                <w:color w:val="FFFFFF"/>
                <w:sz w:val="18"/>
                <w:szCs w:val="18"/>
                <w:lang w:val="en-US" w:eastAsia="en-US"/>
              </w:rPr>
            </w:pPr>
          </w:p>
        </w:tc>
        <w:tc>
          <w:tcPr>
            <w:tcW w:w="1079" w:type="dxa"/>
            <w:tcBorders>
              <w:top w:val="nil"/>
              <w:left w:val="nil"/>
              <w:bottom w:val="nil"/>
              <w:right w:val="nil"/>
            </w:tcBorders>
            <w:shd w:val="clear" w:color="000000" w:fill="C00000"/>
            <w:vAlign w:val="center"/>
            <w:hideMark/>
          </w:tcPr>
          <w:p w14:paraId="36AF2705" w14:textId="77777777" w:rsidR="00ED49FA" w:rsidRPr="00986F85" w:rsidRDefault="00ED49FA" w:rsidP="00ED49FA">
            <w:pPr>
              <w:suppressAutoHyphens w:val="0"/>
              <w:spacing w:after="0" w:line="240" w:lineRule="auto"/>
              <w:jc w:val="center"/>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 </w:t>
            </w:r>
          </w:p>
        </w:tc>
        <w:tc>
          <w:tcPr>
            <w:tcW w:w="1078" w:type="dxa"/>
            <w:gridSpan w:val="2"/>
            <w:tcBorders>
              <w:top w:val="nil"/>
              <w:left w:val="nil"/>
              <w:bottom w:val="nil"/>
              <w:right w:val="nil"/>
            </w:tcBorders>
            <w:shd w:val="clear" w:color="000000" w:fill="C00000"/>
            <w:noWrap/>
            <w:vAlign w:val="bottom"/>
            <w:hideMark/>
          </w:tcPr>
          <w:p w14:paraId="7878B43E" w14:textId="77777777" w:rsidR="00ED49FA" w:rsidRPr="00986F85" w:rsidRDefault="00ED49FA" w:rsidP="00ED49FA">
            <w:pPr>
              <w:suppressAutoHyphens w:val="0"/>
              <w:spacing w:after="0" w:line="240" w:lineRule="auto"/>
              <w:jc w:val="center"/>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3 fő felett</w:t>
            </w:r>
          </w:p>
        </w:tc>
        <w:tc>
          <w:tcPr>
            <w:tcW w:w="495" w:type="dxa"/>
            <w:tcBorders>
              <w:top w:val="nil"/>
              <w:left w:val="nil"/>
              <w:bottom w:val="nil"/>
              <w:right w:val="nil"/>
            </w:tcBorders>
            <w:shd w:val="clear" w:color="000000" w:fill="C00000"/>
            <w:noWrap/>
            <w:vAlign w:val="bottom"/>
            <w:hideMark/>
          </w:tcPr>
          <w:p w14:paraId="49A7AF06" w14:textId="77777777" w:rsidR="00ED49FA" w:rsidRPr="00986F85" w:rsidRDefault="00ED49FA" w:rsidP="00ED49FA">
            <w:pPr>
              <w:suppressAutoHyphens w:val="0"/>
              <w:spacing w:after="0" w:line="240" w:lineRule="auto"/>
              <w:jc w:val="center"/>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 </w:t>
            </w:r>
          </w:p>
        </w:tc>
        <w:tc>
          <w:tcPr>
            <w:tcW w:w="2888" w:type="dxa"/>
            <w:gridSpan w:val="4"/>
            <w:tcBorders>
              <w:top w:val="single" w:sz="4" w:space="0" w:color="auto"/>
              <w:left w:val="nil"/>
              <w:bottom w:val="nil"/>
              <w:right w:val="single" w:sz="4" w:space="0" w:color="000000"/>
            </w:tcBorders>
            <w:shd w:val="clear" w:color="000000" w:fill="C00000"/>
            <w:noWrap/>
            <w:vAlign w:val="bottom"/>
            <w:hideMark/>
          </w:tcPr>
          <w:p w14:paraId="40F266CD" w14:textId="77777777" w:rsidR="00ED49FA" w:rsidRPr="00986F85" w:rsidRDefault="00ED49FA" w:rsidP="00ED49FA">
            <w:pPr>
              <w:suppressAutoHyphens w:val="0"/>
              <w:spacing w:after="0" w:line="240" w:lineRule="auto"/>
              <w:jc w:val="center"/>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5 fő felett</w:t>
            </w:r>
          </w:p>
        </w:tc>
        <w:tc>
          <w:tcPr>
            <w:tcW w:w="1320" w:type="dxa"/>
            <w:gridSpan w:val="2"/>
            <w:tcBorders>
              <w:top w:val="nil"/>
              <w:left w:val="nil"/>
              <w:bottom w:val="nil"/>
              <w:right w:val="nil"/>
            </w:tcBorders>
            <w:shd w:val="clear" w:color="000000" w:fill="C00000"/>
            <w:noWrap/>
            <w:vAlign w:val="bottom"/>
            <w:hideMark/>
          </w:tcPr>
          <w:p w14:paraId="2E5E9659" w14:textId="77777777" w:rsidR="00ED49FA" w:rsidRPr="00986F85" w:rsidRDefault="00ED49FA" w:rsidP="00ED49FA">
            <w:pPr>
              <w:suppressAutoHyphens w:val="0"/>
              <w:spacing w:after="0" w:line="240" w:lineRule="auto"/>
              <w:jc w:val="center"/>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3 fő felett</w:t>
            </w:r>
          </w:p>
        </w:tc>
        <w:tc>
          <w:tcPr>
            <w:tcW w:w="1320" w:type="dxa"/>
            <w:gridSpan w:val="2"/>
            <w:tcBorders>
              <w:top w:val="nil"/>
              <w:left w:val="nil"/>
              <w:bottom w:val="nil"/>
              <w:right w:val="single" w:sz="4" w:space="0" w:color="000000"/>
            </w:tcBorders>
            <w:shd w:val="clear" w:color="000000" w:fill="C00000"/>
            <w:noWrap/>
            <w:vAlign w:val="bottom"/>
            <w:hideMark/>
          </w:tcPr>
          <w:p w14:paraId="7DBA9FEE" w14:textId="77777777" w:rsidR="00ED49FA" w:rsidRPr="00986F85" w:rsidRDefault="00ED49FA" w:rsidP="00ED49FA">
            <w:pPr>
              <w:suppressAutoHyphens w:val="0"/>
              <w:spacing w:after="0" w:line="240" w:lineRule="auto"/>
              <w:jc w:val="center"/>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5 fő felett</w:t>
            </w:r>
          </w:p>
        </w:tc>
        <w:tc>
          <w:tcPr>
            <w:tcW w:w="1420" w:type="dxa"/>
            <w:gridSpan w:val="2"/>
            <w:tcBorders>
              <w:top w:val="nil"/>
              <w:left w:val="nil"/>
              <w:bottom w:val="nil"/>
              <w:right w:val="nil"/>
            </w:tcBorders>
            <w:shd w:val="clear" w:color="000000" w:fill="C00000"/>
            <w:noWrap/>
            <w:vAlign w:val="bottom"/>
            <w:hideMark/>
          </w:tcPr>
          <w:p w14:paraId="7B96783A" w14:textId="77777777" w:rsidR="00ED49FA" w:rsidRPr="00986F85" w:rsidRDefault="00ED49FA" w:rsidP="00ED49FA">
            <w:pPr>
              <w:suppressAutoHyphens w:val="0"/>
              <w:spacing w:after="0" w:line="240" w:lineRule="auto"/>
              <w:jc w:val="center"/>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3 fő felett</w:t>
            </w:r>
          </w:p>
        </w:tc>
        <w:tc>
          <w:tcPr>
            <w:tcW w:w="1420" w:type="dxa"/>
            <w:gridSpan w:val="2"/>
            <w:tcBorders>
              <w:top w:val="nil"/>
              <w:left w:val="nil"/>
              <w:bottom w:val="nil"/>
              <w:right w:val="nil"/>
            </w:tcBorders>
            <w:shd w:val="clear" w:color="000000" w:fill="C00000"/>
            <w:noWrap/>
            <w:vAlign w:val="bottom"/>
            <w:hideMark/>
          </w:tcPr>
          <w:p w14:paraId="568F3232" w14:textId="77777777" w:rsidR="00ED49FA" w:rsidRPr="00986F85" w:rsidRDefault="00ED49FA" w:rsidP="00ED49FA">
            <w:pPr>
              <w:suppressAutoHyphens w:val="0"/>
              <w:spacing w:after="0" w:line="240" w:lineRule="auto"/>
              <w:jc w:val="center"/>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5 fő felett</w:t>
            </w:r>
          </w:p>
        </w:tc>
      </w:tr>
      <w:tr w:rsidR="00ED49FA" w:rsidRPr="00986F85" w14:paraId="0D41AF00" w14:textId="77777777" w:rsidTr="00ED49FA">
        <w:trPr>
          <w:trHeight w:val="495"/>
        </w:trPr>
        <w:tc>
          <w:tcPr>
            <w:tcW w:w="2100" w:type="dxa"/>
            <w:vMerge/>
            <w:tcBorders>
              <w:top w:val="single" w:sz="4" w:space="0" w:color="auto"/>
              <w:left w:val="single" w:sz="4" w:space="0" w:color="auto"/>
              <w:bottom w:val="single" w:sz="4" w:space="0" w:color="000000"/>
              <w:right w:val="single" w:sz="4" w:space="0" w:color="auto"/>
            </w:tcBorders>
            <w:vAlign w:val="center"/>
            <w:hideMark/>
          </w:tcPr>
          <w:p w14:paraId="71F33C61" w14:textId="77777777" w:rsidR="00ED49FA" w:rsidRPr="00986F85" w:rsidRDefault="00ED49FA" w:rsidP="00ED49FA">
            <w:pPr>
              <w:suppressAutoHyphens w:val="0"/>
              <w:spacing w:after="0" w:line="240" w:lineRule="auto"/>
              <w:rPr>
                <w:rFonts w:eastAsia="Times New Roman" w:cs="Times New Roman"/>
                <w:b/>
                <w:bCs/>
                <w:color w:val="FFFFFF"/>
                <w:sz w:val="18"/>
                <w:szCs w:val="18"/>
                <w:lang w:val="en-US" w:eastAsia="en-US"/>
              </w:rPr>
            </w:pPr>
          </w:p>
        </w:tc>
        <w:tc>
          <w:tcPr>
            <w:tcW w:w="1658" w:type="dxa"/>
            <w:gridSpan w:val="2"/>
            <w:tcBorders>
              <w:top w:val="nil"/>
              <w:left w:val="nil"/>
              <w:bottom w:val="nil"/>
              <w:right w:val="nil"/>
            </w:tcBorders>
            <w:shd w:val="clear" w:color="000000" w:fill="C00000"/>
            <w:vAlign w:val="center"/>
            <w:hideMark/>
          </w:tcPr>
          <w:p w14:paraId="1B604569" w14:textId="77777777" w:rsidR="00ED49FA" w:rsidRPr="00986F85" w:rsidRDefault="00ED49FA" w:rsidP="00ED49FA">
            <w:pPr>
              <w:suppressAutoHyphens w:val="0"/>
              <w:spacing w:after="0" w:line="240" w:lineRule="auto"/>
              <w:jc w:val="center"/>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legközelebbi szomszéd</w:t>
            </w:r>
          </w:p>
        </w:tc>
        <w:tc>
          <w:tcPr>
            <w:tcW w:w="994" w:type="dxa"/>
            <w:gridSpan w:val="2"/>
            <w:tcBorders>
              <w:top w:val="nil"/>
              <w:left w:val="nil"/>
              <w:bottom w:val="nil"/>
              <w:right w:val="nil"/>
            </w:tcBorders>
            <w:shd w:val="clear" w:color="000000" w:fill="C00000"/>
            <w:noWrap/>
            <w:hideMark/>
          </w:tcPr>
          <w:p w14:paraId="57537D79" w14:textId="77777777" w:rsidR="00ED49FA" w:rsidRPr="00986F85" w:rsidRDefault="00ED49FA" w:rsidP="00ED49FA">
            <w:pPr>
              <w:suppressAutoHyphens w:val="0"/>
              <w:spacing w:after="0" w:line="240" w:lineRule="auto"/>
              <w:jc w:val="center"/>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kernel</w:t>
            </w:r>
          </w:p>
        </w:tc>
        <w:tc>
          <w:tcPr>
            <w:tcW w:w="1444" w:type="dxa"/>
            <w:gridSpan w:val="2"/>
            <w:tcBorders>
              <w:top w:val="nil"/>
              <w:left w:val="nil"/>
              <w:bottom w:val="nil"/>
              <w:right w:val="nil"/>
            </w:tcBorders>
            <w:shd w:val="clear" w:color="000000" w:fill="C00000"/>
            <w:vAlign w:val="bottom"/>
            <w:hideMark/>
          </w:tcPr>
          <w:p w14:paraId="39016ADE" w14:textId="77777777" w:rsidR="00ED49FA" w:rsidRPr="00986F85" w:rsidRDefault="00ED49FA" w:rsidP="00ED49FA">
            <w:pPr>
              <w:suppressAutoHyphens w:val="0"/>
              <w:spacing w:after="0" w:line="240" w:lineRule="auto"/>
              <w:jc w:val="center"/>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legközelebbi szomszéd</w:t>
            </w:r>
          </w:p>
        </w:tc>
        <w:tc>
          <w:tcPr>
            <w:tcW w:w="1444" w:type="dxa"/>
            <w:gridSpan w:val="2"/>
            <w:tcBorders>
              <w:top w:val="nil"/>
              <w:left w:val="nil"/>
              <w:bottom w:val="nil"/>
              <w:right w:val="nil"/>
            </w:tcBorders>
            <w:shd w:val="clear" w:color="000000" w:fill="C00000"/>
            <w:noWrap/>
            <w:hideMark/>
          </w:tcPr>
          <w:p w14:paraId="066D8D4F" w14:textId="77777777" w:rsidR="00ED49FA" w:rsidRPr="00986F85" w:rsidRDefault="00ED49FA" w:rsidP="00ED49FA">
            <w:pPr>
              <w:suppressAutoHyphens w:val="0"/>
              <w:spacing w:after="0" w:line="240" w:lineRule="auto"/>
              <w:jc w:val="center"/>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kernel</w:t>
            </w:r>
          </w:p>
        </w:tc>
        <w:tc>
          <w:tcPr>
            <w:tcW w:w="1320" w:type="dxa"/>
            <w:gridSpan w:val="2"/>
            <w:tcBorders>
              <w:top w:val="nil"/>
              <w:left w:val="nil"/>
              <w:bottom w:val="nil"/>
              <w:right w:val="nil"/>
            </w:tcBorders>
            <w:shd w:val="clear" w:color="000000" w:fill="C00000"/>
            <w:noWrap/>
            <w:vAlign w:val="bottom"/>
            <w:hideMark/>
          </w:tcPr>
          <w:p w14:paraId="33D2CE31" w14:textId="77777777" w:rsidR="00ED49FA" w:rsidRPr="00986F85" w:rsidRDefault="00ED49FA" w:rsidP="00ED49FA">
            <w:pPr>
              <w:suppressAutoHyphens w:val="0"/>
              <w:spacing w:after="0" w:line="240" w:lineRule="auto"/>
              <w:jc w:val="center"/>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 </w:t>
            </w:r>
          </w:p>
        </w:tc>
        <w:tc>
          <w:tcPr>
            <w:tcW w:w="627" w:type="dxa"/>
            <w:tcBorders>
              <w:top w:val="nil"/>
              <w:left w:val="nil"/>
              <w:bottom w:val="nil"/>
              <w:right w:val="nil"/>
            </w:tcBorders>
            <w:shd w:val="clear" w:color="000000" w:fill="C00000"/>
            <w:noWrap/>
            <w:vAlign w:val="bottom"/>
            <w:hideMark/>
          </w:tcPr>
          <w:p w14:paraId="393CF402" w14:textId="77777777" w:rsidR="00ED49FA" w:rsidRPr="00986F85" w:rsidRDefault="00ED49FA" w:rsidP="00ED49FA">
            <w:pPr>
              <w:suppressAutoHyphens w:val="0"/>
              <w:spacing w:after="0" w:line="240" w:lineRule="auto"/>
              <w:jc w:val="center"/>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 </w:t>
            </w:r>
          </w:p>
        </w:tc>
        <w:tc>
          <w:tcPr>
            <w:tcW w:w="693" w:type="dxa"/>
            <w:tcBorders>
              <w:top w:val="nil"/>
              <w:left w:val="nil"/>
              <w:bottom w:val="nil"/>
              <w:right w:val="single" w:sz="4" w:space="0" w:color="auto"/>
            </w:tcBorders>
            <w:shd w:val="clear" w:color="000000" w:fill="C00000"/>
            <w:noWrap/>
            <w:vAlign w:val="bottom"/>
            <w:hideMark/>
          </w:tcPr>
          <w:p w14:paraId="7269D221" w14:textId="77777777" w:rsidR="00ED49FA" w:rsidRPr="00986F85" w:rsidRDefault="00ED49FA" w:rsidP="00ED49FA">
            <w:pPr>
              <w:suppressAutoHyphens w:val="0"/>
              <w:spacing w:after="0" w:line="240" w:lineRule="auto"/>
              <w:jc w:val="center"/>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 </w:t>
            </w:r>
          </w:p>
        </w:tc>
        <w:tc>
          <w:tcPr>
            <w:tcW w:w="862" w:type="dxa"/>
            <w:tcBorders>
              <w:top w:val="nil"/>
              <w:left w:val="nil"/>
              <w:bottom w:val="nil"/>
              <w:right w:val="nil"/>
            </w:tcBorders>
            <w:shd w:val="clear" w:color="000000" w:fill="C00000"/>
            <w:noWrap/>
            <w:vAlign w:val="bottom"/>
            <w:hideMark/>
          </w:tcPr>
          <w:p w14:paraId="60AF4149" w14:textId="77777777" w:rsidR="00ED49FA" w:rsidRPr="00986F85" w:rsidRDefault="00ED49FA" w:rsidP="00ED49FA">
            <w:pPr>
              <w:suppressAutoHyphens w:val="0"/>
              <w:spacing w:after="0" w:line="240" w:lineRule="auto"/>
              <w:jc w:val="center"/>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 </w:t>
            </w:r>
          </w:p>
        </w:tc>
        <w:tc>
          <w:tcPr>
            <w:tcW w:w="558" w:type="dxa"/>
            <w:tcBorders>
              <w:top w:val="nil"/>
              <w:left w:val="nil"/>
              <w:bottom w:val="nil"/>
              <w:right w:val="nil"/>
            </w:tcBorders>
            <w:shd w:val="clear" w:color="000000" w:fill="C00000"/>
            <w:noWrap/>
            <w:vAlign w:val="bottom"/>
            <w:hideMark/>
          </w:tcPr>
          <w:p w14:paraId="3E686CC1" w14:textId="77777777" w:rsidR="00ED49FA" w:rsidRPr="00986F85" w:rsidRDefault="00ED49FA" w:rsidP="00ED49FA">
            <w:pPr>
              <w:suppressAutoHyphens w:val="0"/>
              <w:spacing w:after="0" w:line="240" w:lineRule="auto"/>
              <w:jc w:val="center"/>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 </w:t>
            </w:r>
          </w:p>
        </w:tc>
        <w:tc>
          <w:tcPr>
            <w:tcW w:w="862" w:type="dxa"/>
            <w:tcBorders>
              <w:top w:val="nil"/>
              <w:left w:val="nil"/>
              <w:bottom w:val="nil"/>
              <w:right w:val="nil"/>
            </w:tcBorders>
            <w:shd w:val="clear" w:color="000000" w:fill="C00000"/>
            <w:noWrap/>
            <w:vAlign w:val="bottom"/>
            <w:hideMark/>
          </w:tcPr>
          <w:p w14:paraId="4720FCC8" w14:textId="77777777" w:rsidR="00ED49FA" w:rsidRPr="00986F85" w:rsidRDefault="00ED49FA" w:rsidP="00ED49FA">
            <w:pPr>
              <w:suppressAutoHyphens w:val="0"/>
              <w:spacing w:after="0" w:line="240" w:lineRule="auto"/>
              <w:jc w:val="center"/>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 </w:t>
            </w:r>
          </w:p>
        </w:tc>
        <w:tc>
          <w:tcPr>
            <w:tcW w:w="558" w:type="dxa"/>
            <w:tcBorders>
              <w:top w:val="nil"/>
              <w:left w:val="nil"/>
              <w:bottom w:val="nil"/>
              <w:right w:val="nil"/>
            </w:tcBorders>
            <w:shd w:val="clear" w:color="000000" w:fill="C00000"/>
            <w:noWrap/>
            <w:vAlign w:val="bottom"/>
            <w:hideMark/>
          </w:tcPr>
          <w:p w14:paraId="578E683C" w14:textId="77777777" w:rsidR="00ED49FA" w:rsidRPr="00986F85" w:rsidRDefault="00ED49FA" w:rsidP="00ED49FA">
            <w:pPr>
              <w:suppressAutoHyphens w:val="0"/>
              <w:spacing w:after="0" w:line="240" w:lineRule="auto"/>
              <w:jc w:val="center"/>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 </w:t>
            </w:r>
          </w:p>
        </w:tc>
      </w:tr>
      <w:tr w:rsidR="00ED49FA" w:rsidRPr="00986F85" w14:paraId="131143F0" w14:textId="77777777" w:rsidTr="00923F3D">
        <w:trPr>
          <w:trHeight w:val="465"/>
        </w:trPr>
        <w:tc>
          <w:tcPr>
            <w:tcW w:w="2100" w:type="dxa"/>
            <w:vMerge/>
            <w:tcBorders>
              <w:top w:val="single" w:sz="4" w:space="0" w:color="auto"/>
              <w:left w:val="single" w:sz="4" w:space="0" w:color="auto"/>
              <w:bottom w:val="single" w:sz="4" w:space="0" w:color="000000"/>
              <w:right w:val="single" w:sz="4" w:space="0" w:color="auto"/>
            </w:tcBorders>
            <w:vAlign w:val="center"/>
            <w:hideMark/>
          </w:tcPr>
          <w:p w14:paraId="2BE34760" w14:textId="77777777" w:rsidR="00ED49FA" w:rsidRPr="00986F85" w:rsidRDefault="00ED49FA" w:rsidP="00ED49FA">
            <w:pPr>
              <w:suppressAutoHyphens w:val="0"/>
              <w:spacing w:after="0" w:line="240" w:lineRule="auto"/>
              <w:rPr>
                <w:rFonts w:eastAsia="Times New Roman" w:cs="Times New Roman"/>
                <w:b/>
                <w:bCs/>
                <w:color w:val="FFFFFF"/>
                <w:sz w:val="18"/>
                <w:szCs w:val="18"/>
                <w:lang w:val="en-US" w:eastAsia="en-US"/>
              </w:rPr>
            </w:pPr>
          </w:p>
        </w:tc>
        <w:tc>
          <w:tcPr>
            <w:tcW w:w="1079" w:type="dxa"/>
            <w:tcBorders>
              <w:top w:val="nil"/>
              <w:left w:val="nil"/>
              <w:bottom w:val="single" w:sz="4" w:space="0" w:color="auto"/>
              <w:right w:val="nil"/>
            </w:tcBorders>
            <w:shd w:val="clear" w:color="000000" w:fill="C00000"/>
            <w:noWrap/>
            <w:vAlign w:val="bottom"/>
            <w:hideMark/>
          </w:tcPr>
          <w:p w14:paraId="49360671" w14:textId="77777777" w:rsidR="00ED49FA" w:rsidRPr="00986F85" w:rsidRDefault="00ED49FA" w:rsidP="00ED49FA">
            <w:pPr>
              <w:suppressAutoHyphens w:val="0"/>
              <w:spacing w:after="0" w:line="240" w:lineRule="auto"/>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Érték</w:t>
            </w:r>
          </w:p>
        </w:tc>
        <w:tc>
          <w:tcPr>
            <w:tcW w:w="579" w:type="dxa"/>
            <w:tcBorders>
              <w:top w:val="nil"/>
              <w:left w:val="nil"/>
              <w:bottom w:val="single" w:sz="4" w:space="0" w:color="auto"/>
              <w:right w:val="nil"/>
            </w:tcBorders>
            <w:shd w:val="clear" w:color="000000" w:fill="C00000"/>
            <w:noWrap/>
            <w:vAlign w:val="bottom"/>
            <w:hideMark/>
          </w:tcPr>
          <w:p w14:paraId="38A1EB5A" w14:textId="77777777" w:rsidR="00ED49FA" w:rsidRPr="00986F85" w:rsidRDefault="00ED49FA" w:rsidP="00ED49FA">
            <w:pPr>
              <w:suppressAutoHyphens w:val="0"/>
              <w:spacing w:after="0" w:line="240" w:lineRule="auto"/>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t stat</w:t>
            </w:r>
          </w:p>
        </w:tc>
        <w:tc>
          <w:tcPr>
            <w:tcW w:w="499" w:type="dxa"/>
            <w:tcBorders>
              <w:top w:val="nil"/>
              <w:left w:val="nil"/>
              <w:bottom w:val="single" w:sz="4" w:space="0" w:color="auto"/>
              <w:right w:val="nil"/>
            </w:tcBorders>
            <w:shd w:val="clear" w:color="000000" w:fill="C00000"/>
            <w:noWrap/>
            <w:vAlign w:val="bottom"/>
            <w:hideMark/>
          </w:tcPr>
          <w:p w14:paraId="36CEAE6B" w14:textId="77777777" w:rsidR="00ED49FA" w:rsidRPr="00986F85" w:rsidRDefault="00ED49FA" w:rsidP="00ED49FA">
            <w:pPr>
              <w:suppressAutoHyphens w:val="0"/>
              <w:spacing w:after="0" w:line="240" w:lineRule="auto"/>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Érték</w:t>
            </w:r>
          </w:p>
        </w:tc>
        <w:tc>
          <w:tcPr>
            <w:tcW w:w="495" w:type="dxa"/>
            <w:tcBorders>
              <w:top w:val="nil"/>
              <w:left w:val="nil"/>
              <w:bottom w:val="single" w:sz="4" w:space="0" w:color="auto"/>
              <w:right w:val="nil"/>
            </w:tcBorders>
            <w:shd w:val="clear" w:color="000000" w:fill="C00000"/>
            <w:noWrap/>
            <w:vAlign w:val="bottom"/>
            <w:hideMark/>
          </w:tcPr>
          <w:p w14:paraId="320606BA" w14:textId="77777777" w:rsidR="00ED49FA" w:rsidRPr="00986F85" w:rsidRDefault="00ED49FA" w:rsidP="00ED49FA">
            <w:pPr>
              <w:suppressAutoHyphens w:val="0"/>
              <w:spacing w:after="0" w:line="240" w:lineRule="auto"/>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t stat</w:t>
            </w:r>
          </w:p>
        </w:tc>
        <w:tc>
          <w:tcPr>
            <w:tcW w:w="949" w:type="dxa"/>
            <w:tcBorders>
              <w:top w:val="nil"/>
              <w:left w:val="single" w:sz="4" w:space="0" w:color="auto"/>
              <w:bottom w:val="single" w:sz="4" w:space="0" w:color="auto"/>
              <w:right w:val="nil"/>
            </w:tcBorders>
            <w:shd w:val="clear" w:color="000000" w:fill="C00000"/>
            <w:noWrap/>
            <w:vAlign w:val="bottom"/>
            <w:hideMark/>
          </w:tcPr>
          <w:p w14:paraId="2C3CEED4" w14:textId="77777777" w:rsidR="00ED49FA" w:rsidRPr="00986F85" w:rsidRDefault="00ED49FA" w:rsidP="00ED49FA">
            <w:pPr>
              <w:suppressAutoHyphens w:val="0"/>
              <w:spacing w:after="0" w:line="240" w:lineRule="auto"/>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Érték</w:t>
            </w:r>
          </w:p>
        </w:tc>
        <w:tc>
          <w:tcPr>
            <w:tcW w:w="495" w:type="dxa"/>
            <w:tcBorders>
              <w:top w:val="nil"/>
              <w:left w:val="nil"/>
              <w:bottom w:val="single" w:sz="4" w:space="0" w:color="auto"/>
              <w:right w:val="nil"/>
            </w:tcBorders>
            <w:shd w:val="clear" w:color="000000" w:fill="C00000"/>
            <w:noWrap/>
            <w:vAlign w:val="bottom"/>
            <w:hideMark/>
          </w:tcPr>
          <w:p w14:paraId="38A30C04" w14:textId="77777777" w:rsidR="00ED49FA" w:rsidRPr="00986F85" w:rsidRDefault="00ED49FA" w:rsidP="00ED49FA">
            <w:pPr>
              <w:suppressAutoHyphens w:val="0"/>
              <w:spacing w:after="0" w:line="240" w:lineRule="auto"/>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t stat</w:t>
            </w:r>
          </w:p>
        </w:tc>
        <w:tc>
          <w:tcPr>
            <w:tcW w:w="949" w:type="dxa"/>
            <w:tcBorders>
              <w:top w:val="nil"/>
              <w:left w:val="nil"/>
              <w:bottom w:val="single" w:sz="4" w:space="0" w:color="auto"/>
              <w:right w:val="nil"/>
            </w:tcBorders>
            <w:shd w:val="clear" w:color="000000" w:fill="C00000"/>
            <w:noWrap/>
            <w:vAlign w:val="bottom"/>
            <w:hideMark/>
          </w:tcPr>
          <w:p w14:paraId="6210B67D" w14:textId="77777777" w:rsidR="00ED49FA" w:rsidRPr="00986F85" w:rsidRDefault="00ED49FA" w:rsidP="00ED49FA">
            <w:pPr>
              <w:suppressAutoHyphens w:val="0"/>
              <w:spacing w:after="0" w:line="240" w:lineRule="auto"/>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Érték</w:t>
            </w:r>
          </w:p>
        </w:tc>
        <w:tc>
          <w:tcPr>
            <w:tcW w:w="495" w:type="dxa"/>
            <w:tcBorders>
              <w:top w:val="nil"/>
              <w:left w:val="nil"/>
              <w:bottom w:val="single" w:sz="4" w:space="0" w:color="auto"/>
              <w:right w:val="nil"/>
            </w:tcBorders>
            <w:shd w:val="clear" w:color="000000" w:fill="C00000"/>
            <w:noWrap/>
            <w:vAlign w:val="bottom"/>
            <w:hideMark/>
          </w:tcPr>
          <w:p w14:paraId="3635CCBA" w14:textId="77777777" w:rsidR="00ED49FA" w:rsidRPr="00986F85" w:rsidRDefault="00ED49FA" w:rsidP="00ED49FA">
            <w:pPr>
              <w:suppressAutoHyphens w:val="0"/>
              <w:spacing w:after="0" w:line="240" w:lineRule="auto"/>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t stat</w:t>
            </w:r>
          </w:p>
        </w:tc>
        <w:tc>
          <w:tcPr>
            <w:tcW w:w="627" w:type="dxa"/>
            <w:tcBorders>
              <w:top w:val="nil"/>
              <w:left w:val="nil"/>
              <w:bottom w:val="single" w:sz="4" w:space="0" w:color="auto"/>
              <w:right w:val="nil"/>
            </w:tcBorders>
            <w:shd w:val="clear" w:color="000000" w:fill="C00000"/>
            <w:noWrap/>
            <w:vAlign w:val="bottom"/>
            <w:hideMark/>
          </w:tcPr>
          <w:p w14:paraId="48FBC3F3" w14:textId="77777777" w:rsidR="00ED49FA" w:rsidRPr="00986F85" w:rsidRDefault="00ED49FA" w:rsidP="00ED49FA">
            <w:pPr>
              <w:suppressAutoHyphens w:val="0"/>
              <w:spacing w:after="0" w:line="240" w:lineRule="auto"/>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Érték</w:t>
            </w:r>
          </w:p>
        </w:tc>
        <w:tc>
          <w:tcPr>
            <w:tcW w:w="693" w:type="dxa"/>
            <w:tcBorders>
              <w:top w:val="nil"/>
              <w:left w:val="nil"/>
              <w:bottom w:val="single" w:sz="4" w:space="0" w:color="auto"/>
              <w:right w:val="nil"/>
            </w:tcBorders>
            <w:shd w:val="clear" w:color="000000" w:fill="C00000"/>
            <w:noWrap/>
            <w:vAlign w:val="bottom"/>
            <w:hideMark/>
          </w:tcPr>
          <w:p w14:paraId="7D992CF2" w14:textId="77777777" w:rsidR="00ED49FA" w:rsidRPr="00986F85" w:rsidRDefault="00ED49FA" w:rsidP="00ED49FA">
            <w:pPr>
              <w:suppressAutoHyphens w:val="0"/>
              <w:spacing w:after="0" w:line="240" w:lineRule="auto"/>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t stat.</w:t>
            </w:r>
          </w:p>
        </w:tc>
        <w:tc>
          <w:tcPr>
            <w:tcW w:w="627" w:type="dxa"/>
            <w:tcBorders>
              <w:top w:val="nil"/>
              <w:left w:val="nil"/>
              <w:bottom w:val="single" w:sz="4" w:space="0" w:color="auto"/>
              <w:right w:val="nil"/>
            </w:tcBorders>
            <w:shd w:val="clear" w:color="000000" w:fill="C00000"/>
            <w:noWrap/>
            <w:vAlign w:val="bottom"/>
            <w:hideMark/>
          </w:tcPr>
          <w:p w14:paraId="785E40CA" w14:textId="77777777" w:rsidR="00ED49FA" w:rsidRPr="00986F85" w:rsidRDefault="00ED49FA" w:rsidP="00ED49FA">
            <w:pPr>
              <w:suppressAutoHyphens w:val="0"/>
              <w:spacing w:after="0" w:line="240" w:lineRule="auto"/>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Érték</w:t>
            </w:r>
          </w:p>
        </w:tc>
        <w:tc>
          <w:tcPr>
            <w:tcW w:w="693" w:type="dxa"/>
            <w:tcBorders>
              <w:top w:val="nil"/>
              <w:left w:val="nil"/>
              <w:bottom w:val="single" w:sz="4" w:space="0" w:color="auto"/>
              <w:right w:val="single" w:sz="4" w:space="0" w:color="auto"/>
            </w:tcBorders>
            <w:shd w:val="clear" w:color="000000" w:fill="C00000"/>
            <w:noWrap/>
            <w:vAlign w:val="bottom"/>
            <w:hideMark/>
          </w:tcPr>
          <w:p w14:paraId="52E86F68" w14:textId="77777777" w:rsidR="00ED49FA" w:rsidRPr="00986F85" w:rsidRDefault="00ED49FA" w:rsidP="00ED49FA">
            <w:pPr>
              <w:suppressAutoHyphens w:val="0"/>
              <w:spacing w:after="0" w:line="240" w:lineRule="auto"/>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t stat.</w:t>
            </w:r>
          </w:p>
        </w:tc>
        <w:tc>
          <w:tcPr>
            <w:tcW w:w="862" w:type="dxa"/>
            <w:tcBorders>
              <w:top w:val="nil"/>
              <w:left w:val="nil"/>
              <w:bottom w:val="single" w:sz="4" w:space="0" w:color="auto"/>
              <w:right w:val="nil"/>
            </w:tcBorders>
            <w:shd w:val="clear" w:color="000000" w:fill="C00000"/>
            <w:noWrap/>
            <w:vAlign w:val="bottom"/>
            <w:hideMark/>
          </w:tcPr>
          <w:p w14:paraId="3A06C385" w14:textId="77777777" w:rsidR="00ED49FA" w:rsidRPr="00986F85" w:rsidRDefault="00ED49FA" w:rsidP="00ED49FA">
            <w:pPr>
              <w:suppressAutoHyphens w:val="0"/>
              <w:spacing w:after="0" w:line="240" w:lineRule="auto"/>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Érték</w:t>
            </w:r>
          </w:p>
        </w:tc>
        <w:tc>
          <w:tcPr>
            <w:tcW w:w="558" w:type="dxa"/>
            <w:tcBorders>
              <w:top w:val="nil"/>
              <w:left w:val="nil"/>
              <w:bottom w:val="single" w:sz="4" w:space="0" w:color="auto"/>
              <w:right w:val="nil"/>
            </w:tcBorders>
            <w:shd w:val="clear" w:color="000000" w:fill="C00000"/>
            <w:noWrap/>
            <w:vAlign w:val="bottom"/>
            <w:hideMark/>
          </w:tcPr>
          <w:p w14:paraId="30879DE2" w14:textId="77777777" w:rsidR="00ED49FA" w:rsidRPr="00986F85" w:rsidRDefault="00ED49FA" w:rsidP="00ED49FA">
            <w:pPr>
              <w:suppressAutoHyphens w:val="0"/>
              <w:spacing w:after="0" w:line="240" w:lineRule="auto"/>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t stat.</w:t>
            </w:r>
          </w:p>
        </w:tc>
        <w:tc>
          <w:tcPr>
            <w:tcW w:w="862" w:type="dxa"/>
            <w:tcBorders>
              <w:top w:val="nil"/>
              <w:left w:val="nil"/>
              <w:bottom w:val="single" w:sz="4" w:space="0" w:color="auto"/>
              <w:right w:val="nil"/>
            </w:tcBorders>
            <w:shd w:val="clear" w:color="000000" w:fill="C00000"/>
            <w:noWrap/>
            <w:vAlign w:val="bottom"/>
            <w:hideMark/>
          </w:tcPr>
          <w:p w14:paraId="5DC0B566" w14:textId="77777777" w:rsidR="00ED49FA" w:rsidRPr="00986F85" w:rsidRDefault="00ED49FA" w:rsidP="00ED49FA">
            <w:pPr>
              <w:suppressAutoHyphens w:val="0"/>
              <w:spacing w:after="0" w:line="240" w:lineRule="auto"/>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Érték</w:t>
            </w:r>
          </w:p>
        </w:tc>
        <w:tc>
          <w:tcPr>
            <w:tcW w:w="558" w:type="dxa"/>
            <w:tcBorders>
              <w:top w:val="nil"/>
              <w:left w:val="nil"/>
              <w:bottom w:val="single" w:sz="4" w:space="0" w:color="auto"/>
              <w:right w:val="nil"/>
            </w:tcBorders>
            <w:shd w:val="clear" w:color="000000" w:fill="C00000"/>
            <w:noWrap/>
            <w:vAlign w:val="bottom"/>
            <w:hideMark/>
          </w:tcPr>
          <w:p w14:paraId="44FC0324" w14:textId="77777777" w:rsidR="00ED49FA" w:rsidRPr="00986F85" w:rsidRDefault="00ED49FA" w:rsidP="00ED49FA">
            <w:pPr>
              <w:suppressAutoHyphens w:val="0"/>
              <w:spacing w:after="0" w:line="240" w:lineRule="auto"/>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t stat.</w:t>
            </w:r>
          </w:p>
        </w:tc>
      </w:tr>
      <w:tr w:rsidR="00ED49FA" w:rsidRPr="00986F85" w14:paraId="1B871622" w14:textId="77777777" w:rsidTr="00923F3D">
        <w:trPr>
          <w:trHeight w:val="300"/>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18680915" w14:textId="77777777" w:rsidR="00ED49FA" w:rsidRPr="00986F85" w:rsidRDefault="00ED49FA" w:rsidP="00ED49FA">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xml:space="preserve">Nettó árbevétel </w:t>
            </w:r>
          </w:p>
        </w:tc>
        <w:tc>
          <w:tcPr>
            <w:tcW w:w="1079" w:type="dxa"/>
            <w:tcBorders>
              <w:top w:val="nil"/>
              <w:left w:val="nil"/>
              <w:bottom w:val="single" w:sz="4" w:space="0" w:color="auto"/>
              <w:right w:val="single" w:sz="4" w:space="0" w:color="auto"/>
            </w:tcBorders>
            <w:shd w:val="clear" w:color="000000" w:fill="FFFFFF"/>
            <w:vAlign w:val="center"/>
            <w:hideMark/>
          </w:tcPr>
          <w:p w14:paraId="6A313BA0" w14:textId="77777777" w:rsidR="00ED49FA" w:rsidRPr="00986F85" w:rsidRDefault="00ED49FA" w:rsidP="00ED49FA">
            <w:pPr>
              <w:suppressAutoHyphens w:val="0"/>
              <w:spacing w:after="0" w:line="240" w:lineRule="auto"/>
              <w:jc w:val="right"/>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65.95</w:t>
            </w:r>
          </w:p>
        </w:tc>
        <w:tc>
          <w:tcPr>
            <w:tcW w:w="579" w:type="dxa"/>
            <w:tcBorders>
              <w:top w:val="nil"/>
              <w:left w:val="nil"/>
              <w:bottom w:val="single" w:sz="4" w:space="0" w:color="auto"/>
              <w:right w:val="single" w:sz="4" w:space="0" w:color="auto"/>
            </w:tcBorders>
            <w:shd w:val="clear" w:color="000000" w:fill="FFFFFF"/>
            <w:noWrap/>
            <w:vAlign w:val="center"/>
            <w:hideMark/>
          </w:tcPr>
          <w:p w14:paraId="7DC95086" w14:textId="77777777" w:rsidR="00ED49FA" w:rsidRPr="00986F85" w:rsidRDefault="00ED49FA" w:rsidP="00ED49FA">
            <w:pPr>
              <w:suppressAutoHyphens w:val="0"/>
              <w:spacing w:after="0" w:line="240" w:lineRule="auto"/>
              <w:jc w:val="right"/>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3.49</w:t>
            </w:r>
          </w:p>
        </w:tc>
        <w:tc>
          <w:tcPr>
            <w:tcW w:w="499" w:type="dxa"/>
            <w:tcBorders>
              <w:top w:val="nil"/>
              <w:left w:val="nil"/>
              <w:bottom w:val="single" w:sz="4" w:space="0" w:color="auto"/>
              <w:right w:val="single" w:sz="4" w:space="0" w:color="auto"/>
            </w:tcBorders>
            <w:shd w:val="clear" w:color="000000" w:fill="BFBFBF"/>
            <w:noWrap/>
            <w:vAlign w:val="center"/>
            <w:hideMark/>
          </w:tcPr>
          <w:p w14:paraId="2F2317FF" w14:textId="77777777" w:rsidR="00ED49FA" w:rsidRPr="00986F85" w:rsidRDefault="00ED49FA" w:rsidP="00ED49FA">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495" w:type="dxa"/>
            <w:tcBorders>
              <w:top w:val="nil"/>
              <w:left w:val="nil"/>
              <w:bottom w:val="single" w:sz="4" w:space="0" w:color="auto"/>
              <w:right w:val="single" w:sz="4" w:space="0" w:color="auto"/>
            </w:tcBorders>
            <w:shd w:val="clear" w:color="000000" w:fill="BFBFBF"/>
            <w:noWrap/>
            <w:vAlign w:val="center"/>
            <w:hideMark/>
          </w:tcPr>
          <w:p w14:paraId="705C5A17" w14:textId="77777777" w:rsidR="00ED49FA" w:rsidRPr="00986F85" w:rsidRDefault="00ED49FA" w:rsidP="00ED49FA">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949" w:type="dxa"/>
            <w:tcBorders>
              <w:top w:val="nil"/>
              <w:left w:val="nil"/>
              <w:bottom w:val="single" w:sz="4" w:space="0" w:color="auto"/>
              <w:right w:val="single" w:sz="4" w:space="0" w:color="auto"/>
            </w:tcBorders>
            <w:shd w:val="clear" w:color="000000" w:fill="BFBFBF"/>
            <w:noWrap/>
            <w:vAlign w:val="center"/>
            <w:hideMark/>
          </w:tcPr>
          <w:p w14:paraId="21F916FF" w14:textId="77777777" w:rsidR="00ED49FA" w:rsidRPr="00986F85" w:rsidRDefault="00ED49FA" w:rsidP="00ED49FA">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495" w:type="dxa"/>
            <w:tcBorders>
              <w:top w:val="nil"/>
              <w:left w:val="nil"/>
              <w:bottom w:val="single" w:sz="4" w:space="0" w:color="auto"/>
              <w:right w:val="single" w:sz="4" w:space="0" w:color="auto"/>
            </w:tcBorders>
            <w:shd w:val="clear" w:color="000000" w:fill="BFBFBF"/>
            <w:noWrap/>
            <w:vAlign w:val="center"/>
            <w:hideMark/>
          </w:tcPr>
          <w:p w14:paraId="6BF40B2D" w14:textId="77777777" w:rsidR="00ED49FA" w:rsidRPr="00986F85" w:rsidRDefault="00ED49FA" w:rsidP="00ED49FA">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949" w:type="dxa"/>
            <w:tcBorders>
              <w:top w:val="nil"/>
              <w:left w:val="nil"/>
              <w:bottom w:val="single" w:sz="4" w:space="0" w:color="auto"/>
              <w:right w:val="single" w:sz="4" w:space="0" w:color="auto"/>
            </w:tcBorders>
            <w:shd w:val="clear" w:color="000000" w:fill="BFBFBF"/>
            <w:noWrap/>
            <w:vAlign w:val="center"/>
            <w:hideMark/>
          </w:tcPr>
          <w:p w14:paraId="0C5DB5B0" w14:textId="77777777" w:rsidR="00ED49FA" w:rsidRPr="00986F85" w:rsidRDefault="00ED49FA" w:rsidP="00ED49FA">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495" w:type="dxa"/>
            <w:tcBorders>
              <w:top w:val="nil"/>
              <w:left w:val="nil"/>
              <w:bottom w:val="single" w:sz="4" w:space="0" w:color="auto"/>
              <w:right w:val="single" w:sz="4" w:space="0" w:color="auto"/>
            </w:tcBorders>
            <w:shd w:val="clear" w:color="000000" w:fill="BFBFBF"/>
            <w:noWrap/>
            <w:vAlign w:val="center"/>
            <w:hideMark/>
          </w:tcPr>
          <w:p w14:paraId="020FC9A1" w14:textId="77777777" w:rsidR="00ED49FA" w:rsidRPr="00986F85" w:rsidRDefault="00ED49FA" w:rsidP="00ED49FA">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627" w:type="dxa"/>
            <w:tcBorders>
              <w:top w:val="nil"/>
              <w:left w:val="nil"/>
              <w:bottom w:val="single" w:sz="4" w:space="0" w:color="auto"/>
              <w:right w:val="single" w:sz="4" w:space="0" w:color="auto"/>
            </w:tcBorders>
            <w:shd w:val="clear" w:color="000000" w:fill="BFBFBF"/>
            <w:noWrap/>
            <w:vAlign w:val="center"/>
            <w:hideMark/>
          </w:tcPr>
          <w:p w14:paraId="32B6CACE" w14:textId="77777777" w:rsidR="00ED49FA" w:rsidRPr="00986F85" w:rsidRDefault="00ED49FA" w:rsidP="00ED49FA">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693" w:type="dxa"/>
            <w:tcBorders>
              <w:top w:val="nil"/>
              <w:left w:val="nil"/>
              <w:bottom w:val="single" w:sz="4" w:space="0" w:color="auto"/>
              <w:right w:val="single" w:sz="4" w:space="0" w:color="auto"/>
            </w:tcBorders>
            <w:shd w:val="clear" w:color="000000" w:fill="BFBFBF"/>
            <w:noWrap/>
            <w:vAlign w:val="center"/>
            <w:hideMark/>
          </w:tcPr>
          <w:p w14:paraId="298F05D9" w14:textId="77777777" w:rsidR="00ED49FA" w:rsidRPr="00986F85" w:rsidRDefault="00ED49FA" w:rsidP="00ED49FA">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627" w:type="dxa"/>
            <w:tcBorders>
              <w:top w:val="nil"/>
              <w:left w:val="nil"/>
              <w:bottom w:val="single" w:sz="4" w:space="0" w:color="auto"/>
              <w:right w:val="single" w:sz="4" w:space="0" w:color="auto"/>
            </w:tcBorders>
            <w:shd w:val="clear" w:color="000000" w:fill="BFBFBF"/>
            <w:noWrap/>
            <w:vAlign w:val="center"/>
            <w:hideMark/>
          </w:tcPr>
          <w:p w14:paraId="6EE02B79" w14:textId="77777777" w:rsidR="00ED49FA" w:rsidRPr="00986F85" w:rsidRDefault="00ED49FA" w:rsidP="00ED49FA">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693" w:type="dxa"/>
            <w:tcBorders>
              <w:top w:val="nil"/>
              <w:left w:val="nil"/>
              <w:bottom w:val="single" w:sz="4" w:space="0" w:color="auto"/>
              <w:right w:val="single" w:sz="4" w:space="0" w:color="auto"/>
            </w:tcBorders>
            <w:shd w:val="clear" w:color="000000" w:fill="BFBFBF"/>
            <w:noWrap/>
            <w:vAlign w:val="center"/>
            <w:hideMark/>
          </w:tcPr>
          <w:p w14:paraId="28F0B266" w14:textId="77777777" w:rsidR="00ED49FA" w:rsidRPr="00986F85" w:rsidRDefault="00ED49FA" w:rsidP="00ED49FA">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862" w:type="dxa"/>
            <w:tcBorders>
              <w:top w:val="single" w:sz="4" w:space="0" w:color="auto"/>
              <w:left w:val="nil"/>
              <w:bottom w:val="single" w:sz="4" w:space="0" w:color="auto"/>
              <w:right w:val="single" w:sz="4" w:space="0" w:color="auto"/>
            </w:tcBorders>
            <w:shd w:val="clear" w:color="000000" w:fill="D9D9D9"/>
            <w:noWrap/>
            <w:vAlign w:val="center"/>
            <w:hideMark/>
          </w:tcPr>
          <w:p w14:paraId="34F8CD32" w14:textId="77777777" w:rsidR="00ED49FA" w:rsidRPr="00986F85" w:rsidRDefault="00ED49FA" w:rsidP="00923F3D">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558" w:type="dxa"/>
            <w:tcBorders>
              <w:top w:val="single" w:sz="4" w:space="0" w:color="auto"/>
              <w:left w:val="nil"/>
              <w:bottom w:val="single" w:sz="4" w:space="0" w:color="auto"/>
              <w:right w:val="single" w:sz="4" w:space="0" w:color="auto"/>
            </w:tcBorders>
            <w:shd w:val="clear" w:color="000000" w:fill="D9D9D9"/>
            <w:noWrap/>
            <w:vAlign w:val="center"/>
            <w:hideMark/>
          </w:tcPr>
          <w:p w14:paraId="47E4BE59" w14:textId="77777777" w:rsidR="00ED49FA" w:rsidRPr="00986F85" w:rsidRDefault="00ED49FA" w:rsidP="00ED49FA">
            <w:pPr>
              <w:suppressAutoHyphens w:val="0"/>
              <w:spacing w:after="0" w:line="240" w:lineRule="auto"/>
              <w:rPr>
                <w:rFonts w:eastAsia="Times New Roman" w:cs="Times New Roman"/>
                <w:color w:val="000000"/>
                <w:sz w:val="16"/>
                <w:szCs w:val="16"/>
                <w:lang w:val="en-US" w:eastAsia="en-US"/>
              </w:rPr>
            </w:pPr>
          </w:p>
        </w:tc>
        <w:tc>
          <w:tcPr>
            <w:tcW w:w="862" w:type="dxa"/>
            <w:tcBorders>
              <w:top w:val="single" w:sz="4" w:space="0" w:color="auto"/>
              <w:left w:val="nil"/>
              <w:bottom w:val="single" w:sz="4" w:space="0" w:color="auto"/>
              <w:right w:val="single" w:sz="4" w:space="0" w:color="auto"/>
            </w:tcBorders>
            <w:shd w:val="clear" w:color="000000" w:fill="D9D9D9"/>
            <w:noWrap/>
            <w:vAlign w:val="center"/>
            <w:hideMark/>
          </w:tcPr>
          <w:p w14:paraId="2D67253D" w14:textId="77777777" w:rsidR="00ED49FA" w:rsidRPr="00986F85" w:rsidRDefault="00ED49FA" w:rsidP="00923F3D">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558" w:type="dxa"/>
            <w:tcBorders>
              <w:top w:val="single" w:sz="4" w:space="0" w:color="auto"/>
              <w:left w:val="nil"/>
              <w:bottom w:val="single" w:sz="4" w:space="0" w:color="auto"/>
              <w:right w:val="single" w:sz="4" w:space="0" w:color="auto"/>
            </w:tcBorders>
            <w:shd w:val="clear" w:color="000000" w:fill="D9D9D9"/>
            <w:noWrap/>
            <w:vAlign w:val="center"/>
            <w:hideMark/>
          </w:tcPr>
          <w:p w14:paraId="690C64E2" w14:textId="77777777" w:rsidR="00ED49FA" w:rsidRPr="00986F85" w:rsidRDefault="00ED49FA" w:rsidP="001415F7">
            <w:pPr>
              <w:suppressAutoHyphens w:val="0"/>
              <w:spacing w:after="0" w:line="240" w:lineRule="auto"/>
              <w:rPr>
                <w:rFonts w:eastAsia="Times New Roman" w:cs="Times New Roman"/>
                <w:color w:val="000000"/>
                <w:sz w:val="16"/>
                <w:szCs w:val="16"/>
                <w:lang w:val="en-US" w:eastAsia="en-US"/>
              </w:rPr>
            </w:pPr>
          </w:p>
        </w:tc>
      </w:tr>
      <w:tr w:rsidR="00ED49FA" w:rsidRPr="00986F85" w14:paraId="1C83B70E" w14:textId="77777777" w:rsidTr="00ED49FA">
        <w:trPr>
          <w:trHeight w:val="280"/>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2868DCA3" w14:textId="77777777" w:rsidR="00ED49FA" w:rsidRPr="00986F85" w:rsidRDefault="00ED49FA" w:rsidP="00ED49FA">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Egy főre jutó nettó árbevétel</w:t>
            </w:r>
          </w:p>
        </w:tc>
        <w:tc>
          <w:tcPr>
            <w:tcW w:w="1079" w:type="dxa"/>
            <w:tcBorders>
              <w:top w:val="nil"/>
              <w:left w:val="nil"/>
              <w:bottom w:val="single" w:sz="4" w:space="0" w:color="auto"/>
              <w:right w:val="single" w:sz="4" w:space="0" w:color="auto"/>
            </w:tcBorders>
            <w:shd w:val="clear" w:color="000000" w:fill="BFBFBF"/>
            <w:vAlign w:val="center"/>
            <w:hideMark/>
          </w:tcPr>
          <w:p w14:paraId="59E51B3A" w14:textId="77777777" w:rsidR="00ED49FA" w:rsidRPr="00986F85" w:rsidRDefault="00ED49FA" w:rsidP="00ED49FA">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579" w:type="dxa"/>
            <w:tcBorders>
              <w:top w:val="nil"/>
              <w:left w:val="nil"/>
              <w:bottom w:val="single" w:sz="4" w:space="0" w:color="auto"/>
              <w:right w:val="single" w:sz="4" w:space="0" w:color="auto"/>
            </w:tcBorders>
            <w:shd w:val="clear" w:color="000000" w:fill="BFBFBF"/>
            <w:noWrap/>
            <w:vAlign w:val="center"/>
            <w:hideMark/>
          </w:tcPr>
          <w:p w14:paraId="45525AE2" w14:textId="77777777" w:rsidR="00ED49FA" w:rsidRPr="00986F85" w:rsidRDefault="00ED49FA" w:rsidP="00ED49FA">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499" w:type="dxa"/>
            <w:tcBorders>
              <w:top w:val="nil"/>
              <w:left w:val="nil"/>
              <w:bottom w:val="single" w:sz="4" w:space="0" w:color="auto"/>
              <w:right w:val="single" w:sz="4" w:space="0" w:color="auto"/>
            </w:tcBorders>
            <w:shd w:val="clear" w:color="000000" w:fill="BFBFBF"/>
            <w:noWrap/>
            <w:vAlign w:val="center"/>
            <w:hideMark/>
          </w:tcPr>
          <w:p w14:paraId="03756FA4" w14:textId="77777777" w:rsidR="00ED49FA" w:rsidRPr="00986F85" w:rsidRDefault="00ED49FA" w:rsidP="00ED49FA">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495" w:type="dxa"/>
            <w:tcBorders>
              <w:top w:val="nil"/>
              <w:left w:val="nil"/>
              <w:bottom w:val="single" w:sz="4" w:space="0" w:color="auto"/>
              <w:right w:val="single" w:sz="4" w:space="0" w:color="auto"/>
            </w:tcBorders>
            <w:shd w:val="clear" w:color="000000" w:fill="BFBFBF"/>
            <w:noWrap/>
            <w:vAlign w:val="center"/>
            <w:hideMark/>
          </w:tcPr>
          <w:p w14:paraId="4B488A65" w14:textId="77777777" w:rsidR="00ED49FA" w:rsidRPr="00986F85" w:rsidRDefault="00ED49FA" w:rsidP="00ED49FA">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949" w:type="dxa"/>
            <w:tcBorders>
              <w:top w:val="nil"/>
              <w:left w:val="nil"/>
              <w:bottom w:val="single" w:sz="4" w:space="0" w:color="auto"/>
              <w:right w:val="single" w:sz="4" w:space="0" w:color="auto"/>
            </w:tcBorders>
            <w:shd w:val="clear" w:color="000000" w:fill="BFBFBF"/>
            <w:noWrap/>
            <w:vAlign w:val="center"/>
            <w:hideMark/>
          </w:tcPr>
          <w:p w14:paraId="38F217CA" w14:textId="77777777" w:rsidR="00ED49FA" w:rsidRPr="00986F85" w:rsidRDefault="00ED49FA" w:rsidP="00ED49FA">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495" w:type="dxa"/>
            <w:tcBorders>
              <w:top w:val="nil"/>
              <w:left w:val="nil"/>
              <w:bottom w:val="single" w:sz="4" w:space="0" w:color="auto"/>
              <w:right w:val="single" w:sz="4" w:space="0" w:color="auto"/>
            </w:tcBorders>
            <w:shd w:val="clear" w:color="000000" w:fill="BFBFBF"/>
            <w:noWrap/>
            <w:vAlign w:val="center"/>
            <w:hideMark/>
          </w:tcPr>
          <w:p w14:paraId="3A8764B8" w14:textId="77777777" w:rsidR="00ED49FA" w:rsidRPr="00986F85" w:rsidRDefault="00ED49FA" w:rsidP="00ED49FA">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949" w:type="dxa"/>
            <w:tcBorders>
              <w:top w:val="nil"/>
              <w:left w:val="nil"/>
              <w:bottom w:val="single" w:sz="4" w:space="0" w:color="auto"/>
              <w:right w:val="single" w:sz="4" w:space="0" w:color="auto"/>
            </w:tcBorders>
            <w:shd w:val="clear" w:color="000000" w:fill="BFBFBF"/>
            <w:noWrap/>
            <w:vAlign w:val="center"/>
            <w:hideMark/>
          </w:tcPr>
          <w:p w14:paraId="772FB37E" w14:textId="77777777" w:rsidR="00ED49FA" w:rsidRPr="00986F85" w:rsidRDefault="00ED49FA" w:rsidP="00ED49FA">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495" w:type="dxa"/>
            <w:tcBorders>
              <w:top w:val="nil"/>
              <w:left w:val="nil"/>
              <w:bottom w:val="single" w:sz="4" w:space="0" w:color="auto"/>
              <w:right w:val="single" w:sz="4" w:space="0" w:color="auto"/>
            </w:tcBorders>
            <w:shd w:val="clear" w:color="000000" w:fill="BFBFBF"/>
            <w:noWrap/>
            <w:vAlign w:val="center"/>
            <w:hideMark/>
          </w:tcPr>
          <w:p w14:paraId="7C05E201" w14:textId="77777777" w:rsidR="00ED49FA" w:rsidRPr="00986F85" w:rsidRDefault="00ED49FA" w:rsidP="00ED49FA">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627" w:type="dxa"/>
            <w:tcBorders>
              <w:top w:val="nil"/>
              <w:left w:val="nil"/>
              <w:bottom w:val="single" w:sz="4" w:space="0" w:color="auto"/>
              <w:right w:val="single" w:sz="4" w:space="0" w:color="auto"/>
            </w:tcBorders>
            <w:shd w:val="clear" w:color="000000" w:fill="BFBFBF"/>
            <w:noWrap/>
            <w:vAlign w:val="center"/>
            <w:hideMark/>
          </w:tcPr>
          <w:p w14:paraId="08BC3CAC" w14:textId="77777777" w:rsidR="00ED49FA" w:rsidRPr="00986F85" w:rsidRDefault="00ED49FA" w:rsidP="00ED49FA">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693" w:type="dxa"/>
            <w:tcBorders>
              <w:top w:val="nil"/>
              <w:left w:val="nil"/>
              <w:bottom w:val="single" w:sz="4" w:space="0" w:color="auto"/>
              <w:right w:val="single" w:sz="4" w:space="0" w:color="auto"/>
            </w:tcBorders>
            <w:shd w:val="clear" w:color="000000" w:fill="BFBFBF"/>
            <w:noWrap/>
            <w:vAlign w:val="center"/>
            <w:hideMark/>
          </w:tcPr>
          <w:p w14:paraId="38705326" w14:textId="77777777" w:rsidR="00ED49FA" w:rsidRPr="00986F85" w:rsidRDefault="00ED49FA" w:rsidP="00ED49FA">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627" w:type="dxa"/>
            <w:tcBorders>
              <w:top w:val="nil"/>
              <w:left w:val="nil"/>
              <w:bottom w:val="single" w:sz="4" w:space="0" w:color="auto"/>
              <w:right w:val="single" w:sz="4" w:space="0" w:color="auto"/>
            </w:tcBorders>
            <w:shd w:val="clear" w:color="000000" w:fill="BFBFBF"/>
            <w:noWrap/>
            <w:vAlign w:val="center"/>
            <w:hideMark/>
          </w:tcPr>
          <w:p w14:paraId="4832A947" w14:textId="77777777" w:rsidR="00ED49FA" w:rsidRPr="00986F85" w:rsidRDefault="00ED49FA" w:rsidP="00ED49FA">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693" w:type="dxa"/>
            <w:tcBorders>
              <w:top w:val="nil"/>
              <w:left w:val="nil"/>
              <w:bottom w:val="single" w:sz="4" w:space="0" w:color="auto"/>
              <w:right w:val="single" w:sz="4" w:space="0" w:color="auto"/>
            </w:tcBorders>
            <w:shd w:val="clear" w:color="000000" w:fill="BFBFBF"/>
            <w:noWrap/>
            <w:vAlign w:val="center"/>
            <w:hideMark/>
          </w:tcPr>
          <w:p w14:paraId="5A94E5C7" w14:textId="77777777" w:rsidR="00ED49FA" w:rsidRPr="00986F85" w:rsidRDefault="00ED49FA" w:rsidP="00ED49FA">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862" w:type="dxa"/>
            <w:tcBorders>
              <w:top w:val="nil"/>
              <w:left w:val="nil"/>
              <w:bottom w:val="single" w:sz="4" w:space="0" w:color="auto"/>
              <w:right w:val="single" w:sz="4" w:space="0" w:color="auto"/>
            </w:tcBorders>
            <w:shd w:val="clear" w:color="000000" w:fill="BFBFBF"/>
            <w:noWrap/>
            <w:vAlign w:val="center"/>
            <w:hideMark/>
          </w:tcPr>
          <w:p w14:paraId="1D3FED18" w14:textId="77777777" w:rsidR="00ED49FA" w:rsidRPr="00986F85" w:rsidRDefault="00ED49FA" w:rsidP="00ED49FA">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558" w:type="dxa"/>
            <w:tcBorders>
              <w:top w:val="nil"/>
              <w:left w:val="nil"/>
              <w:bottom w:val="single" w:sz="4" w:space="0" w:color="auto"/>
              <w:right w:val="single" w:sz="4" w:space="0" w:color="auto"/>
            </w:tcBorders>
            <w:shd w:val="clear" w:color="000000" w:fill="BFBFBF"/>
            <w:noWrap/>
            <w:vAlign w:val="center"/>
            <w:hideMark/>
          </w:tcPr>
          <w:p w14:paraId="3877777A" w14:textId="77777777" w:rsidR="00ED49FA" w:rsidRPr="00986F85" w:rsidRDefault="00ED49FA" w:rsidP="00ED49FA">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862" w:type="dxa"/>
            <w:tcBorders>
              <w:top w:val="nil"/>
              <w:left w:val="nil"/>
              <w:bottom w:val="single" w:sz="4" w:space="0" w:color="auto"/>
              <w:right w:val="single" w:sz="4" w:space="0" w:color="auto"/>
            </w:tcBorders>
            <w:shd w:val="clear" w:color="000000" w:fill="BFBFBF"/>
            <w:noWrap/>
            <w:vAlign w:val="center"/>
            <w:hideMark/>
          </w:tcPr>
          <w:p w14:paraId="5A2F6147" w14:textId="77777777" w:rsidR="00ED49FA" w:rsidRPr="00986F85" w:rsidRDefault="00ED49FA" w:rsidP="00ED49FA">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558" w:type="dxa"/>
            <w:tcBorders>
              <w:top w:val="nil"/>
              <w:left w:val="nil"/>
              <w:bottom w:val="single" w:sz="4" w:space="0" w:color="auto"/>
              <w:right w:val="single" w:sz="4" w:space="0" w:color="auto"/>
            </w:tcBorders>
            <w:shd w:val="clear" w:color="000000" w:fill="BFBFBF"/>
            <w:noWrap/>
            <w:vAlign w:val="center"/>
            <w:hideMark/>
          </w:tcPr>
          <w:p w14:paraId="66B3D874" w14:textId="77777777" w:rsidR="00ED49FA" w:rsidRPr="00986F85" w:rsidRDefault="00ED49FA" w:rsidP="00ED49FA">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r>
      <w:tr w:rsidR="00ED49FA" w:rsidRPr="00986F85" w14:paraId="477D0EBA" w14:textId="77777777" w:rsidTr="00ED49FA">
        <w:trPr>
          <w:trHeight w:val="500"/>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0412508F" w14:textId="77777777" w:rsidR="00ED49FA" w:rsidRPr="00986F85" w:rsidRDefault="00ED49FA" w:rsidP="00ED49FA">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Üzemi, üzleti tevékenység eredménye</w:t>
            </w:r>
          </w:p>
        </w:tc>
        <w:tc>
          <w:tcPr>
            <w:tcW w:w="1079" w:type="dxa"/>
            <w:tcBorders>
              <w:top w:val="nil"/>
              <w:left w:val="nil"/>
              <w:bottom w:val="single" w:sz="4" w:space="0" w:color="auto"/>
              <w:right w:val="single" w:sz="4" w:space="0" w:color="auto"/>
            </w:tcBorders>
            <w:shd w:val="clear" w:color="000000" w:fill="FFFFFF"/>
            <w:vAlign w:val="center"/>
            <w:hideMark/>
          </w:tcPr>
          <w:p w14:paraId="4DA92177" w14:textId="77777777" w:rsidR="00ED49FA" w:rsidRPr="00986F85" w:rsidRDefault="00ED49FA" w:rsidP="00ED49FA">
            <w:pPr>
              <w:suppressAutoHyphens w:val="0"/>
              <w:spacing w:after="0" w:line="240" w:lineRule="auto"/>
              <w:jc w:val="right"/>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17128.99</w:t>
            </w:r>
          </w:p>
        </w:tc>
        <w:tc>
          <w:tcPr>
            <w:tcW w:w="579" w:type="dxa"/>
            <w:tcBorders>
              <w:top w:val="nil"/>
              <w:left w:val="nil"/>
              <w:bottom w:val="single" w:sz="4" w:space="0" w:color="auto"/>
              <w:right w:val="single" w:sz="4" w:space="0" w:color="auto"/>
            </w:tcBorders>
            <w:shd w:val="clear" w:color="000000" w:fill="FFFFFF"/>
            <w:noWrap/>
            <w:vAlign w:val="center"/>
            <w:hideMark/>
          </w:tcPr>
          <w:p w14:paraId="6C75AFD0" w14:textId="77777777" w:rsidR="00ED49FA" w:rsidRPr="00986F85" w:rsidRDefault="00ED49FA" w:rsidP="00ED49FA">
            <w:pPr>
              <w:suppressAutoHyphens w:val="0"/>
              <w:spacing w:after="0" w:line="240" w:lineRule="auto"/>
              <w:jc w:val="right"/>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3.09</w:t>
            </w:r>
          </w:p>
        </w:tc>
        <w:tc>
          <w:tcPr>
            <w:tcW w:w="499" w:type="dxa"/>
            <w:tcBorders>
              <w:top w:val="nil"/>
              <w:left w:val="nil"/>
              <w:bottom w:val="single" w:sz="4" w:space="0" w:color="auto"/>
              <w:right w:val="single" w:sz="4" w:space="0" w:color="auto"/>
            </w:tcBorders>
            <w:shd w:val="clear" w:color="000000" w:fill="BFBFBF"/>
            <w:noWrap/>
            <w:vAlign w:val="center"/>
            <w:hideMark/>
          </w:tcPr>
          <w:p w14:paraId="79E6B9BE" w14:textId="77777777" w:rsidR="00ED49FA" w:rsidRPr="00986F85" w:rsidRDefault="00ED49FA" w:rsidP="00ED49FA">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495" w:type="dxa"/>
            <w:tcBorders>
              <w:top w:val="nil"/>
              <w:left w:val="nil"/>
              <w:bottom w:val="single" w:sz="4" w:space="0" w:color="auto"/>
              <w:right w:val="single" w:sz="4" w:space="0" w:color="auto"/>
            </w:tcBorders>
            <w:shd w:val="clear" w:color="000000" w:fill="BFBFBF"/>
            <w:noWrap/>
            <w:vAlign w:val="center"/>
            <w:hideMark/>
          </w:tcPr>
          <w:p w14:paraId="23709F8B" w14:textId="77777777" w:rsidR="00ED49FA" w:rsidRPr="00986F85" w:rsidRDefault="00ED49FA" w:rsidP="00ED49FA">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949" w:type="dxa"/>
            <w:tcBorders>
              <w:top w:val="nil"/>
              <w:left w:val="nil"/>
              <w:bottom w:val="single" w:sz="4" w:space="0" w:color="auto"/>
              <w:right w:val="single" w:sz="4" w:space="0" w:color="auto"/>
            </w:tcBorders>
            <w:shd w:val="clear" w:color="000000" w:fill="FFFFFF"/>
            <w:noWrap/>
            <w:vAlign w:val="center"/>
            <w:hideMark/>
          </w:tcPr>
          <w:p w14:paraId="32A5522B" w14:textId="77777777" w:rsidR="00ED49FA" w:rsidRPr="00986F85" w:rsidRDefault="00ED49FA" w:rsidP="00ED49FA">
            <w:pPr>
              <w:suppressAutoHyphens w:val="0"/>
              <w:spacing w:after="0" w:line="240" w:lineRule="auto"/>
              <w:jc w:val="right"/>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10815.961</w:t>
            </w:r>
          </w:p>
        </w:tc>
        <w:tc>
          <w:tcPr>
            <w:tcW w:w="495" w:type="dxa"/>
            <w:tcBorders>
              <w:top w:val="nil"/>
              <w:left w:val="nil"/>
              <w:bottom w:val="single" w:sz="4" w:space="0" w:color="auto"/>
              <w:right w:val="single" w:sz="4" w:space="0" w:color="auto"/>
            </w:tcBorders>
            <w:shd w:val="clear" w:color="000000" w:fill="FFFFFF"/>
            <w:noWrap/>
            <w:vAlign w:val="center"/>
            <w:hideMark/>
          </w:tcPr>
          <w:p w14:paraId="0B4DF7B8" w14:textId="77777777" w:rsidR="00ED49FA" w:rsidRPr="00986F85" w:rsidRDefault="00ED49FA" w:rsidP="00ED49FA">
            <w:pPr>
              <w:suppressAutoHyphens w:val="0"/>
              <w:spacing w:after="0" w:line="240" w:lineRule="auto"/>
              <w:jc w:val="right"/>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2.47</w:t>
            </w:r>
          </w:p>
        </w:tc>
        <w:tc>
          <w:tcPr>
            <w:tcW w:w="949" w:type="dxa"/>
            <w:tcBorders>
              <w:top w:val="nil"/>
              <w:left w:val="nil"/>
              <w:bottom w:val="single" w:sz="4" w:space="0" w:color="auto"/>
              <w:right w:val="single" w:sz="4" w:space="0" w:color="auto"/>
            </w:tcBorders>
            <w:shd w:val="clear" w:color="000000" w:fill="BFBFBF"/>
            <w:noWrap/>
            <w:vAlign w:val="center"/>
            <w:hideMark/>
          </w:tcPr>
          <w:p w14:paraId="4924F4E2" w14:textId="77777777" w:rsidR="00ED49FA" w:rsidRPr="00986F85" w:rsidRDefault="00ED49FA" w:rsidP="00ED49FA">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495" w:type="dxa"/>
            <w:tcBorders>
              <w:top w:val="nil"/>
              <w:left w:val="nil"/>
              <w:bottom w:val="single" w:sz="4" w:space="0" w:color="auto"/>
              <w:right w:val="single" w:sz="4" w:space="0" w:color="auto"/>
            </w:tcBorders>
            <w:shd w:val="clear" w:color="000000" w:fill="BFBFBF"/>
            <w:noWrap/>
            <w:vAlign w:val="center"/>
            <w:hideMark/>
          </w:tcPr>
          <w:p w14:paraId="29D34DEE" w14:textId="77777777" w:rsidR="00ED49FA" w:rsidRPr="00986F85" w:rsidRDefault="00ED49FA" w:rsidP="00ED49FA">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627" w:type="dxa"/>
            <w:tcBorders>
              <w:top w:val="nil"/>
              <w:left w:val="nil"/>
              <w:bottom w:val="single" w:sz="4" w:space="0" w:color="auto"/>
              <w:right w:val="single" w:sz="4" w:space="0" w:color="auto"/>
            </w:tcBorders>
            <w:shd w:val="clear" w:color="000000" w:fill="BFBFBF"/>
            <w:noWrap/>
            <w:vAlign w:val="center"/>
            <w:hideMark/>
          </w:tcPr>
          <w:p w14:paraId="2A617668" w14:textId="77777777" w:rsidR="00ED49FA" w:rsidRPr="00986F85" w:rsidRDefault="00ED49FA" w:rsidP="00ED49FA">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693" w:type="dxa"/>
            <w:tcBorders>
              <w:top w:val="nil"/>
              <w:left w:val="nil"/>
              <w:bottom w:val="single" w:sz="4" w:space="0" w:color="auto"/>
              <w:right w:val="single" w:sz="4" w:space="0" w:color="auto"/>
            </w:tcBorders>
            <w:shd w:val="clear" w:color="000000" w:fill="BFBFBF"/>
            <w:noWrap/>
            <w:vAlign w:val="center"/>
            <w:hideMark/>
          </w:tcPr>
          <w:p w14:paraId="7808508A" w14:textId="77777777" w:rsidR="00ED49FA" w:rsidRPr="00986F85" w:rsidRDefault="00ED49FA" w:rsidP="00ED49FA">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627" w:type="dxa"/>
            <w:tcBorders>
              <w:top w:val="nil"/>
              <w:left w:val="nil"/>
              <w:bottom w:val="single" w:sz="4" w:space="0" w:color="auto"/>
              <w:right w:val="single" w:sz="4" w:space="0" w:color="auto"/>
            </w:tcBorders>
            <w:shd w:val="clear" w:color="000000" w:fill="BFBFBF"/>
            <w:noWrap/>
            <w:vAlign w:val="center"/>
            <w:hideMark/>
          </w:tcPr>
          <w:p w14:paraId="7206B963" w14:textId="77777777" w:rsidR="00ED49FA" w:rsidRPr="00986F85" w:rsidRDefault="00ED49FA" w:rsidP="00ED49FA">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693" w:type="dxa"/>
            <w:tcBorders>
              <w:top w:val="nil"/>
              <w:left w:val="nil"/>
              <w:bottom w:val="single" w:sz="4" w:space="0" w:color="auto"/>
              <w:right w:val="single" w:sz="4" w:space="0" w:color="auto"/>
            </w:tcBorders>
            <w:shd w:val="clear" w:color="000000" w:fill="BFBFBF"/>
            <w:noWrap/>
            <w:vAlign w:val="center"/>
            <w:hideMark/>
          </w:tcPr>
          <w:p w14:paraId="07030387" w14:textId="77777777" w:rsidR="00ED49FA" w:rsidRPr="00986F85" w:rsidRDefault="00ED49FA" w:rsidP="00ED49FA">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862" w:type="dxa"/>
            <w:tcBorders>
              <w:top w:val="nil"/>
              <w:left w:val="nil"/>
              <w:bottom w:val="single" w:sz="4" w:space="0" w:color="auto"/>
              <w:right w:val="single" w:sz="4" w:space="0" w:color="auto"/>
            </w:tcBorders>
            <w:shd w:val="clear" w:color="000000" w:fill="BFBFBF"/>
            <w:noWrap/>
            <w:vAlign w:val="center"/>
            <w:hideMark/>
          </w:tcPr>
          <w:p w14:paraId="19AB0F90" w14:textId="77777777" w:rsidR="00ED49FA" w:rsidRPr="00986F85" w:rsidRDefault="00ED49FA" w:rsidP="00ED49FA">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558" w:type="dxa"/>
            <w:tcBorders>
              <w:top w:val="nil"/>
              <w:left w:val="nil"/>
              <w:bottom w:val="single" w:sz="4" w:space="0" w:color="auto"/>
              <w:right w:val="single" w:sz="4" w:space="0" w:color="auto"/>
            </w:tcBorders>
            <w:shd w:val="clear" w:color="000000" w:fill="BFBFBF"/>
            <w:noWrap/>
            <w:vAlign w:val="center"/>
            <w:hideMark/>
          </w:tcPr>
          <w:p w14:paraId="5280BFA8" w14:textId="77777777" w:rsidR="00ED49FA" w:rsidRPr="00986F85" w:rsidRDefault="00ED49FA" w:rsidP="00ED49FA">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862" w:type="dxa"/>
            <w:tcBorders>
              <w:top w:val="nil"/>
              <w:left w:val="nil"/>
              <w:bottom w:val="single" w:sz="4" w:space="0" w:color="auto"/>
              <w:right w:val="single" w:sz="4" w:space="0" w:color="auto"/>
            </w:tcBorders>
            <w:shd w:val="clear" w:color="000000" w:fill="BFBFBF"/>
            <w:noWrap/>
            <w:vAlign w:val="center"/>
            <w:hideMark/>
          </w:tcPr>
          <w:p w14:paraId="304580A6" w14:textId="77777777" w:rsidR="00ED49FA" w:rsidRPr="00986F85" w:rsidRDefault="00ED49FA" w:rsidP="00ED49FA">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558" w:type="dxa"/>
            <w:tcBorders>
              <w:top w:val="nil"/>
              <w:left w:val="nil"/>
              <w:bottom w:val="single" w:sz="4" w:space="0" w:color="auto"/>
              <w:right w:val="single" w:sz="4" w:space="0" w:color="auto"/>
            </w:tcBorders>
            <w:shd w:val="clear" w:color="000000" w:fill="BFBFBF"/>
            <w:noWrap/>
            <w:vAlign w:val="center"/>
            <w:hideMark/>
          </w:tcPr>
          <w:p w14:paraId="75653A5E" w14:textId="77777777" w:rsidR="00ED49FA" w:rsidRPr="00986F85" w:rsidRDefault="00ED49FA" w:rsidP="00ED49FA">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r>
      <w:tr w:rsidR="00ED49FA" w:rsidRPr="00986F85" w14:paraId="697E85B4" w14:textId="77777777" w:rsidTr="00ED49FA">
        <w:trPr>
          <w:trHeight w:val="460"/>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23AAC2AC" w14:textId="77777777" w:rsidR="00ED49FA" w:rsidRPr="00986F85" w:rsidRDefault="00ED49FA" w:rsidP="00ED49FA">
            <w:pPr>
              <w:suppressAutoHyphens w:val="0"/>
              <w:spacing w:after="0" w:line="240" w:lineRule="auto"/>
              <w:rPr>
                <w:rFonts w:eastAsia="Times New Roman" w:cs="Times New Roman"/>
                <w:b/>
                <w:bCs/>
                <w:color w:val="000000"/>
                <w:sz w:val="16"/>
                <w:szCs w:val="16"/>
                <w:lang w:eastAsia="en-US"/>
              </w:rPr>
            </w:pPr>
            <w:r w:rsidRPr="00986F85">
              <w:rPr>
                <w:rFonts w:eastAsia="Times New Roman" w:cs="Times New Roman"/>
                <w:b/>
                <w:bCs/>
                <w:color w:val="000000"/>
                <w:sz w:val="16"/>
                <w:szCs w:val="16"/>
                <w:lang w:eastAsia="en-US"/>
              </w:rPr>
              <w:t>Egy főre jutó üzemi, üzleti tevékenység eredménye</w:t>
            </w:r>
          </w:p>
        </w:tc>
        <w:tc>
          <w:tcPr>
            <w:tcW w:w="1079" w:type="dxa"/>
            <w:tcBorders>
              <w:top w:val="nil"/>
              <w:left w:val="nil"/>
              <w:bottom w:val="single" w:sz="4" w:space="0" w:color="auto"/>
              <w:right w:val="single" w:sz="4" w:space="0" w:color="auto"/>
            </w:tcBorders>
            <w:shd w:val="clear" w:color="000000" w:fill="FFFFFF"/>
            <w:vAlign w:val="center"/>
            <w:hideMark/>
          </w:tcPr>
          <w:p w14:paraId="68FB16CD" w14:textId="77777777" w:rsidR="00ED49FA" w:rsidRPr="00986F85" w:rsidRDefault="00ED49FA" w:rsidP="00ED49FA">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974.91</w:t>
            </w:r>
          </w:p>
        </w:tc>
        <w:tc>
          <w:tcPr>
            <w:tcW w:w="579" w:type="dxa"/>
            <w:tcBorders>
              <w:top w:val="nil"/>
              <w:left w:val="nil"/>
              <w:bottom w:val="single" w:sz="4" w:space="0" w:color="auto"/>
              <w:right w:val="single" w:sz="4" w:space="0" w:color="auto"/>
            </w:tcBorders>
            <w:shd w:val="clear" w:color="000000" w:fill="FFFFFF"/>
            <w:noWrap/>
            <w:vAlign w:val="center"/>
            <w:hideMark/>
          </w:tcPr>
          <w:p w14:paraId="03A699E8" w14:textId="77777777" w:rsidR="00ED49FA" w:rsidRPr="00986F85" w:rsidRDefault="00ED49FA" w:rsidP="00ED49FA">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3.06</w:t>
            </w:r>
          </w:p>
        </w:tc>
        <w:tc>
          <w:tcPr>
            <w:tcW w:w="499" w:type="dxa"/>
            <w:tcBorders>
              <w:top w:val="nil"/>
              <w:left w:val="nil"/>
              <w:bottom w:val="single" w:sz="4" w:space="0" w:color="auto"/>
              <w:right w:val="single" w:sz="4" w:space="0" w:color="auto"/>
            </w:tcBorders>
            <w:shd w:val="clear" w:color="000000" w:fill="BFBFBF"/>
            <w:noWrap/>
            <w:vAlign w:val="center"/>
            <w:hideMark/>
          </w:tcPr>
          <w:p w14:paraId="296B0E2F" w14:textId="77777777" w:rsidR="00ED49FA" w:rsidRPr="00986F85" w:rsidRDefault="00ED49FA" w:rsidP="00ED49FA">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495" w:type="dxa"/>
            <w:tcBorders>
              <w:top w:val="nil"/>
              <w:left w:val="nil"/>
              <w:bottom w:val="single" w:sz="4" w:space="0" w:color="auto"/>
              <w:right w:val="single" w:sz="4" w:space="0" w:color="auto"/>
            </w:tcBorders>
            <w:shd w:val="clear" w:color="000000" w:fill="BFBFBF"/>
            <w:noWrap/>
            <w:vAlign w:val="center"/>
            <w:hideMark/>
          </w:tcPr>
          <w:p w14:paraId="0B0BDDB2" w14:textId="77777777" w:rsidR="00ED49FA" w:rsidRPr="00986F85" w:rsidRDefault="00ED49FA" w:rsidP="00ED49FA">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949" w:type="dxa"/>
            <w:tcBorders>
              <w:top w:val="nil"/>
              <w:left w:val="nil"/>
              <w:bottom w:val="single" w:sz="4" w:space="0" w:color="auto"/>
              <w:right w:val="single" w:sz="4" w:space="0" w:color="auto"/>
            </w:tcBorders>
            <w:shd w:val="clear" w:color="000000" w:fill="BFBFBF"/>
            <w:noWrap/>
            <w:vAlign w:val="center"/>
            <w:hideMark/>
          </w:tcPr>
          <w:p w14:paraId="6144A71D" w14:textId="77777777" w:rsidR="00ED49FA" w:rsidRPr="00986F85" w:rsidRDefault="00ED49FA" w:rsidP="00ED49FA">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495" w:type="dxa"/>
            <w:tcBorders>
              <w:top w:val="nil"/>
              <w:left w:val="nil"/>
              <w:bottom w:val="single" w:sz="4" w:space="0" w:color="auto"/>
              <w:right w:val="single" w:sz="4" w:space="0" w:color="auto"/>
            </w:tcBorders>
            <w:shd w:val="clear" w:color="000000" w:fill="BFBFBF"/>
            <w:noWrap/>
            <w:vAlign w:val="center"/>
            <w:hideMark/>
          </w:tcPr>
          <w:p w14:paraId="21CBFF3E" w14:textId="77777777" w:rsidR="00ED49FA" w:rsidRPr="00986F85" w:rsidRDefault="00ED49FA" w:rsidP="00ED49FA">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949" w:type="dxa"/>
            <w:tcBorders>
              <w:top w:val="nil"/>
              <w:left w:val="nil"/>
              <w:bottom w:val="single" w:sz="4" w:space="0" w:color="auto"/>
              <w:right w:val="single" w:sz="4" w:space="0" w:color="auto"/>
            </w:tcBorders>
            <w:shd w:val="clear" w:color="000000" w:fill="BFBFBF"/>
            <w:noWrap/>
            <w:vAlign w:val="center"/>
            <w:hideMark/>
          </w:tcPr>
          <w:p w14:paraId="2A0BC318" w14:textId="77777777" w:rsidR="00ED49FA" w:rsidRPr="00986F85" w:rsidRDefault="00ED49FA" w:rsidP="00ED49FA">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495" w:type="dxa"/>
            <w:tcBorders>
              <w:top w:val="nil"/>
              <w:left w:val="nil"/>
              <w:bottom w:val="single" w:sz="4" w:space="0" w:color="auto"/>
              <w:right w:val="single" w:sz="4" w:space="0" w:color="auto"/>
            </w:tcBorders>
            <w:shd w:val="clear" w:color="000000" w:fill="BFBFBF"/>
            <w:noWrap/>
            <w:vAlign w:val="center"/>
            <w:hideMark/>
          </w:tcPr>
          <w:p w14:paraId="204833D5" w14:textId="77777777" w:rsidR="00ED49FA" w:rsidRPr="00986F85" w:rsidRDefault="00ED49FA" w:rsidP="00ED49FA">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627" w:type="dxa"/>
            <w:tcBorders>
              <w:top w:val="nil"/>
              <w:left w:val="nil"/>
              <w:bottom w:val="single" w:sz="4" w:space="0" w:color="auto"/>
              <w:right w:val="single" w:sz="4" w:space="0" w:color="auto"/>
            </w:tcBorders>
            <w:shd w:val="clear" w:color="000000" w:fill="BFBFBF"/>
            <w:noWrap/>
            <w:vAlign w:val="center"/>
            <w:hideMark/>
          </w:tcPr>
          <w:p w14:paraId="0CF92A21" w14:textId="77777777" w:rsidR="00ED49FA" w:rsidRPr="00986F85" w:rsidRDefault="00ED49FA" w:rsidP="00ED49FA">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693" w:type="dxa"/>
            <w:tcBorders>
              <w:top w:val="nil"/>
              <w:left w:val="nil"/>
              <w:bottom w:val="single" w:sz="4" w:space="0" w:color="auto"/>
              <w:right w:val="single" w:sz="4" w:space="0" w:color="auto"/>
            </w:tcBorders>
            <w:shd w:val="clear" w:color="000000" w:fill="BFBFBF"/>
            <w:noWrap/>
            <w:vAlign w:val="center"/>
            <w:hideMark/>
          </w:tcPr>
          <w:p w14:paraId="4DD1ECDC" w14:textId="77777777" w:rsidR="00ED49FA" w:rsidRPr="00986F85" w:rsidRDefault="00ED49FA" w:rsidP="00ED49FA">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627" w:type="dxa"/>
            <w:tcBorders>
              <w:top w:val="nil"/>
              <w:left w:val="nil"/>
              <w:bottom w:val="single" w:sz="4" w:space="0" w:color="auto"/>
              <w:right w:val="single" w:sz="4" w:space="0" w:color="auto"/>
            </w:tcBorders>
            <w:shd w:val="clear" w:color="000000" w:fill="BFBFBF"/>
            <w:noWrap/>
            <w:vAlign w:val="center"/>
            <w:hideMark/>
          </w:tcPr>
          <w:p w14:paraId="09788898" w14:textId="77777777" w:rsidR="00ED49FA" w:rsidRPr="00986F85" w:rsidRDefault="00ED49FA" w:rsidP="00ED49FA">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693" w:type="dxa"/>
            <w:tcBorders>
              <w:top w:val="nil"/>
              <w:left w:val="nil"/>
              <w:bottom w:val="single" w:sz="4" w:space="0" w:color="auto"/>
              <w:right w:val="single" w:sz="4" w:space="0" w:color="auto"/>
            </w:tcBorders>
            <w:shd w:val="clear" w:color="000000" w:fill="BFBFBF"/>
            <w:noWrap/>
            <w:vAlign w:val="center"/>
            <w:hideMark/>
          </w:tcPr>
          <w:p w14:paraId="701CEC6F" w14:textId="77777777" w:rsidR="00ED49FA" w:rsidRPr="00986F85" w:rsidRDefault="00ED49FA" w:rsidP="00ED49FA">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862" w:type="dxa"/>
            <w:tcBorders>
              <w:top w:val="nil"/>
              <w:left w:val="nil"/>
              <w:bottom w:val="single" w:sz="4" w:space="0" w:color="auto"/>
              <w:right w:val="single" w:sz="4" w:space="0" w:color="auto"/>
            </w:tcBorders>
            <w:shd w:val="clear" w:color="000000" w:fill="BFBFBF"/>
            <w:noWrap/>
            <w:vAlign w:val="center"/>
            <w:hideMark/>
          </w:tcPr>
          <w:p w14:paraId="20A74787" w14:textId="77777777" w:rsidR="00ED49FA" w:rsidRPr="00986F85" w:rsidRDefault="00ED49FA" w:rsidP="00ED49FA">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558" w:type="dxa"/>
            <w:tcBorders>
              <w:top w:val="nil"/>
              <w:left w:val="nil"/>
              <w:bottom w:val="single" w:sz="4" w:space="0" w:color="auto"/>
              <w:right w:val="single" w:sz="4" w:space="0" w:color="auto"/>
            </w:tcBorders>
            <w:shd w:val="clear" w:color="000000" w:fill="BFBFBF"/>
            <w:noWrap/>
            <w:vAlign w:val="center"/>
            <w:hideMark/>
          </w:tcPr>
          <w:p w14:paraId="4C6FBA6B" w14:textId="77777777" w:rsidR="00ED49FA" w:rsidRPr="00986F85" w:rsidRDefault="00ED49FA" w:rsidP="00ED49FA">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862" w:type="dxa"/>
            <w:tcBorders>
              <w:top w:val="nil"/>
              <w:left w:val="nil"/>
              <w:bottom w:val="single" w:sz="4" w:space="0" w:color="auto"/>
              <w:right w:val="single" w:sz="4" w:space="0" w:color="auto"/>
            </w:tcBorders>
            <w:shd w:val="clear" w:color="000000" w:fill="BFBFBF"/>
            <w:noWrap/>
            <w:vAlign w:val="center"/>
            <w:hideMark/>
          </w:tcPr>
          <w:p w14:paraId="754F736F" w14:textId="77777777" w:rsidR="00ED49FA" w:rsidRPr="00986F85" w:rsidRDefault="00ED49FA" w:rsidP="00ED49FA">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558" w:type="dxa"/>
            <w:tcBorders>
              <w:top w:val="nil"/>
              <w:left w:val="nil"/>
              <w:bottom w:val="single" w:sz="4" w:space="0" w:color="auto"/>
              <w:right w:val="single" w:sz="4" w:space="0" w:color="auto"/>
            </w:tcBorders>
            <w:shd w:val="clear" w:color="000000" w:fill="BFBFBF"/>
            <w:noWrap/>
            <w:vAlign w:val="center"/>
            <w:hideMark/>
          </w:tcPr>
          <w:p w14:paraId="040C5DFE" w14:textId="77777777" w:rsidR="00ED49FA" w:rsidRPr="00986F85" w:rsidRDefault="00ED49FA" w:rsidP="00ED49FA">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r>
      <w:tr w:rsidR="00ED49FA" w:rsidRPr="00986F85" w14:paraId="24F7C481" w14:textId="77777777" w:rsidTr="00ED49FA">
        <w:trPr>
          <w:trHeight w:val="260"/>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35DC3F94" w14:textId="77777777" w:rsidR="00ED49FA" w:rsidRPr="00986F85" w:rsidRDefault="00ED49FA" w:rsidP="00ED49FA">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Tárgyi eszköz</w:t>
            </w:r>
          </w:p>
        </w:tc>
        <w:tc>
          <w:tcPr>
            <w:tcW w:w="1079" w:type="dxa"/>
            <w:tcBorders>
              <w:top w:val="nil"/>
              <w:left w:val="nil"/>
              <w:bottom w:val="single" w:sz="4" w:space="0" w:color="auto"/>
              <w:right w:val="single" w:sz="4" w:space="0" w:color="auto"/>
            </w:tcBorders>
            <w:shd w:val="clear" w:color="000000" w:fill="FFFFFF"/>
            <w:vAlign w:val="center"/>
            <w:hideMark/>
          </w:tcPr>
          <w:p w14:paraId="5D7FEDE6" w14:textId="77777777" w:rsidR="00ED49FA" w:rsidRPr="00986F85" w:rsidRDefault="00ED49FA" w:rsidP="00ED49FA">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230.46</w:t>
            </w:r>
          </w:p>
        </w:tc>
        <w:tc>
          <w:tcPr>
            <w:tcW w:w="579" w:type="dxa"/>
            <w:tcBorders>
              <w:top w:val="nil"/>
              <w:left w:val="nil"/>
              <w:bottom w:val="single" w:sz="4" w:space="0" w:color="auto"/>
              <w:right w:val="single" w:sz="4" w:space="0" w:color="auto"/>
            </w:tcBorders>
            <w:shd w:val="clear" w:color="000000" w:fill="FFFFFF"/>
            <w:noWrap/>
            <w:vAlign w:val="center"/>
            <w:hideMark/>
          </w:tcPr>
          <w:p w14:paraId="0FD6884B" w14:textId="77777777" w:rsidR="00ED49FA" w:rsidRPr="00986F85" w:rsidRDefault="00ED49FA" w:rsidP="00ED49FA">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3.52</w:t>
            </w:r>
          </w:p>
        </w:tc>
        <w:tc>
          <w:tcPr>
            <w:tcW w:w="499" w:type="dxa"/>
            <w:tcBorders>
              <w:top w:val="nil"/>
              <w:left w:val="nil"/>
              <w:bottom w:val="single" w:sz="4" w:space="0" w:color="auto"/>
              <w:right w:val="single" w:sz="4" w:space="0" w:color="auto"/>
            </w:tcBorders>
            <w:shd w:val="clear" w:color="000000" w:fill="BFBFBF"/>
            <w:noWrap/>
            <w:vAlign w:val="center"/>
            <w:hideMark/>
          </w:tcPr>
          <w:p w14:paraId="343762C3" w14:textId="77777777" w:rsidR="00ED49FA" w:rsidRPr="00986F85" w:rsidRDefault="00ED49FA" w:rsidP="00ED49FA">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495" w:type="dxa"/>
            <w:tcBorders>
              <w:top w:val="nil"/>
              <w:left w:val="nil"/>
              <w:bottom w:val="single" w:sz="4" w:space="0" w:color="auto"/>
              <w:right w:val="single" w:sz="4" w:space="0" w:color="auto"/>
            </w:tcBorders>
            <w:shd w:val="clear" w:color="000000" w:fill="BFBFBF"/>
            <w:noWrap/>
            <w:vAlign w:val="center"/>
            <w:hideMark/>
          </w:tcPr>
          <w:p w14:paraId="4BD4B18C" w14:textId="77777777" w:rsidR="00ED49FA" w:rsidRPr="00986F85" w:rsidRDefault="00ED49FA" w:rsidP="00ED49FA">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949" w:type="dxa"/>
            <w:tcBorders>
              <w:top w:val="nil"/>
              <w:left w:val="nil"/>
              <w:bottom w:val="single" w:sz="4" w:space="0" w:color="auto"/>
              <w:right w:val="single" w:sz="4" w:space="0" w:color="auto"/>
            </w:tcBorders>
            <w:shd w:val="clear" w:color="000000" w:fill="FFFFFF"/>
            <w:noWrap/>
            <w:vAlign w:val="center"/>
            <w:hideMark/>
          </w:tcPr>
          <w:p w14:paraId="39AC387A" w14:textId="77777777" w:rsidR="00ED49FA" w:rsidRPr="00986F85" w:rsidRDefault="00ED49FA" w:rsidP="00ED49FA">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185.713923</w:t>
            </w:r>
          </w:p>
        </w:tc>
        <w:tc>
          <w:tcPr>
            <w:tcW w:w="495" w:type="dxa"/>
            <w:tcBorders>
              <w:top w:val="nil"/>
              <w:left w:val="nil"/>
              <w:bottom w:val="single" w:sz="4" w:space="0" w:color="auto"/>
              <w:right w:val="single" w:sz="4" w:space="0" w:color="auto"/>
            </w:tcBorders>
            <w:shd w:val="clear" w:color="000000" w:fill="FFFFFF"/>
            <w:noWrap/>
            <w:vAlign w:val="center"/>
            <w:hideMark/>
          </w:tcPr>
          <w:p w14:paraId="1EFF7A63" w14:textId="77777777" w:rsidR="00ED49FA" w:rsidRPr="00986F85" w:rsidRDefault="00ED49FA" w:rsidP="00ED49FA">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2.53</w:t>
            </w:r>
          </w:p>
        </w:tc>
        <w:tc>
          <w:tcPr>
            <w:tcW w:w="949" w:type="dxa"/>
            <w:tcBorders>
              <w:top w:val="nil"/>
              <w:left w:val="nil"/>
              <w:bottom w:val="single" w:sz="4" w:space="0" w:color="auto"/>
              <w:right w:val="single" w:sz="4" w:space="0" w:color="auto"/>
            </w:tcBorders>
            <w:shd w:val="clear" w:color="000000" w:fill="BFBFBF"/>
            <w:noWrap/>
            <w:vAlign w:val="center"/>
            <w:hideMark/>
          </w:tcPr>
          <w:p w14:paraId="4A06E82E" w14:textId="77777777" w:rsidR="00ED49FA" w:rsidRPr="00986F85" w:rsidRDefault="00ED49FA" w:rsidP="00ED49FA">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495" w:type="dxa"/>
            <w:tcBorders>
              <w:top w:val="nil"/>
              <w:left w:val="nil"/>
              <w:bottom w:val="single" w:sz="4" w:space="0" w:color="auto"/>
              <w:right w:val="single" w:sz="4" w:space="0" w:color="auto"/>
            </w:tcBorders>
            <w:shd w:val="clear" w:color="000000" w:fill="BFBFBF"/>
            <w:noWrap/>
            <w:vAlign w:val="center"/>
            <w:hideMark/>
          </w:tcPr>
          <w:p w14:paraId="0605F9BE" w14:textId="77777777" w:rsidR="00ED49FA" w:rsidRPr="00986F85" w:rsidRDefault="00ED49FA" w:rsidP="00ED49FA">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627" w:type="dxa"/>
            <w:tcBorders>
              <w:top w:val="nil"/>
              <w:left w:val="nil"/>
              <w:bottom w:val="single" w:sz="4" w:space="0" w:color="auto"/>
              <w:right w:val="single" w:sz="4" w:space="0" w:color="auto"/>
            </w:tcBorders>
            <w:shd w:val="clear" w:color="000000" w:fill="BFBFBF"/>
            <w:noWrap/>
            <w:vAlign w:val="center"/>
            <w:hideMark/>
          </w:tcPr>
          <w:p w14:paraId="2E4A9703" w14:textId="77777777" w:rsidR="00ED49FA" w:rsidRPr="00986F85" w:rsidRDefault="00ED49FA" w:rsidP="00ED49FA">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693" w:type="dxa"/>
            <w:tcBorders>
              <w:top w:val="nil"/>
              <w:left w:val="nil"/>
              <w:bottom w:val="single" w:sz="4" w:space="0" w:color="auto"/>
              <w:right w:val="single" w:sz="4" w:space="0" w:color="auto"/>
            </w:tcBorders>
            <w:shd w:val="clear" w:color="000000" w:fill="BFBFBF"/>
            <w:noWrap/>
            <w:vAlign w:val="center"/>
            <w:hideMark/>
          </w:tcPr>
          <w:p w14:paraId="7E900F46" w14:textId="77777777" w:rsidR="00ED49FA" w:rsidRPr="00986F85" w:rsidRDefault="00ED49FA" w:rsidP="00ED49FA">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627" w:type="dxa"/>
            <w:tcBorders>
              <w:top w:val="nil"/>
              <w:left w:val="nil"/>
              <w:bottom w:val="single" w:sz="4" w:space="0" w:color="auto"/>
              <w:right w:val="single" w:sz="4" w:space="0" w:color="auto"/>
            </w:tcBorders>
            <w:shd w:val="clear" w:color="000000" w:fill="BFBFBF"/>
            <w:noWrap/>
            <w:vAlign w:val="center"/>
            <w:hideMark/>
          </w:tcPr>
          <w:p w14:paraId="77A6F1AE" w14:textId="77777777" w:rsidR="00ED49FA" w:rsidRPr="00986F85" w:rsidRDefault="00ED49FA" w:rsidP="00ED49FA">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693" w:type="dxa"/>
            <w:tcBorders>
              <w:top w:val="nil"/>
              <w:left w:val="nil"/>
              <w:bottom w:val="single" w:sz="4" w:space="0" w:color="auto"/>
              <w:right w:val="single" w:sz="4" w:space="0" w:color="auto"/>
            </w:tcBorders>
            <w:shd w:val="clear" w:color="000000" w:fill="BFBFBF"/>
            <w:noWrap/>
            <w:vAlign w:val="center"/>
            <w:hideMark/>
          </w:tcPr>
          <w:p w14:paraId="5A9286C9" w14:textId="77777777" w:rsidR="00ED49FA" w:rsidRPr="00986F85" w:rsidRDefault="00ED49FA" w:rsidP="00ED49FA">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862" w:type="dxa"/>
            <w:tcBorders>
              <w:top w:val="nil"/>
              <w:left w:val="nil"/>
              <w:bottom w:val="single" w:sz="4" w:space="0" w:color="auto"/>
              <w:right w:val="single" w:sz="4" w:space="0" w:color="auto"/>
            </w:tcBorders>
            <w:shd w:val="clear" w:color="000000" w:fill="FFFFFF"/>
            <w:noWrap/>
            <w:vAlign w:val="bottom"/>
            <w:hideMark/>
          </w:tcPr>
          <w:p w14:paraId="4249C07C" w14:textId="77777777" w:rsidR="00ED49FA" w:rsidRPr="00986F85" w:rsidRDefault="00ED49FA" w:rsidP="00ED49FA">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0.090827</w:t>
            </w:r>
          </w:p>
        </w:tc>
        <w:tc>
          <w:tcPr>
            <w:tcW w:w="558" w:type="dxa"/>
            <w:tcBorders>
              <w:top w:val="nil"/>
              <w:left w:val="nil"/>
              <w:bottom w:val="single" w:sz="4" w:space="0" w:color="auto"/>
              <w:right w:val="single" w:sz="4" w:space="0" w:color="auto"/>
            </w:tcBorders>
            <w:shd w:val="clear" w:color="000000" w:fill="FFFFFF"/>
            <w:noWrap/>
            <w:vAlign w:val="bottom"/>
            <w:hideMark/>
          </w:tcPr>
          <w:p w14:paraId="226A2B5E" w14:textId="77777777" w:rsidR="00ED49FA" w:rsidRPr="00986F85" w:rsidRDefault="00ED49FA" w:rsidP="00ED49FA">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5.41</w:t>
            </w:r>
          </w:p>
        </w:tc>
        <w:tc>
          <w:tcPr>
            <w:tcW w:w="862" w:type="dxa"/>
            <w:tcBorders>
              <w:top w:val="nil"/>
              <w:left w:val="nil"/>
              <w:bottom w:val="single" w:sz="4" w:space="0" w:color="auto"/>
              <w:right w:val="single" w:sz="4" w:space="0" w:color="auto"/>
            </w:tcBorders>
            <w:shd w:val="clear" w:color="000000" w:fill="FFFFFF"/>
            <w:noWrap/>
            <w:vAlign w:val="bottom"/>
            <w:hideMark/>
          </w:tcPr>
          <w:p w14:paraId="5E0E7237" w14:textId="77777777" w:rsidR="00ED49FA" w:rsidRPr="00986F85" w:rsidRDefault="00ED49FA" w:rsidP="00ED49FA">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0.0823847</w:t>
            </w:r>
          </w:p>
        </w:tc>
        <w:tc>
          <w:tcPr>
            <w:tcW w:w="558" w:type="dxa"/>
            <w:tcBorders>
              <w:top w:val="nil"/>
              <w:left w:val="nil"/>
              <w:bottom w:val="single" w:sz="4" w:space="0" w:color="auto"/>
              <w:right w:val="single" w:sz="4" w:space="0" w:color="auto"/>
            </w:tcBorders>
            <w:shd w:val="clear" w:color="000000" w:fill="FFFFFF"/>
            <w:noWrap/>
            <w:vAlign w:val="bottom"/>
            <w:hideMark/>
          </w:tcPr>
          <w:p w14:paraId="6B40833E" w14:textId="77777777" w:rsidR="00ED49FA" w:rsidRPr="00986F85" w:rsidRDefault="00ED49FA" w:rsidP="00ED49FA">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4.82</w:t>
            </w:r>
          </w:p>
        </w:tc>
      </w:tr>
      <w:tr w:rsidR="00ED49FA" w:rsidRPr="00986F85" w14:paraId="7F800E3A" w14:textId="77777777" w:rsidTr="00ED49FA">
        <w:trPr>
          <w:trHeight w:val="280"/>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503A60C1" w14:textId="77777777" w:rsidR="00ED49FA" w:rsidRPr="00986F85" w:rsidRDefault="00ED49FA" w:rsidP="00ED49FA">
            <w:pPr>
              <w:suppressAutoHyphens w:val="0"/>
              <w:spacing w:after="0" w:line="240" w:lineRule="auto"/>
              <w:rPr>
                <w:rFonts w:eastAsia="Times New Roman" w:cs="Times New Roman"/>
                <w:b/>
                <w:bCs/>
                <w:color w:val="000000"/>
                <w:sz w:val="16"/>
                <w:szCs w:val="16"/>
                <w:lang w:eastAsia="en-US"/>
              </w:rPr>
            </w:pPr>
            <w:r w:rsidRPr="00986F85">
              <w:rPr>
                <w:rFonts w:eastAsia="Times New Roman" w:cs="Times New Roman"/>
                <w:b/>
                <w:bCs/>
                <w:color w:val="000000"/>
                <w:sz w:val="16"/>
                <w:szCs w:val="16"/>
                <w:lang w:eastAsia="en-US"/>
              </w:rPr>
              <w:t>Egy főre jutó tárgyi eszköz</w:t>
            </w:r>
          </w:p>
        </w:tc>
        <w:tc>
          <w:tcPr>
            <w:tcW w:w="1079" w:type="dxa"/>
            <w:tcBorders>
              <w:top w:val="nil"/>
              <w:left w:val="nil"/>
              <w:bottom w:val="single" w:sz="4" w:space="0" w:color="auto"/>
              <w:right w:val="single" w:sz="4" w:space="0" w:color="auto"/>
            </w:tcBorders>
            <w:shd w:val="clear" w:color="000000" w:fill="FFFFFF"/>
            <w:vAlign w:val="center"/>
            <w:hideMark/>
          </w:tcPr>
          <w:p w14:paraId="6A9EA86C" w14:textId="77777777" w:rsidR="00ED49FA" w:rsidRPr="00986F85" w:rsidRDefault="00ED49FA" w:rsidP="00ED49FA">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138.41</w:t>
            </w:r>
          </w:p>
        </w:tc>
        <w:tc>
          <w:tcPr>
            <w:tcW w:w="579" w:type="dxa"/>
            <w:tcBorders>
              <w:top w:val="nil"/>
              <w:left w:val="nil"/>
              <w:bottom w:val="single" w:sz="4" w:space="0" w:color="auto"/>
              <w:right w:val="single" w:sz="4" w:space="0" w:color="auto"/>
            </w:tcBorders>
            <w:shd w:val="clear" w:color="000000" w:fill="FFFFFF"/>
            <w:noWrap/>
            <w:vAlign w:val="center"/>
            <w:hideMark/>
          </w:tcPr>
          <w:p w14:paraId="63B02F0B" w14:textId="77777777" w:rsidR="00ED49FA" w:rsidRPr="00986F85" w:rsidRDefault="00ED49FA" w:rsidP="00ED49FA">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1.99</w:t>
            </w:r>
          </w:p>
        </w:tc>
        <w:tc>
          <w:tcPr>
            <w:tcW w:w="499" w:type="dxa"/>
            <w:tcBorders>
              <w:top w:val="nil"/>
              <w:left w:val="nil"/>
              <w:bottom w:val="single" w:sz="4" w:space="0" w:color="auto"/>
              <w:right w:val="single" w:sz="4" w:space="0" w:color="auto"/>
            </w:tcBorders>
            <w:shd w:val="clear" w:color="000000" w:fill="BFBFBF"/>
            <w:noWrap/>
            <w:vAlign w:val="center"/>
            <w:hideMark/>
          </w:tcPr>
          <w:p w14:paraId="7909A3D7" w14:textId="77777777" w:rsidR="00ED49FA" w:rsidRPr="00986F85" w:rsidRDefault="00ED49FA" w:rsidP="00ED49FA">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495" w:type="dxa"/>
            <w:tcBorders>
              <w:top w:val="nil"/>
              <w:left w:val="nil"/>
              <w:bottom w:val="single" w:sz="4" w:space="0" w:color="auto"/>
              <w:right w:val="single" w:sz="4" w:space="0" w:color="auto"/>
            </w:tcBorders>
            <w:shd w:val="clear" w:color="000000" w:fill="BFBFBF"/>
            <w:noWrap/>
            <w:vAlign w:val="center"/>
            <w:hideMark/>
          </w:tcPr>
          <w:p w14:paraId="01DF7010" w14:textId="77777777" w:rsidR="00ED49FA" w:rsidRPr="00986F85" w:rsidRDefault="00ED49FA" w:rsidP="00ED49FA">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949" w:type="dxa"/>
            <w:tcBorders>
              <w:top w:val="nil"/>
              <w:left w:val="nil"/>
              <w:bottom w:val="single" w:sz="4" w:space="0" w:color="auto"/>
              <w:right w:val="single" w:sz="4" w:space="0" w:color="auto"/>
            </w:tcBorders>
            <w:shd w:val="clear" w:color="000000" w:fill="BFBFBF"/>
            <w:noWrap/>
            <w:vAlign w:val="center"/>
            <w:hideMark/>
          </w:tcPr>
          <w:p w14:paraId="73DABA26" w14:textId="77777777" w:rsidR="00ED49FA" w:rsidRPr="00986F85" w:rsidRDefault="00ED49FA" w:rsidP="00ED49FA">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495" w:type="dxa"/>
            <w:tcBorders>
              <w:top w:val="nil"/>
              <w:left w:val="nil"/>
              <w:bottom w:val="single" w:sz="4" w:space="0" w:color="auto"/>
              <w:right w:val="single" w:sz="4" w:space="0" w:color="auto"/>
            </w:tcBorders>
            <w:shd w:val="clear" w:color="000000" w:fill="BFBFBF"/>
            <w:noWrap/>
            <w:vAlign w:val="center"/>
            <w:hideMark/>
          </w:tcPr>
          <w:p w14:paraId="292447AF" w14:textId="77777777" w:rsidR="00ED49FA" w:rsidRPr="00986F85" w:rsidRDefault="00ED49FA" w:rsidP="00ED49FA">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949" w:type="dxa"/>
            <w:tcBorders>
              <w:top w:val="nil"/>
              <w:left w:val="nil"/>
              <w:bottom w:val="single" w:sz="4" w:space="0" w:color="auto"/>
              <w:right w:val="single" w:sz="4" w:space="0" w:color="auto"/>
            </w:tcBorders>
            <w:shd w:val="clear" w:color="000000" w:fill="BFBFBF"/>
            <w:noWrap/>
            <w:vAlign w:val="center"/>
            <w:hideMark/>
          </w:tcPr>
          <w:p w14:paraId="6FDEC323" w14:textId="77777777" w:rsidR="00ED49FA" w:rsidRPr="00986F85" w:rsidRDefault="00ED49FA" w:rsidP="00ED49FA">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495" w:type="dxa"/>
            <w:tcBorders>
              <w:top w:val="nil"/>
              <w:left w:val="nil"/>
              <w:bottom w:val="single" w:sz="4" w:space="0" w:color="auto"/>
              <w:right w:val="single" w:sz="4" w:space="0" w:color="auto"/>
            </w:tcBorders>
            <w:shd w:val="clear" w:color="000000" w:fill="BFBFBF"/>
            <w:noWrap/>
            <w:vAlign w:val="center"/>
            <w:hideMark/>
          </w:tcPr>
          <w:p w14:paraId="4FF10941" w14:textId="77777777" w:rsidR="00ED49FA" w:rsidRPr="00986F85" w:rsidRDefault="00ED49FA" w:rsidP="00ED49FA">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627" w:type="dxa"/>
            <w:tcBorders>
              <w:top w:val="nil"/>
              <w:left w:val="nil"/>
              <w:bottom w:val="single" w:sz="4" w:space="0" w:color="auto"/>
              <w:right w:val="single" w:sz="4" w:space="0" w:color="auto"/>
            </w:tcBorders>
            <w:shd w:val="clear" w:color="000000" w:fill="BFBFBF"/>
            <w:noWrap/>
            <w:vAlign w:val="center"/>
            <w:hideMark/>
          </w:tcPr>
          <w:p w14:paraId="6CFCE00C" w14:textId="77777777" w:rsidR="00ED49FA" w:rsidRPr="00986F85" w:rsidRDefault="00ED49FA" w:rsidP="00ED49FA">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693" w:type="dxa"/>
            <w:tcBorders>
              <w:top w:val="nil"/>
              <w:left w:val="nil"/>
              <w:bottom w:val="single" w:sz="4" w:space="0" w:color="auto"/>
              <w:right w:val="single" w:sz="4" w:space="0" w:color="auto"/>
            </w:tcBorders>
            <w:shd w:val="clear" w:color="000000" w:fill="BFBFBF"/>
            <w:noWrap/>
            <w:vAlign w:val="center"/>
            <w:hideMark/>
          </w:tcPr>
          <w:p w14:paraId="3C2C199B" w14:textId="77777777" w:rsidR="00ED49FA" w:rsidRPr="00986F85" w:rsidRDefault="00ED49FA" w:rsidP="00ED49FA">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627" w:type="dxa"/>
            <w:tcBorders>
              <w:top w:val="nil"/>
              <w:left w:val="nil"/>
              <w:bottom w:val="single" w:sz="4" w:space="0" w:color="auto"/>
              <w:right w:val="single" w:sz="4" w:space="0" w:color="auto"/>
            </w:tcBorders>
            <w:shd w:val="clear" w:color="000000" w:fill="BFBFBF"/>
            <w:noWrap/>
            <w:vAlign w:val="center"/>
            <w:hideMark/>
          </w:tcPr>
          <w:p w14:paraId="02DF22DC" w14:textId="77777777" w:rsidR="00ED49FA" w:rsidRPr="00986F85" w:rsidRDefault="00ED49FA" w:rsidP="00ED49FA">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693" w:type="dxa"/>
            <w:tcBorders>
              <w:top w:val="nil"/>
              <w:left w:val="nil"/>
              <w:bottom w:val="single" w:sz="4" w:space="0" w:color="auto"/>
              <w:right w:val="single" w:sz="4" w:space="0" w:color="auto"/>
            </w:tcBorders>
            <w:shd w:val="clear" w:color="000000" w:fill="BFBFBF"/>
            <w:noWrap/>
            <w:vAlign w:val="center"/>
            <w:hideMark/>
          </w:tcPr>
          <w:p w14:paraId="4548F357" w14:textId="77777777" w:rsidR="00ED49FA" w:rsidRPr="00986F85" w:rsidRDefault="00ED49FA" w:rsidP="00ED49FA">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862" w:type="dxa"/>
            <w:tcBorders>
              <w:top w:val="nil"/>
              <w:left w:val="nil"/>
              <w:bottom w:val="single" w:sz="4" w:space="0" w:color="auto"/>
              <w:right w:val="single" w:sz="4" w:space="0" w:color="auto"/>
            </w:tcBorders>
            <w:shd w:val="clear" w:color="000000" w:fill="FFFFFF"/>
            <w:noWrap/>
            <w:vAlign w:val="bottom"/>
            <w:hideMark/>
          </w:tcPr>
          <w:p w14:paraId="1AAC2AE6" w14:textId="77777777" w:rsidR="00ED49FA" w:rsidRPr="00986F85" w:rsidRDefault="00ED49FA" w:rsidP="00ED49FA">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0.0615244</w:t>
            </w:r>
          </w:p>
        </w:tc>
        <w:tc>
          <w:tcPr>
            <w:tcW w:w="558" w:type="dxa"/>
            <w:tcBorders>
              <w:top w:val="nil"/>
              <w:left w:val="nil"/>
              <w:bottom w:val="single" w:sz="4" w:space="0" w:color="auto"/>
              <w:right w:val="single" w:sz="4" w:space="0" w:color="auto"/>
            </w:tcBorders>
            <w:shd w:val="clear" w:color="000000" w:fill="FFFFFF"/>
            <w:noWrap/>
            <w:vAlign w:val="bottom"/>
            <w:hideMark/>
          </w:tcPr>
          <w:p w14:paraId="59F67F50" w14:textId="77777777" w:rsidR="00ED49FA" w:rsidRPr="00986F85" w:rsidRDefault="00ED49FA" w:rsidP="00ED49FA">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3.33</w:t>
            </w:r>
          </w:p>
        </w:tc>
        <w:tc>
          <w:tcPr>
            <w:tcW w:w="862" w:type="dxa"/>
            <w:tcBorders>
              <w:top w:val="nil"/>
              <w:left w:val="nil"/>
              <w:bottom w:val="single" w:sz="4" w:space="0" w:color="auto"/>
              <w:right w:val="single" w:sz="4" w:space="0" w:color="auto"/>
            </w:tcBorders>
            <w:shd w:val="clear" w:color="000000" w:fill="FFFFFF"/>
            <w:noWrap/>
            <w:vAlign w:val="bottom"/>
            <w:hideMark/>
          </w:tcPr>
          <w:p w14:paraId="607EFE05" w14:textId="77777777" w:rsidR="00ED49FA" w:rsidRPr="00986F85" w:rsidRDefault="00ED49FA" w:rsidP="00ED49FA">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0.057804</w:t>
            </w:r>
          </w:p>
        </w:tc>
        <w:tc>
          <w:tcPr>
            <w:tcW w:w="558" w:type="dxa"/>
            <w:tcBorders>
              <w:top w:val="nil"/>
              <w:left w:val="nil"/>
              <w:bottom w:val="single" w:sz="4" w:space="0" w:color="auto"/>
              <w:right w:val="single" w:sz="4" w:space="0" w:color="auto"/>
            </w:tcBorders>
            <w:shd w:val="clear" w:color="000000" w:fill="FFFFFF"/>
            <w:noWrap/>
            <w:vAlign w:val="bottom"/>
            <w:hideMark/>
          </w:tcPr>
          <w:p w14:paraId="02E3FD7B" w14:textId="77777777" w:rsidR="00ED49FA" w:rsidRPr="00986F85" w:rsidRDefault="00ED49FA" w:rsidP="00ED49FA">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3.03</w:t>
            </w:r>
          </w:p>
        </w:tc>
      </w:tr>
      <w:tr w:rsidR="00ED49FA" w:rsidRPr="00986F85" w14:paraId="3615B482" w14:textId="77777777" w:rsidTr="00ED49FA">
        <w:trPr>
          <w:trHeight w:val="320"/>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6EAED044" w14:textId="77777777" w:rsidR="00ED49FA" w:rsidRPr="00986F85" w:rsidRDefault="00ED49FA" w:rsidP="00ED49FA">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Foglalkoztatottak száma</w:t>
            </w:r>
          </w:p>
        </w:tc>
        <w:tc>
          <w:tcPr>
            <w:tcW w:w="1079" w:type="dxa"/>
            <w:tcBorders>
              <w:top w:val="nil"/>
              <w:left w:val="nil"/>
              <w:bottom w:val="single" w:sz="4" w:space="0" w:color="auto"/>
              <w:right w:val="single" w:sz="4" w:space="0" w:color="auto"/>
            </w:tcBorders>
            <w:shd w:val="clear" w:color="000000" w:fill="FFFFFF"/>
            <w:vAlign w:val="center"/>
            <w:hideMark/>
          </w:tcPr>
          <w:p w14:paraId="4378A196" w14:textId="77777777" w:rsidR="00ED49FA" w:rsidRPr="00986F85" w:rsidRDefault="00ED49FA" w:rsidP="00ED49FA">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33.6898105</w:t>
            </w:r>
          </w:p>
        </w:tc>
        <w:tc>
          <w:tcPr>
            <w:tcW w:w="579" w:type="dxa"/>
            <w:tcBorders>
              <w:top w:val="nil"/>
              <w:left w:val="nil"/>
              <w:bottom w:val="single" w:sz="4" w:space="0" w:color="auto"/>
              <w:right w:val="single" w:sz="4" w:space="0" w:color="auto"/>
            </w:tcBorders>
            <w:shd w:val="clear" w:color="000000" w:fill="FFFFFF"/>
            <w:noWrap/>
            <w:vAlign w:val="center"/>
            <w:hideMark/>
          </w:tcPr>
          <w:p w14:paraId="05DBCC17" w14:textId="77777777" w:rsidR="00ED49FA" w:rsidRPr="00986F85" w:rsidRDefault="00ED49FA" w:rsidP="00ED49FA">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10.37</w:t>
            </w:r>
          </w:p>
        </w:tc>
        <w:tc>
          <w:tcPr>
            <w:tcW w:w="499" w:type="dxa"/>
            <w:tcBorders>
              <w:top w:val="nil"/>
              <w:left w:val="nil"/>
              <w:bottom w:val="single" w:sz="4" w:space="0" w:color="auto"/>
              <w:right w:val="single" w:sz="4" w:space="0" w:color="auto"/>
            </w:tcBorders>
            <w:shd w:val="clear" w:color="auto" w:fill="auto"/>
            <w:noWrap/>
            <w:vAlign w:val="center"/>
            <w:hideMark/>
          </w:tcPr>
          <w:p w14:paraId="5C31449A" w14:textId="77777777" w:rsidR="00ED49FA" w:rsidRPr="00986F85" w:rsidRDefault="00ED49FA" w:rsidP="00ED49FA">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34.67</w:t>
            </w:r>
          </w:p>
        </w:tc>
        <w:tc>
          <w:tcPr>
            <w:tcW w:w="495" w:type="dxa"/>
            <w:tcBorders>
              <w:top w:val="nil"/>
              <w:left w:val="nil"/>
              <w:bottom w:val="single" w:sz="4" w:space="0" w:color="auto"/>
              <w:right w:val="single" w:sz="4" w:space="0" w:color="auto"/>
            </w:tcBorders>
            <w:shd w:val="clear" w:color="auto" w:fill="auto"/>
            <w:noWrap/>
            <w:vAlign w:val="center"/>
            <w:hideMark/>
          </w:tcPr>
          <w:p w14:paraId="6921B543" w14:textId="77777777" w:rsidR="00ED49FA" w:rsidRPr="00986F85" w:rsidRDefault="00ED49FA" w:rsidP="00ED49FA">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11.63</w:t>
            </w:r>
          </w:p>
        </w:tc>
        <w:tc>
          <w:tcPr>
            <w:tcW w:w="949" w:type="dxa"/>
            <w:tcBorders>
              <w:top w:val="nil"/>
              <w:left w:val="nil"/>
              <w:bottom w:val="single" w:sz="4" w:space="0" w:color="auto"/>
              <w:right w:val="single" w:sz="4" w:space="0" w:color="auto"/>
            </w:tcBorders>
            <w:shd w:val="clear" w:color="auto" w:fill="auto"/>
            <w:noWrap/>
            <w:vAlign w:val="center"/>
            <w:hideMark/>
          </w:tcPr>
          <w:p w14:paraId="4D33CC11" w14:textId="77777777" w:rsidR="00ED49FA" w:rsidRPr="00986F85" w:rsidRDefault="00ED49FA" w:rsidP="00ED49FA">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28.6274837</w:t>
            </w:r>
          </w:p>
        </w:tc>
        <w:tc>
          <w:tcPr>
            <w:tcW w:w="495" w:type="dxa"/>
            <w:tcBorders>
              <w:top w:val="nil"/>
              <w:left w:val="nil"/>
              <w:bottom w:val="single" w:sz="4" w:space="0" w:color="auto"/>
              <w:right w:val="single" w:sz="4" w:space="0" w:color="auto"/>
            </w:tcBorders>
            <w:shd w:val="clear" w:color="auto" w:fill="auto"/>
            <w:noWrap/>
            <w:vAlign w:val="center"/>
            <w:hideMark/>
          </w:tcPr>
          <w:p w14:paraId="57288443" w14:textId="77777777" w:rsidR="00ED49FA" w:rsidRPr="00986F85" w:rsidRDefault="00ED49FA" w:rsidP="00ED49FA">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8.36</w:t>
            </w:r>
          </w:p>
        </w:tc>
        <w:tc>
          <w:tcPr>
            <w:tcW w:w="949" w:type="dxa"/>
            <w:tcBorders>
              <w:top w:val="nil"/>
              <w:left w:val="nil"/>
              <w:bottom w:val="single" w:sz="4" w:space="0" w:color="auto"/>
              <w:right w:val="single" w:sz="4" w:space="0" w:color="auto"/>
            </w:tcBorders>
            <w:shd w:val="clear" w:color="auto" w:fill="auto"/>
            <w:noWrap/>
            <w:vAlign w:val="center"/>
            <w:hideMark/>
          </w:tcPr>
          <w:p w14:paraId="4866E13F" w14:textId="77777777" w:rsidR="00ED49FA" w:rsidRPr="00986F85" w:rsidRDefault="00ED49FA" w:rsidP="00ED49FA">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33.2742307</w:t>
            </w:r>
          </w:p>
        </w:tc>
        <w:tc>
          <w:tcPr>
            <w:tcW w:w="495" w:type="dxa"/>
            <w:tcBorders>
              <w:top w:val="nil"/>
              <w:left w:val="nil"/>
              <w:bottom w:val="single" w:sz="4" w:space="0" w:color="auto"/>
              <w:right w:val="single" w:sz="4" w:space="0" w:color="auto"/>
            </w:tcBorders>
            <w:shd w:val="clear" w:color="auto" w:fill="auto"/>
            <w:noWrap/>
            <w:vAlign w:val="center"/>
            <w:hideMark/>
          </w:tcPr>
          <w:p w14:paraId="2DDBFEBC" w14:textId="77777777" w:rsidR="00ED49FA" w:rsidRPr="00986F85" w:rsidRDefault="00ED49FA" w:rsidP="00ED49FA">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10.94</w:t>
            </w:r>
          </w:p>
        </w:tc>
        <w:tc>
          <w:tcPr>
            <w:tcW w:w="627" w:type="dxa"/>
            <w:tcBorders>
              <w:top w:val="nil"/>
              <w:left w:val="nil"/>
              <w:bottom w:val="single" w:sz="4" w:space="0" w:color="auto"/>
              <w:right w:val="single" w:sz="4" w:space="0" w:color="auto"/>
            </w:tcBorders>
            <w:shd w:val="clear" w:color="auto" w:fill="auto"/>
            <w:noWrap/>
            <w:vAlign w:val="center"/>
            <w:hideMark/>
          </w:tcPr>
          <w:p w14:paraId="6BC84BC2" w14:textId="77777777" w:rsidR="00ED49FA" w:rsidRPr="00986F85" w:rsidRDefault="00ED49FA" w:rsidP="00ED49FA">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1.074</w:t>
            </w:r>
          </w:p>
        </w:tc>
        <w:tc>
          <w:tcPr>
            <w:tcW w:w="693" w:type="dxa"/>
            <w:tcBorders>
              <w:top w:val="nil"/>
              <w:left w:val="nil"/>
              <w:bottom w:val="single" w:sz="4" w:space="0" w:color="auto"/>
              <w:right w:val="single" w:sz="4" w:space="0" w:color="auto"/>
            </w:tcBorders>
            <w:shd w:val="clear" w:color="auto" w:fill="auto"/>
            <w:noWrap/>
            <w:vAlign w:val="center"/>
            <w:hideMark/>
          </w:tcPr>
          <w:p w14:paraId="7E0F4D08" w14:textId="77777777" w:rsidR="00ED49FA" w:rsidRPr="00986F85" w:rsidRDefault="00ED49FA" w:rsidP="00ED49FA">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3.78</w:t>
            </w:r>
          </w:p>
        </w:tc>
        <w:tc>
          <w:tcPr>
            <w:tcW w:w="627" w:type="dxa"/>
            <w:tcBorders>
              <w:top w:val="nil"/>
              <w:left w:val="nil"/>
              <w:bottom w:val="single" w:sz="4" w:space="0" w:color="auto"/>
              <w:right w:val="single" w:sz="4" w:space="0" w:color="auto"/>
            </w:tcBorders>
            <w:shd w:val="clear" w:color="auto" w:fill="auto"/>
            <w:noWrap/>
            <w:vAlign w:val="center"/>
            <w:hideMark/>
          </w:tcPr>
          <w:p w14:paraId="2C0B19FA" w14:textId="77777777" w:rsidR="00ED49FA" w:rsidRPr="00986F85" w:rsidRDefault="00ED49FA" w:rsidP="00ED49FA">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1.454</w:t>
            </w:r>
          </w:p>
        </w:tc>
        <w:tc>
          <w:tcPr>
            <w:tcW w:w="693" w:type="dxa"/>
            <w:tcBorders>
              <w:top w:val="nil"/>
              <w:left w:val="nil"/>
              <w:bottom w:val="single" w:sz="4" w:space="0" w:color="auto"/>
              <w:right w:val="single" w:sz="4" w:space="0" w:color="auto"/>
            </w:tcBorders>
            <w:shd w:val="clear" w:color="auto" w:fill="auto"/>
            <w:noWrap/>
            <w:vAlign w:val="center"/>
            <w:hideMark/>
          </w:tcPr>
          <w:p w14:paraId="40F05F37" w14:textId="77777777" w:rsidR="00ED49FA" w:rsidRPr="00986F85" w:rsidRDefault="00ED49FA" w:rsidP="00ED49FA">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4.44</w:t>
            </w:r>
          </w:p>
        </w:tc>
        <w:tc>
          <w:tcPr>
            <w:tcW w:w="862" w:type="dxa"/>
            <w:tcBorders>
              <w:top w:val="nil"/>
              <w:left w:val="nil"/>
              <w:bottom w:val="single" w:sz="4" w:space="0" w:color="auto"/>
              <w:right w:val="single" w:sz="4" w:space="0" w:color="auto"/>
            </w:tcBorders>
            <w:shd w:val="clear" w:color="000000" w:fill="FFFFFF"/>
            <w:noWrap/>
            <w:vAlign w:val="bottom"/>
            <w:hideMark/>
          </w:tcPr>
          <w:p w14:paraId="6081A130" w14:textId="77777777" w:rsidR="00ED49FA" w:rsidRPr="00986F85" w:rsidRDefault="00ED49FA" w:rsidP="00ED49FA">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0.0285408</w:t>
            </w:r>
          </w:p>
        </w:tc>
        <w:tc>
          <w:tcPr>
            <w:tcW w:w="558" w:type="dxa"/>
            <w:tcBorders>
              <w:top w:val="nil"/>
              <w:left w:val="nil"/>
              <w:bottom w:val="single" w:sz="4" w:space="0" w:color="auto"/>
              <w:right w:val="single" w:sz="4" w:space="0" w:color="auto"/>
            </w:tcBorders>
            <w:shd w:val="clear" w:color="000000" w:fill="FFFFFF"/>
            <w:noWrap/>
            <w:vAlign w:val="bottom"/>
            <w:hideMark/>
          </w:tcPr>
          <w:p w14:paraId="681190F7" w14:textId="77777777" w:rsidR="00ED49FA" w:rsidRPr="00986F85" w:rsidRDefault="00ED49FA" w:rsidP="00ED49FA">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2.38</w:t>
            </w:r>
          </w:p>
        </w:tc>
        <w:tc>
          <w:tcPr>
            <w:tcW w:w="862" w:type="dxa"/>
            <w:tcBorders>
              <w:top w:val="nil"/>
              <w:left w:val="nil"/>
              <w:bottom w:val="single" w:sz="4" w:space="0" w:color="auto"/>
              <w:right w:val="single" w:sz="4" w:space="0" w:color="auto"/>
            </w:tcBorders>
            <w:shd w:val="clear" w:color="000000" w:fill="FFFFFF"/>
            <w:noWrap/>
            <w:vAlign w:val="bottom"/>
            <w:hideMark/>
          </w:tcPr>
          <w:p w14:paraId="04F34E78" w14:textId="77777777" w:rsidR="00ED49FA" w:rsidRPr="00986F85" w:rsidRDefault="00ED49FA" w:rsidP="00ED49FA">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0.0241638</w:t>
            </w:r>
          </w:p>
        </w:tc>
        <w:tc>
          <w:tcPr>
            <w:tcW w:w="558" w:type="dxa"/>
            <w:tcBorders>
              <w:top w:val="nil"/>
              <w:left w:val="nil"/>
              <w:bottom w:val="single" w:sz="4" w:space="0" w:color="auto"/>
              <w:right w:val="single" w:sz="4" w:space="0" w:color="auto"/>
            </w:tcBorders>
            <w:shd w:val="clear" w:color="000000" w:fill="FFFFFF"/>
            <w:noWrap/>
            <w:vAlign w:val="bottom"/>
            <w:hideMark/>
          </w:tcPr>
          <w:p w14:paraId="0515F2F1" w14:textId="77777777" w:rsidR="00ED49FA" w:rsidRPr="00986F85" w:rsidRDefault="00ED49FA" w:rsidP="00ED49FA">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1.92</w:t>
            </w:r>
          </w:p>
        </w:tc>
      </w:tr>
      <w:tr w:rsidR="00ED49FA" w:rsidRPr="00986F85" w14:paraId="1CF7924C" w14:textId="77777777" w:rsidTr="00ED49FA">
        <w:trPr>
          <w:trHeight w:val="240"/>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79BAB877" w14:textId="77777777" w:rsidR="00ED49FA" w:rsidRPr="00986F85" w:rsidRDefault="00ED49FA" w:rsidP="00ED49FA">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Hozzáadott érték</w:t>
            </w:r>
          </w:p>
        </w:tc>
        <w:tc>
          <w:tcPr>
            <w:tcW w:w="1079" w:type="dxa"/>
            <w:tcBorders>
              <w:top w:val="nil"/>
              <w:left w:val="nil"/>
              <w:bottom w:val="single" w:sz="4" w:space="0" w:color="auto"/>
              <w:right w:val="single" w:sz="4" w:space="0" w:color="auto"/>
            </w:tcBorders>
            <w:shd w:val="clear" w:color="000000" w:fill="FFFFFF"/>
            <w:vAlign w:val="center"/>
            <w:hideMark/>
          </w:tcPr>
          <w:p w14:paraId="0B4393E3" w14:textId="77777777" w:rsidR="00ED49FA" w:rsidRPr="00986F85" w:rsidRDefault="00ED49FA" w:rsidP="00ED49FA">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83.8928234</w:t>
            </w:r>
          </w:p>
        </w:tc>
        <w:tc>
          <w:tcPr>
            <w:tcW w:w="579" w:type="dxa"/>
            <w:tcBorders>
              <w:top w:val="nil"/>
              <w:left w:val="nil"/>
              <w:bottom w:val="single" w:sz="4" w:space="0" w:color="auto"/>
              <w:right w:val="single" w:sz="4" w:space="0" w:color="auto"/>
            </w:tcBorders>
            <w:shd w:val="clear" w:color="000000" w:fill="FFFFFF"/>
            <w:noWrap/>
            <w:vAlign w:val="center"/>
            <w:hideMark/>
          </w:tcPr>
          <w:p w14:paraId="3A8D193F" w14:textId="77777777" w:rsidR="00ED49FA" w:rsidRPr="00986F85" w:rsidRDefault="00ED49FA" w:rsidP="00ED49FA">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2.94</w:t>
            </w:r>
          </w:p>
        </w:tc>
        <w:tc>
          <w:tcPr>
            <w:tcW w:w="499" w:type="dxa"/>
            <w:tcBorders>
              <w:top w:val="nil"/>
              <w:left w:val="nil"/>
              <w:bottom w:val="single" w:sz="4" w:space="0" w:color="auto"/>
              <w:right w:val="single" w:sz="4" w:space="0" w:color="auto"/>
            </w:tcBorders>
            <w:shd w:val="clear" w:color="000000" w:fill="BFBFBF"/>
            <w:noWrap/>
            <w:vAlign w:val="center"/>
            <w:hideMark/>
          </w:tcPr>
          <w:p w14:paraId="520E5F0D" w14:textId="77777777" w:rsidR="00ED49FA" w:rsidRPr="00986F85" w:rsidRDefault="00ED49FA" w:rsidP="00ED49FA">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495" w:type="dxa"/>
            <w:tcBorders>
              <w:top w:val="nil"/>
              <w:left w:val="nil"/>
              <w:bottom w:val="single" w:sz="4" w:space="0" w:color="auto"/>
              <w:right w:val="single" w:sz="4" w:space="0" w:color="auto"/>
            </w:tcBorders>
            <w:shd w:val="clear" w:color="000000" w:fill="BFBFBF"/>
            <w:noWrap/>
            <w:vAlign w:val="center"/>
            <w:hideMark/>
          </w:tcPr>
          <w:p w14:paraId="0C615569" w14:textId="77777777" w:rsidR="00ED49FA" w:rsidRPr="00986F85" w:rsidRDefault="00ED49FA" w:rsidP="00ED49FA">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949" w:type="dxa"/>
            <w:tcBorders>
              <w:top w:val="nil"/>
              <w:left w:val="nil"/>
              <w:bottom w:val="single" w:sz="4" w:space="0" w:color="auto"/>
              <w:right w:val="single" w:sz="4" w:space="0" w:color="auto"/>
            </w:tcBorders>
            <w:shd w:val="clear" w:color="000000" w:fill="FFFFFF"/>
            <w:noWrap/>
            <w:vAlign w:val="center"/>
            <w:hideMark/>
          </w:tcPr>
          <w:p w14:paraId="0D164EE6" w14:textId="77777777" w:rsidR="00ED49FA" w:rsidRPr="00986F85" w:rsidRDefault="00ED49FA" w:rsidP="00ED49FA">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76.5943921</w:t>
            </w:r>
          </w:p>
        </w:tc>
        <w:tc>
          <w:tcPr>
            <w:tcW w:w="495" w:type="dxa"/>
            <w:tcBorders>
              <w:top w:val="nil"/>
              <w:left w:val="nil"/>
              <w:bottom w:val="single" w:sz="4" w:space="0" w:color="auto"/>
              <w:right w:val="single" w:sz="4" w:space="0" w:color="auto"/>
            </w:tcBorders>
            <w:shd w:val="clear" w:color="000000" w:fill="FFFFFF"/>
            <w:noWrap/>
            <w:vAlign w:val="center"/>
            <w:hideMark/>
          </w:tcPr>
          <w:p w14:paraId="2BDD9869" w14:textId="77777777" w:rsidR="00ED49FA" w:rsidRPr="00986F85" w:rsidRDefault="00ED49FA" w:rsidP="00ED49FA">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2.35</w:t>
            </w:r>
          </w:p>
        </w:tc>
        <w:tc>
          <w:tcPr>
            <w:tcW w:w="949" w:type="dxa"/>
            <w:tcBorders>
              <w:top w:val="nil"/>
              <w:left w:val="nil"/>
              <w:bottom w:val="single" w:sz="4" w:space="0" w:color="auto"/>
              <w:right w:val="single" w:sz="4" w:space="0" w:color="auto"/>
            </w:tcBorders>
            <w:shd w:val="clear" w:color="000000" w:fill="BFBFBF"/>
            <w:noWrap/>
            <w:vAlign w:val="center"/>
            <w:hideMark/>
          </w:tcPr>
          <w:p w14:paraId="6F2CB93A" w14:textId="77777777" w:rsidR="00ED49FA" w:rsidRPr="00986F85" w:rsidRDefault="00ED49FA" w:rsidP="00ED49FA">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495" w:type="dxa"/>
            <w:tcBorders>
              <w:top w:val="nil"/>
              <w:left w:val="nil"/>
              <w:bottom w:val="single" w:sz="4" w:space="0" w:color="auto"/>
              <w:right w:val="single" w:sz="4" w:space="0" w:color="auto"/>
            </w:tcBorders>
            <w:shd w:val="clear" w:color="000000" w:fill="BFBFBF"/>
            <w:noWrap/>
            <w:vAlign w:val="center"/>
            <w:hideMark/>
          </w:tcPr>
          <w:p w14:paraId="21CAD20B" w14:textId="77777777" w:rsidR="00ED49FA" w:rsidRPr="00986F85" w:rsidRDefault="00ED49FA" w:rsidP="00ED49FA">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627" w:type="dxa"/>
            <w:tcBorders>
              <w:top w:val="nil"/>
              <w:left w:val="nil"/>
              <w:bottom w:val="single" w:sz="4" w:space="0" w:color="auto"/>
              <w:right w:val="single" w:sz="4" w:space="0" w:color="auto"/>
            </w:tcBorders>
            <w:shd w:val="clear" w:color="000000" w:fill="BFBFBF"/>
            <w:noWrap/>
            <w:vAlign w:val="center"/>
            <w:hideMark/>
          </w:tcPr>
          <w:p w14:paraId="7CE8C017" w14:textId="77777777" w:rsidR="00ED49FA" w:rsidRPr="00986F85" w:rsidRDefault="00ED49FA" w:rsidP="00ED49FA">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693" w:type="dxa"/>
            <w:tcBorders>
              <w:top w:val="nil"/>
              <w:left w:val="nil"/>
              <w:bottom w:val="single" w:sz="4" w:space="0" w:color="auto"/>
              <w:right w:val="single" w:sz="4" w:space="0" w:color="auto"/>
            </w:tcBorders>
            <w:shd w:val="clear" w:color="000000" w:fill="BFBFBF"/>
            <w:noWrap/>
            <w:vAlign w:val="center"/>
            <w:hideMark/>
          </w:tcPr>
          <w:p w14:paraId="081E393B" w14:textId="77777777" w:rsidR="00ED49FA" w:rsidRPr="00986F85" w:rsidRDefault="00ED49FA" w:rsidP="00ED49FA">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627" w:type="dxa"/>
            <w:tcBorders>
              <w:top w:val="nil"/>
              <w:left w:val="nil"/>
              <w:bottom w:val="single" w:sz="4" w:space="0" w:color="auto"/>
              <w:right w:val="single" w:sz="4" w:space="0" w:color="auto"/>
            </w:tcBorders>
            <w:shd w:val="clear" w:color="000000" w:fill="BFBFBF"/>
            <w:noWrap/>
            <w:vAlign w:val="center"/>
            <w:hideMark/>
          </w:tcPr>
          <w:p w14:paraId="0A863E1D" w14:textId="77777777" w:rsidR="00ED49FA" w:rsidRPr="00986F85" w:rsidRDefault="00ED49FA" w:rsidP="00ED49FA">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693" w:type="dxa"/>
            <w:tcBorders>
              <w:top w:val="nil"/>
              <w:left w:val="nil"/>
              <w:bottom w:val="single" w:sz="4" w:space="0" w:color="auto"/>
              <w:right w:val="single" w:sz="4" w:space="0" w:color="auto"/>
            </w:tcBorders>
            <w:shd w:val="clear" w:color="000000" w:fill="BFBFBF"/>
            <w:noWrap/>
            <w:vAlign w:val="center"/>
            <w:hideMark/>
          </w:tcPr>
          <w:p w14:paraId="5B09A26B" w14:textId="77777777" w:rsidR="00ED49FA" w:rsidRPr="00986F85" w:rsidRDefault="00ED49FA" w:rsidP="00ED49FA">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862" w:type="dxa"/>
            <w:tcBorders>
              <w:top w:val="nil"/>
              <w:left w:val="nil"/>
              <w:bottom w:val="single" w:sz="4" w:space="0" w:color="auto"/>
              <w:right w:val="single" w:sz="4" w:space="0" w:color="auto"/>
            </w:tcBorders>
            <w:shd w:val="clear" w:color="000000" w:fill="FFFFFF"/>
            <w:noWrap/>
            <w:vAlign w:val="bottom"/>
            <w:hideMark/>
          </w:tcPr>
          <w:p w14:paraId="1BA8D271" w14:textId="77777777" w:rsidR="00ED49FA" w:rsidRPr="00986F85" w:rsidRDefault="00ED49FA" w:rsidP="00ED49FA">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0.0412965</w:t>
            </w:r>
          </w:p>
        </w:tc>
        <w:tc>
          <w:tcPr>
            <w:tcW w:w="558" w:type="dxa"/>
            <w:tcBorders>
              <w:top w:val="nil"/>
              <w:left w:val="nil"/>
              <w:bottom w:val="single" w:sz="4" w:space="0" w:color="auto"/>
              <w:right w:val="single" w:sz="4" w:space="0" w:color="auto"/>
            </w:tcBorders>
            <w:shd w:val="clear" w:color="000000" w:fill="FFFFFF"/>
            <w:noWrap/>
            <w:vAlign w:val="bottom"/>
            <w:hideMark/>
          </w:tcPr>
          <w:p w14:paraId="369DFE49" w14:textId="77777777" w:rsidR="00ED49FA" w:rsidRPr="00986F85" w:rsidRDefault="00ED49FA" w:rsidP="00ED49FA">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2.32</w:t>
            </w:r>
          </w:p>
        </w:tc>
        <w:tc>
          <w:tcPr>
            <w:tcW w:w="862" w:type="dxa"/>
            <w:tcBorders>
              <w:top w:val="nil"/>
              <w:left w:val="nil"/>
              <w:bottom w:val="single" w:sz="4" w:space="0" w:color="auto"/>
              <w:right w:val="single" w:sz="4" w:space="0" w:color="auto"/>
            </w:tcBorders>
            <w:shd w:val="clear" w:color="000000" w:fill="FFFFFF"/>
            <w:noWrap/>
            <w:vAlign w:val="bottom"/>
            <w:hideMark/>
          </w:tcPr>
          <w:p w14:paraId="66310A10" w14:textId="77777777" w:rsidR="00ED49FA" w:rsidRPr="00986F85" w:rsidRDefault="00ED49FA" w:rsidP="00ED49FA">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0.0378303</w:t>
            </w:r>
          </w:p>
        </w:tc>
        <w:tc>
          <w:tcPr>
            <w:tcW w:w="558" w:type="dxa"/>
            <w:tcBorders>
              <w:top w:val="nil"/>
              <w:left w:val="nil"/>
              <w:bottom w:val="single" w:sz="4" w:space="0" w:color="auto"/>
              <w:right w:val="single" w:sz="4" w:space="0" w:color="auto"/>
            </w:tcBorders>
            <w:shd w:val="clear" w:color="000000" w:fill="FFFFFF"/>
            <w:noWrap/>
            <w:vAlign w:val="bottom"/>
            <w:hideMark/>
          </w:tcPr>
          <w:p w14:paraId="025BF5F6" w14:textId="77777777" w:rsidR="00ED49FA" w:rsidRPr="00986F85" w:rsidRDefault="00ED49FA" w:rsidP="00ED49FA">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1.96</w:t>
            </w:r>
          </w:p>
        </w:tc>
      </w:tr>
      <w:tr w:rsidR="00ED49FA" w:rsidRPr="00986F85" w14:paraId="71683458" w14:textId="77777777" w:rsidTr="00ED49FA">
        <w:trPr>
          <w:trHeight w:val="280"/>
        </w:trPr>
        <w:tc>
          <w:tcPr>
            <w:tcW w:w="2100" w:type="dxa"/>
            <w:tcBorders>
              <w:top w:val="nil"/>
              <w:left w:val="single" w:sz="4" w:space="0" w:color="auto"/>
              <w:bottom w:val="single" w:sz="4" w:space="0" w:color="auto"/>
              <w:right w:val="single" w:sz="4" w:space="0" w:color="auto"/>
            </w:tcBorders>
            <w:shd w:val="clear" w:color="auto" w:fill="auto"/>
            <w:vAlign w:val="center"/>
            <w:hideMark/>
          </w:tcPr>
          <w:p w14:paraId="60B41C5E" w14:textId="77777777" w:rsidR="00ED49FA" w:rsidRPr="00986F85" w:rsidRDefault="00ED49FA" w:rsidP="00ED49FA">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Egy főre jutó hozzádaott érték</w:t>
            </w:r>
          </w:p>
        </w:tc>
        <w:tc>
          <w:tcPr>
            <w:tcW w:w="1079" w:type="dxa"/>
            <w:tcBorders>
              <w:top w:val="nil"/>
              <w:left w:val="nil"/>
              <w:bottom w:val="single" w:sz="4" w:space="0" w:color="auto"/>
              <w:right w:val="single" w:sz="4" w:space="0" w:color="auto"/>
            </w:tcBorders>
            <w:shd w:val="clear" w:color="000000" w:fill="BFBFBF"/>
            <w:vAlign w:val="center"/>
            <w:hideMark/>
          </w:tcPr>
          <w:p w14:paraId="78B119D0" w14:textId="77777777" w:rsidR="00ED49FA" w:rsidRPr="00986F85" w:rsidRDefault="00ED49FA" w:rsidP="00ED49FA">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579" w:type="dxa"/>
            <w:tcBorders>
              <w:top w:val="nil"/>
              <w:left w:val="nil"/>
              <w:bottom w:val="single" w:sz="4" w:space="0" w:color="auto"/>
              <w:right w:val="single" w:sz="4" w:space="0" w:color="auto"/>
            </w:tcBorders>
            <w:shd w:val="clear" w:color="000000" w:fill="BFBFBF"/>
            <w:noWrap/>
            <w:vAlign w:val="center"/>
            <w:hideMark/>
          </w:tcPr>
          <w:p w14:paraId="3D382E55" w14:textId="77777777" w:rsidR="00ED49FA" w:rsidRPr="00986F85" w:rsidRDefault="00ED49FA" w:rsidP="00ED49FA">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499" w:type="dxa"/>
            <w:tcBorders>
              <w:top w:val="nil"/>
              <w:left w:val="nil"/>
              <w:bottom w:val="single" w:sz="4" w:space="0" w:color="auto"/>
              <w:right w:val="single" w:sz="4" w:space="0" w:color="auto"/>
            </w:tcBorders>
            <w:shd w:val="clear" w:color="000000" w:fill="BFBFBF"/>
            <w:noWrap/>
            <w:vAlign w:val="center"/>
            <w:hideMark/>
          </w:tcPr>
          <w:p w14:paraId="2F5650C4" w14:textId="77777777" w:rsidR="00ED49FA" w:rsidRPr="00986F85" w:rsidRDefault="00ED49FA" w:rsidP="00ED49FA">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495" w:type="dxa"/>
            <w:tcBorders>
              <w:top w:val="nil"/>
              <w:left w:val="nil"/>
              <w:bottom w:val="single" w:sz="4" w:space="0" w:color="auto"/>
              <w:right w:val="single" w:sz="4" w:space="0" w:color="auto"/>
            </w:tcBorders>
            <w:shd w:val="clear" w:color="000000" w:fill="BFBFBF"/>
            <w:noWrap/>
            <w:vAlign w:val="center"/>
            <w:hideMark/>
          </w:tcPr>
          <w:p w14:paraId="1D653989" w14:textId="77777777" w:rsidR="00ED49FA" w:rsidRPr="00986F85" w:rsidRDefault="00ED49FA" w:rsidP="00ED49FA">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949" w:type="dxa"/>
            <w:tcBorders>
              <w:top w:val="nil"/>
              <w:left w:val="nil"/>
              <w:bottom w:val="single" w:sz="4" w:space="0" w:color="auto"/>
              <w:right w:val="single" w:sz="4" w:space="0" w:color="auto"/>
            </w:tcBorders>
            <w:shd w:val="clear" w:color="000000" w:fill="BFBFBF"/>
            <w:noWrap/>
            <w:vAlign w:val="center"/>
            <w:hideMark/>
          </w:tcPr>
          <w:p w14:paraId="4F5CF770" w14:textId="77777777" w:rsidR="00ED49FA" w:rsidRPr="00986F85" w:rsidRDefault="00ED49FA" w:rsidP="00ED49FA">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495" w:type="dxa"/>
            <w:tcBorders>
              <w:top w:val="nil"/>
              <w:left w:val="nil"/>
              <w:bottom w:val="single" w:sz="4" w:space="0" w:color="auto"/>
              <w:right w:val="single" w:sz="4" w:space="0" w:color="auto"/>
            </w:tcBorders>
            <w:shd w:val="clear" w:color="000000" w:fill="BFBFBF"/>
            <w:noWrap/>
            <w:vAlign w:val="center"/>
            <w:hideMark/>
          </w:tcPr>
          <w:p w14:paraId="3C8D6625" w14:textId="77777777" w:rsidR="00ED49FA" w:rsidRPr="00986F85" w:rsidRDefault="00ED49FA" w:rsidP="00ED49FA">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949" w:type="dxa"/>
            <w:tcBorders>
              <w:top w:val="nil"/>
              <w:left w:val="nil"/>
              <w:bottom w:val="single" w:sz="4" w:space="0" w:color="auto"/>
              <w:right w:val="single" w:sz="4" w:space="0" w:color="auto"/>
            </w:tcBorders>
            <w:shd w:val="clear" w:color="000000" w:fill="BFBFBF"/>
            <w:noWrap/>
            <w:vAlign w:val="center"/>
            <w:hideMark/>
          </w:tcPr>
          <w:p w14:paraId="179466D8" w14:textId="77777777" w:rsidR="00ED49FA" w:rsidRPr="00986F85" w:rsidRDefault="00ED49FA" w:rsidP="00ED49FA">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495" w:type="dxa"/>
            <w:tcBorders>
              <w:top w:val="nil"/>
              <w:left w:val="nil"/>
              <w:bottom w:val="single" w:sz="4" w:space="0" w:color="auto"/>
              <w:right w:val="single" w:sz="4" w:space="0" w:color="auto"/>
            </w:tcBorders>
            <w:shd w:val="clear" w:color="000000" w:fill="BFBFBF"/>
            <w:noWrap/>
            <w:vAlign w:val="center"/>
            <w:hideMark/>
          </w:tcPr>
          <w:p w14:paraId="333A384C" w14:textId="77777777" w:rsidR="00ED49FA" w:rsidRPr="00986F85" w:rsidRDefault="00ED49FA" w:rsidP="00ED49FA">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627" w:type="dxa"/>
            <w:tcBorders>
              <w:top w:val="nil"/>
              <w:left w:val="nil"/>
              <w:bottom w:val="single" w:sz="4" w:space="0" w:color="auto"/>
              <w:right w:val="single" w:sz="4" w:space="0" w:color="auto"/>
            </w:tcBorders>
            <w:shd w:val="clear" w:color="000000" w:fill="BFBFBF"/>
            <w:noWrap/>
            <w:vAlign w:val="center"/>
            <w:hideMark/>
          </w:tcPr>
          <w:p w14:paraId="5B8E8E8E" w14:textId="77777777" w:rsidR="00ED49FA" w:rsidRPr="00986F85" w:rsidRDefault="00ED49FA" w:rsidP="00ED49FA">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693" w:type="dxa"/>
            <w:tcBorders>
              <w:top w:val="nil"/>
              <w:left w:val="nil"/>
              <w:bottom w:val="single" w:sz="4" w:space="0" w:color="auto"/>
              <w:right w:val="single" w:sz="4" w:space="0" w:color="auto"/>
            </w:tcBorders>
            <w:shd w:val="clear" w:color="000000" w:fill="BFBFBF"/>
            <w:noWrap/>
            <w:vAlign w:val="center"/>
            <w:hideMark/>
          </w:tcPr>
          <w:p w14:paraId="06FFBA5A" w14:textId="77777777" w:rsidR="00ED49FA" w:rsidRPr="00986F85" w:rsidRDefault="00ED49FA" w:rsidP="00ED49FA">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627" w:type="dxa"/>
            <w:tcBorders>
              <w:top w:val="nil"/>
              <w:left w:val="nil"/>
              <w:bottom w:val="single" w:sz="4" w:space="0" w:color="auto"/>
              <w:right w:val="single" w:sz="4" w:space="0" w:color="auto"/>
            </w:tcBorders>
            <w:shd w:val="clear" w:color="000000" w:fill="BFBFBF"/>
            <w:noWrap/>
            <w:vAlign w:val="center"/>
            <w:hideMark/>
          </w:tcPr>
          <w:p w14:paraId="1B9CBD3A" w14:textId="77777777" w:rsidR="00ED49FA" w:rsidRPr="00986F85" w:rsidRDefault="00ED49FA" w:rsidP="00ED49FA">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693" w:type="dxa"/>
            <w:tcBorders>
              <w:top w:val="nil"/>
              <w:left w:val="nil"/>
              <w:bottom w:val="single" w:sz="4" w:space="0" w:color="auto"/>
              <w:right w:val="single" w:sz="4" w:space="0" w:color="auto"/>
            </w:tcBorders>
            <w:shd w:val="clear" w:color="000000" w:fill="BFBFBF"/>
            <w:noWrap/>
            <w:vAlign w:val="center"/>
            <w:hideMark/>
          </w:tcPr>
          <w:p w14:paraId="67142C31" w14:textId="77777777" w:rsidR="00ED49FA" w:rsidRPr="00986F85" w:rsidRDefault="00ED49FA" w:rsidP="00ED49FA">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862" w:type="dxa"/>
            <w:tcBorders>
              <w:top w:val="nil"/>
              <w:left w:val="nil"/>
              <w:bottom w:val="single" w:sz="4" w:space="0" w:color="auto"/>
              <w:right w:val="single" w:sz="4" w:space="0" w:color="auto"/>
            </w:tcBorders>
            <w:shd w:val="clear" w:color="000000" w:fill="BFBFBF"/>
            <w:noWrap/>
            <w:vAlign w:val="center"/>
            <w:hideMark/>
          </w:tcPr>
          <w:p w14:paraId="0BF030A4" w14:textId="77777777" w:rsidR="00ED49FA" w:rsidRPr="00986F85" w:rsidRDefault="00ED49FA" w:rsidP="00ED49FA">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558" w:type="dxa"/>
            <w:tcBorders>
              <w:top w:val="nil"/>
              <w:left w:val="nil"/>
              <w:bottom w:val="single" w:sz="4" w:space="0" w:color="auto"/>
              <w:right w:val="single" w:sz="4" w:space="0" w:color="auto"/>
            </w:tcBorders>
            <w:shd w:val="clear" w:color="000000" w:fill="BFBFBF"/>
            <w:noWrap/>
            <w:vAlign w:val="center"/>
            <w:hideMark/>
          </w:tcPr>
          <w:p w14:paraId="1886B914" w14:textId="77777777" w:rsidR="00ED49FA" w:rsidRPr="00986F85" w:rsidRDefault="00ED49FA" w:rsidP="00ED49FA">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862" w:type="dxa"/>
            <w:tcBorders>
              <w:top w:val="nil"/>
              <w:left w:val="nil"/>
              <w:bottom w:val="single" w:sz="4" w:space="0" w:color="auto"/>
              <w:right w:val="single" w:sz="4" w:space="0" w:color="auto"/>
            </w:tcBorders>
            <w:shd w:val="clear" w:color="000000" w:fill="BFBFBF"/>
            <w:noWrap/>
            <w:vAlign w:val="center"/>
            <w:hideMark/>
          </w:tcPr>
          <w:p w14:paraId="03770245" w14:textId="77777777" w:rsidR="00ED49FA" w:rsidRPr="00986F85" w:rsidRDefault="00ED49FA" w:rsidP="00ED49FA">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558" w:type="dxa"/>
            <w:tcBorders>
              <w:top w:val="nil"/>
              <w:left w:val="nil"/>
              <w:bottom w:val="single" w:sz="4" w:space="0" w:color="auto"/>
              <w:right w:val="single" w:sz="4" w:space="0" w:color="auto"/>
            </w:tcBorders>
            <w:shd w:val="clear" w:color="000000" w:fill="BFBFBF"/>
            <w:noWrap/>
            <w:vAlign w:val="center"/>
            <w:hideMark/>
          </w:tcPr>
          <w:p w14:paraId="079EC7EB" w14:textId="77777777" w:rsidR="00ED49FA" w:rsidRPr="00986F85" w:rsidRDefault="00ED49FA" w:rsidP="00ED49FA">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r>
    </w:tbl>
    <w:p w14:paraId="45AD1A17" w14:textId="77777777" w:rsidR="00ED49FA" w:rsidRPr="00986F85" w:rsidRDefault="00ED49FA" w:rsidP="003159D9">
      <w:pPr>
        <w:spacing w:after="0" w:line="240" w:lineRule="auto"/>
        <w:jc w:val="both"/>
        <w:rPr>
          <w:rFonts w:cs="Times New Roman"/>
          <w:i/>
          <w:sz w:val="22"/>
          <w:szCs w:val="24"/>
        </w:rPr>
      </w:pPr>
    </w:p>
    <w:p w14:paraId="1CCEC398" w14:textId="77777777" w:rsidR="003159D9" w:rsidRPr="00986F85" w:rsidRDefault="00CB0A46" w:rsidP="003159D9">
      <w:pPr>
        <w:spacing w:after="0" w:line="240" w:lineRule="auto"/>
        <w:jc w:val="both"/>
        <w:rPr>
          <w:rFonts w:eastAsia="Times New Roman" w:cs="Times New Roman"/>
          <w:i/>
          <w:color w:val="000000"/>
          <w:sz w:val="22"/>
          <w:szCs w:val="24"/>
          <w:lang w:eastAsia="hu-HU"/>
        </w:rPr>
      </w:pPr>
      <w:r w:rsidRPr="00986F85">
        <w:rPr>
          <w:i/>
          <w:sz w:val="22"/>
          <w:szCs w:val="24"/>
        </w:rPr>
        <w:t xml:space="preserve">Megjegyzések:  </w:t>
      </w:r>
      <w:r w:rsidRPr="00986F85">
        <w:rPr>
          <w:rFonts w:eastAsia="Times New Roman" w:cs="Times New Roman"/>
          <w:i/>
          <w:color w:val="000000"/>
          <w:sz w:val="22"/>
          <w:szCs w:val="24"/>
          <w:lang w:eastAsia="hu-HU"/>
        </w:rPr>
        <w:t>A panel becslést lefuttattuk a teljes mintán, és egy olyan szűkített mintán (Crump et al alapján), ahol csak az 1</w:t>
      </w:r>
      <w:r w:rsidR="0022094F" w:rsidRPr="00986F85">
        <w:rPr>
          <w:rFonts w:eastAsia="Times New Roman" w:cs="Times New Roman"/>
          <w:i/>
          <w:color w:val="000000"/>
          <w:sz w:val="22"/>
          <w:szCs w:val="24"/>
          <w:lang w:eastAsia="hu-HU"/>
        </w:rPr>
        <w:t>0</w:t>
      </w:r>
      <w:r w:rsidRPr="00986F85">
        <w:rPr>
          <w:rFonts w:eastAsia="Times New Roman" w:cs="Times New Roman"/>
          <w:i/>
          <w:color w:val="000000"/>
          <w:sz w:val="22"/>
          <w:szCs w:val="24"/>
          <w:lang w:eastAsia="hu-HU"/>
        </w:rPr>
        <w:t xml:space="preserve">-90% közötti propensity score-ú cégeket hagytuk bent. A táblázatban a </w:t>
      </w:r>
      <w:r w:rsidR="00520BBA" w:rsidRPr="00986F85">
        <w:rPr>
          <w:rFonts w:eastAsia="Times New Roman" w:cs="Times New Roman"/>
          <w:i/>
          <w:color w:val="000000"/>
          <w:sz w:val="22"/>
          <w:szCs w:val="24"/>
          <w:lang w:eastAsia="hu-HU"/>
        </w:rPr>
        <w:t xml:space="preserve">Crump et al (2009) alapján </w:t>
      </w:r>
      <w:r w:rsidRPr="00986F85">
        <w:rPr>
          <w:rFonts w:eastAsia="Times New Roman" w:cs="Times New Roman"/>
          <w:i/>
          <w:color w:val="000000"/>
          <w:sz w:val="22"/>
          <w:szCs w:val="24"/>
          <w:lang w:eastAsia="hu-HU"/>
        </w:rPr>
        <w:t xml:space="preserve">szűkített mintán történt becslések eredményei szerepelnek. </w:t>
      </w:r>
    </w:p>
    <w:p w14:paraId="43324C86" w14:textId="77777777" w:rsidR="005D49DC" w:rsidRPr="00986F85" w:rsidRDefault="005D49DC" w:rsidP="003159D9">
      <w:pPr>
        <w:spacing w:after="0" w:line="240" w:lineRule="auto"/>
        <w:jc w:val="both"/>
        <w:rPr>
          <w:rFonts w:eastAsia="Times New Roman" w:cs="Times New Roman"/>
          <w:i/>
          <w:color w:val="000000"/>
          <w:sz w:val="22"/>
          <w:szCs w:val="24"/>
          <w:lang w:eastAsia="hu-HU"/>
        </w:rPr>
      </w:pPr>
      <w:r w:rsidRPr="00986F85">
        <w:rPr>
          <w:rFonts w:eastAsia="Times New Roman" w:cs="Times New Roman"/>
          <w:i/>
          <w:color w:val="000000"/>
          <w:sz w:val="22"/>
          <w:szCs w:val="24"/>
          <w:lang w:eastAsia="hu-HU"/>
        </w:rPr>
        <w:t>Minta: GOP A pályázatot nyert és 2006-2009 között meg is kapta az utolsó kifizetését, és csak ebből kapott kifizetést, illetve 2006-ban minimum 3 vagy 5 főt foglalkoztató vállalkozás.</w:t>
      </w:r>
    </w:p>
    <w:p w14:paraId="7BAE9442" w14:textId="77777777" w:rsidR="00923F3D" w:rsidRPr="00986F85" w:rsidRDefault="00923F3D" w:rsidP="00D32C22">
      <w:pPr>
        <w:spacing w:after="0" w:line="360" w:lineRule="auto"/>
        <w:jc w:val="both"/>
        <w:rPr>
          <w:rFonts w:eastAsia="Times New Roman" w:cs="Times New Roman"/>
          <w:color w:val="000000"/>
          <w:szCs w:val="24"/>
          <w:lang w:eastAsia="hu-HU"/>
        </w:rPr>
      </w:pPr>
    </w:p>
    <w:p w14:paraId="737A912C" w14:textId="77777777" w:rsidR="00AF0BAD" w:rsidRPr="00986F85" w:rsidRDefault="00AF0BAD" w:rsidP="00D32C22">
      <w:pPr>
        <w:spacing w:after="0" w:line="360" w:lineRule="auto"/>
        <w:jc w:val="both"/>
        <w:rPr>
          <w:rFonts w:eastAsia="Times New Roman" w:cs="Times New Roman"/>
          <w:color w:val="000000"/>
          <w:szCs w:val="24"/>
          <w:lang w:eastAsia="hu-HU"/>
        </w:rPr>
      </w:pPr>
    </w:p>
    <w:p w14:paraId="40204616" w14:textId="77777777" w:rsidR="00923F3D" w:rsidRPr="00986F85" w:rsidRDefault="00923F3D" w:rsidP="00D32C22">
      <w:pPr>
        <w:spacing w:after="0" w:line="360" w:lineRule="auto"/>
        <w:jc w:val="both"/>
        <w:rPr>
          <w:rFonts w:eastAsia="Times New Roman" w:cs="Times New Roman"/>
          <w:color w:val="000000"/>
          <w:szCs w:val="24"/>
          <w:lang w:eastAsia="hu-HU"/>
        </w:rPr>
      </w:pPr>
    </w:p>
    <w:p w14:paraId="312D92A2" w14:textId="77777777" w:rsidR="00AF0BAD" w:rsidRPr="00986F85" w:rsidRDefault="00AF0BAD" w:rsidP="00D32C22">
      <w:pPr>
        <w:spacing w:after="0" w:line="360" w:lineRule="auto"/>
        <w:jc w:val="both"/>
        <w:rPr>
          <w:rFonts w:eastAsia="Times New Roman" w:cs="Times New Roman"/>
          <w:color w:val="000000"/>
          <w:szCs w:val="24"/>
          <w:lang w:eastAsia="hu-HU"/>
        </w:rPr>
        <w:sectPr w:rsidR="00AF0BAD" w:rsidRPr="00986F85" w:rsidSect="00ED49FA">
          <w:pgSz w:w="16838" w:h="11906" w:orient="landscape" w:code="9"/>
          <w:pgMar w:top="1418" w:right="1418" w:bottom="1418" w:left="1418" w:header="720" w:footer="720" w:gutter="0"/>
          <w:cols w:space="720"/>
          <w:docGrid w:linePitch="360"/>
        </w:sectPr>
      </w:pPr>
    </w:p>
    <w:p w14:paraId="3C5F261F" w14:textId="77777777" w:rsidR="001F3DBE" w:rsidRPr="00986F85" w:rsidRDefault="001F3DBE" w:rsidP="00D32C22">
      <w:pPr>
        <w:spacing w:after="0" w:line="360" w:lineRule="auto"/>
        <w:jc w:val="both"/>
        <w:rPr>
          <w:rFonts w:cs="Times New Roman"/>
          <w:b/>
          <w:szCs w:val="24"/>
        </w:rPr>
      </w:pPr>
      <w:r w:rsidRPr="00986F85">
        <w:rPr>
          <w:b/>
          <w:szCs w:val="24"/>
        </w:rPr>
        <w:lastRenderedPageBreak/>
        <w:t>Támogatás hatása</w:t>
      </w:r>
      <w:r w:rsidRPr="00986F85">
        <w:rPr>
          <w:rFonts w:cs="Times New Roman"/>
          <w:b/>
          <w:szCs w:val="24"/>
        </w:rPr>
        <w:t>: GOP</w:t>
      </w:r>
      <w:r w:rsidR="009658BB" w:rsidRPr="00986F85">
        <w:rPr>
          <w:rFonts w:cs="Times New Roman"/>
          <w:b/>
          <w:szCs w:val="24"/>
        </w:rPr>
        <w:t>2.1.1.</w:t>
      </w:r>
      <w:r w:rsidRPr="00986F85">
        <w:rPr>
          <w:rFonts w:cs="Times New Roman"/>
          <w:b/>
          <w:szCs w:val="24"/>
        </w:rPr>
        <w:t>A és KMOP</w:t>
      </w:r>
      <w:r w:rsidR="009658BB" w:rsidRPr="00986F85">
        <w:rPr>
          <w:rFonts w:cs="Times New Roman"/>
          <w:b/>
          <w:szCs w:val="24"/>
        </w:rPr>
        <w:t>1.2.1.</w:t>
      </w:r>
      <w:r w:rsidRPr="00986F85">
        <w:rPr>
          <w:rFonts w:cs="Times New Roman"/>
          <w:b/>
          <w:szCs w:val="24"/>
        </w:rPr>
        <w:t xml:space="preserve">A nyertesek </w:t>
      </w:r>
    </w:p>
    <w:p w14:paraId="294641DD" w14:textId="77777777" w:rsidR="009D790A" w:rsidRPr="00986F85" w:rsidRDefault="001F3DBE" w:rsidP="00D32C22">
      <w:pPr>
        <w:spacing w:after="0" w:line="360" w:lineRule="auto"/>
        <w:jc w:val="both"/>
        <w:rPr>
          <w:rFonts w:cs="Times New Roman"/>
          <w:szCs w:val="24"/>
        </w:rPr>
      </w:pPr>
      <w:r w:rsidRPr="00986F85">
        <w:rPr>
          <w:szCs w:val="24"/>
        </w:rPr>
        <w:t xml:space="preserve">A kezeltek számának növekedése jótékonyan hatott a szignifikancia szintekre, lényegesen több eredményváltozó esetében lehet kimutatni a támogatás hatását. </w:t>
      </w:r>
      <w:r w:rsidR="009A6627" w:rsidRPr="00986F85">
        <w:rPr>
          <w:szCs w:val="24"/>
        </w:rPr>
        <w:t xml:space="preserve">A 18. </w:t>
      </w:r>
      <w:r w:rsidR="001160AB" w:rsidRPr="00986F85">
        <w:rPr>
          <w:szCs w:val="24"/>
        </w:rPr>
        <w:t>táblázat szintén csak a szignifikáns eredményeket mutatja.</w:t>
      </w:r>
    </w:p>
    <w:p w14:paraId="07598385" w14:textId="77777777" w:rsidR="004F408D" w:rsidRPr="00986F85" w:rsidRDefault="004F408D" w:rsidP="00D32C22">
      <w:pPr>
        <w:spacing w:after="0" w:line="360" w:lineRule="auto"/>
        <w:jc w:val="both"/>
        <w:rPr>
          <w:rFonts w:cs="Times New Roman"/>
          <w:szCs w:val="24"/>
        </w:rPr>
      </w:pPr>
    </w:p>
    <w:p w14:paraId="10173CB1" w14:textId="77777777" w:rsidR="009D790A" w:rsidRPr="00986F85" w:rsidRDefault="00AD1FED" w:rsidP="009D790A">
      <w:pPr>
        <w:widowControl w:val="0"/>
        <w:autoSpaceDE w:val="0"/>
        <w:autoSpaceDN w:val="0"/>
        <w:adjustRightInd w:val="0"/>
        <w:spacing w:line="360" w:lineRule="auto"/>
        <w:jc w:val="both"/>
        <w:rPr>
          <w:szCs w:val="24"/>
        </w:rPr>
      </w:pPr>
      <w:r w:rsidRPr="00986F85">
        <w:rPr>
          <w:rFonts w:cs="Times New Roman"/>
          <w:szCs w:val="24"/>
        </w:rPr>
        <w:t xml:space="preserve">A bővített mintán </w:t>
      </w:r>
      <w:r w:rsidR="009D790A" w:rsidRPr="00986F85">
        <w:rPr>
          <w:rFonts w:cs="Myriad Pro"/>
          <w:szCs w:val="24"/>
        </w:rPr>
        <w:t>is a foglalkoztatás az egyetlen olyan vátozó, mely mindhárom modell esetében szignifikáns. A párosításos modellek alapján azt mondhatjuk, hogy a kezelt csoportban 34-35 százalékpont az átlagos kezelési hatás, azaz ennyivel nagyobb mértékben növekedett a kezelt csoport foglalkoztatottainak száma 2006-2011 között a kontrollcsoport cégeihez képest. A különbségek különbsége modell eredményei azt mutatják, hogy 2006-2011 között a kezelt csoportban átlagosan 1 fővel nőtt a foglalkoztatottak száma a kontroll csoport cégeihez képest. Az öt fő feletti minta esetében nagyon hasonló mintázatot látunk, mint a csak GOP A-t nyert csoportnál, a párosításos modellekben kicsit csökkent a hatás a 3 fő feletti mintához képest, a különbségek különbsége modellben pedig kicsit nőtt. A panel modell alapján a kezelt csoport cégei átlagosan 2,7-2,9  százalékkal több embert foglalkoztatnak a magyarázó változókban hozzájuk hasonló cégekhez képest.</w:t>
      </w:r>
    </w:p>
    <w:p w14:paraId="66800EB1" w14:textId="77777777" w:rsidR="001F3DBE" w:rsidRPr="00986F85" w:rsidRDefault="009D790A" w:rsidP="009D790A">
      <w:pPr>
        <w:widowControl w:val="0"/>
        <w:autoSpaceDE w:val="0"/>
        <w:autoSpaceDN w:val="0"/>
        <w:adjustRightInd w:val="0"/>
        <w:spacing w:line="360" w:lineRule="auto"/>
        <w:jc w:val="both"/>
        <w:rPr>
          <w:rFonts w:cs="Times New Roman"/>
          <w:szCs w:val="24"/>
        </w:rPr>
      </w:pPr>
      <w:r w:rsidRPr="00986F85">
        <w:rPr>
          <w:rFonts w:cs="Myriad Pro"/>
          <w:szCs w:val="24"/>
        </w:rPr>
        <w:t>A tárgyi eszköz növekedésére szintén pozitív hatása volt a pályázatnak a párosításos és a panel modell szerint. A legközelebbi szomszéd eljárás alapján becsült párosításos modellben rendre 240,</w:t>
      </w:r>
      <w:r w:rsidR="002D0921" w:rsidRPr="00986F85">
        <w:rPr>
          <w:rFonts w:cs="Myriad Pro"/>
          <w:szCs w:val="24"/>
        </w:rPr>
        <w:t xml:space="preserve"> illetve 195 százalékpontos átla</w:t>
      </w:r>
      <w:r w:rsidRPr="00986F85">
        <w:rPr>
          <w:rFonts w:cs="Myriad Pro"/>
          <w:szCs w:val="24"/>
        </w:rPr>
        <w:t>gos kezelési hatás volt kimutatható a három, illetve az öt fő feletti mintában. A panel modell alapján átlagosan 6,6-6,7%-al több tárgyi</w:t>
      </w:r>
      <w:r w:rsidR="002D0921" w:rsidRPr="00986F85">
        <w:rPr>
          <w:rFonts w:cs="Times New Roman"/>
          <w:szCs w:val="24"/>
        </w:rPr>
        <w:t xml:space="preserve"> </w:t>
      </w:r>
      <w:r w:rsidRPr="00986F85">
        <w:rPr>
          <w:rFonts w:cs="Myriad Pro"/>
          <w:szCs w:val="24"/>
        </w:rPr>
        <w:t>eszközzel rendelkeznek</w:t>
      </w:r>
      <w:r w:rsidR="002D0921" w:rsidRPr="00986F85">
        <w:rPr>
          <w:rFonts w:cs="Times New Roman"/>
          <w:szCs w:val="24"/>
        </w:rPr>
        <w:t xml:space="preserve"> és 3,7-4 százalékkal magasabb tőkeintenzitással bírnak </w:t>
      </w:r>
      <w:r w:rsidRPr="00986F85">
        <w:rPr>
          <w:rFonts w:cs="Myriad Pro"/>
          <w:szCs w:val="24"/>
        </w:rPr>
        <w:t xml:space="preserve"> a támogatott cégek, mint a magyarázó változókban hozzájuk hasonló cégek.  A panel modell alapján átlagosan 3,7-4%-al magasabb tőkeintenzitással bírnak a támogatásban részesült cégek, mint a kontrollcsoport számos ismérvben hasonló cégei.</w:t>
      </w:r>
    </w:p>
    <w:p w14:paraId="59C08593" w14:textId="77777777" w:rsidR="00451A3E" w:rsidRPr="00986F85" w:rsidRDefault="00451A3E" w:rsidP="006043F1">
      <w:pPr>
        <w:pStyle w:val="Kpalrs"/>
        <w:sectPr w:rsidR="00451A3E" w:rsidRPr="00986F85" w:rsidSect="0015414F">
          <w:pgSz w:w="11906" w:h="16838" w:code="9"/>
          <w:pgMar w:top="1418" w:right="1418" w:bottom="1418" w:left="1418" w:header="720" w:footer="720" w:gutter="0"/>
          <w:cols w:space="720"/>
          <w:docGrid w:linePitch="360"/>
        </w:sectPr>
      </w:pPr>
    </w:p>
    <w:p w14:paraId="49D13A1C" w14:textId="77777777" w:rsidR="000B0EB0" w:rsidRPr="00986F85" w:rsidRDefault="005657E8" w:rsidP="004A1D51">
      <w:pPr>
        <w:pStyle w:val="Kpalrs"/>
        <w:keepNext/>
        <w:jc w:val="center"/>
      </w:pPr>
      <w:fldSimple w:instr=" SEQ táblázat \* ARABIC ">
        <w:bookmarkStart w:id="57" w:name="_Toc230854364"/>
        <w:r w:rsidR="00255252" w:rsidRPr="00986F85">
          <w:t>18</w:t>
        </w:r>
      </w:fldSimple>
      <w:r w:rsidR="006043F1" w:rsidRPr="00986F85">
        <w:t>. táblázat</w:t>
      </w:r>
      <w:r w:rsidR="000B0EB0" w:rsidRPr="00986F85">
        <w:t>: Támogatás hatása a GOP A és hasonló KMOP pályázatot nyert cégek tevékenységére</w:t>
      </w:r>
      <w:bookmarkEnd w:id="57"/>
    </w:p>
    <w:tbl>
      <w:tblPr>
        <w:tblW w:w="13765" w:type="dxa"/>
        <w:tblInd w:w="93" w:type="dxa"/>
        <w:tblLayout w:type="fixed"/>
        <w:tblLook w:val="04A0" w:firstRow="1" w:lastRow="0" w:firstColumn="1" w:lastColumn="0" w:noHBand="0" w:noVBand="1"/>
      </w:tblPr>
      <w:tblGrid>
        <w:gridCol w:w="1726"/>
        <w:gridCol w:w="699"/>
        <w:gridCol w:w="357"/>
        <w:gridCol w:w="352"/>
        <w:gridCol w:w="709"/>
        <w:gridCol w:w="608"/>
        <w:gridCol w:w="100"/>
        <w:gridCol w:w="136"/>
        <w:gridCol w:w="573"/>
        <w:gridCol w:w="709"/>
        <w:gridCol w:w="709"/>
        <w:gridCol w:w="708"/>
        <w:gridCol w:w="851"/>
        <w:gridCol w:w="850"/>
        <w:gridCol w:w="709"/>
        <w:gridCol w:w="709"/>
        <w:gridCol w:w="709"/>
        <w:gridCol w:w="850"/>
        <w:gridCol w:w="851"/>
        <w:gridCol w:w="850"/>
      </w:tblGrid>
      <w:tr w:rsidR="00451A3E" w:rsidRPr="00986F85" w14:paraId="478F455C" w14:textId="77777777" w:rsidTr="009868C2">
        <w:trPr>
          <w:trHeight w:val="280"/>
        </w:trPr>
        <w:tc>
          <w:tcPr>
            <w:tcW w:w="1726" w:type="dxa"/>
            <w:vMerge w:val="restart"/>
            <w:tcBorders>
              <w:top w:val="single" w:sz="4" w:space="0" w:color="auto"/>
              <w:left w:val="single" w:sz="4" w:space="0" w:color="auto"/>
              <w:bottom w:val="single" w:sz="4" w:space="0" w:color="000000"/>
              <w:right w:val="single" w:sz="4" w:space="0" w:color="auto"/>
            </w:tcBorders>
            <w:shd w:val="clear" w:color="000000" w:fill="C00000"/>
            <w:vAlign w:val="center"/>
            <w:hideMark/>
          </w:tcPr>
          <w:p w14:paraId="7AAF189D" w14:textId="77777777" w:rsidR="00451A3E" w:rsidRPr="00986F85" w:rsidRDefault="00451A3E" w:rsidP="00451A3E">
            <w:pPr>
              <w:suppressAutoHyphens w:val="0"/>
              <w:spacing w:after="0" w:line="240" w:lineRule="auto"/>
              <w:jc w:val="center"/>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Eredményváltozók</w:t>
            </w:r>
          </w:p>
        </w:tc>
        <w:tc>
          <w:tcPr>
            <w:tcW w:w="5660" w:type="dxa"/>
            <w:gridSpan w:val="11"/>
            <w:tcBorders>
              <w:top w:val="nil"/>
              <w:left w:val="nil"/>
              <w:bottom w:val="single" w:sz="4" w:space="0" w:color="auto"/>
              <w:right w:val="nil"/>
            </w:tcBorders>
            <w:shd w:val="clear" w:color="000000" w:fill="C00000"/>
            <w:noWrap/>
            <w:vAlign w:val="bottom"/>
            <w:hideMark/>
          </w:tcPr>
          <w:p w14:paraId="2A503413" w14:textId="77777777" w:rsidR="00451A3E" w:rsidRPr="00986F85" w:rsidRDefault="00451A3E" w:rsidP="00451A3E">
            <w:pPr>
              <w:suppressAutoHyphens w:val="0"/>
              <w:spacing w:after="0" w:line="240" w:lineRule="auto"/>
              <w:jc w:val="center"/>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Párosítás</w:t>
            </w:r>
          </w:p>
        </w:tc>
        <w:tc>
          <w:tcPr>
            <w:tcW w:w="3119" w:type="dxa"/>
            <w:gridSpan w:val="4"/>
            <w:tcBorders>
              <w:top w:val="nil"/>
              <w:left w:val="nil"/>
              <w:bottom w:val="single" w:sz="4" w:space="0" w:color="auto"/>
              <w:right w:val="nil"/>
            </w:tcBorders>
            <w:shd w:val="clear" w:color="000000" w:fill="C00000"/>
            <w:noWrap/>
            <w:vAlign w:val="bottom"/>
            <w:hideMark/>
          </w:tcPr>
          <w:p w14:paraId="61EA8C40" w14:textId="77777777" w:rsidR="00451A3E" w:rsidRPr="00986F85" w:rsidRDefault="00451A3E" w:rsidP="00451A3E">
            <w:pPr>
              <w:suppressAutoHyphens w:val="0"/>
              <w:spacing w:after="0" w:line="240" w:lineRule="auto"/>
              <w:jc w:val="center"/>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Külünbségek különbsége</w:t>
            </w:r>
          </w:p>
        </w:tc>
        <w:tc>
          <w:tcPr>
            <w:tcW w:w="3260" w:type="dxa"/>
            <w:gridSpan w:val="4"/>
            <w:tcBorders>
              <w:top w:val="nil"/>
              <w:left w:val="nil"/>
              <w:bottom w:val="single" w:sz="4" w:space="0" w:color="auto"/>
              <w:right w:val="nil"/>
            </w:tcBorders>
            <w:shd w:val="clear" w:color="000000" w:fill="C00000"/>
            <w:noWrap/>
            <w:vAlign w:val="bottom"/>
            <w:hideMark/>
          </w:tcPr>
          <w:p w14:paraId="7E135ACC" w14:textId="77777777" w:rsidR="00451A3E" w:rsidRPr="00986F85" w:rsidRDefault="00451A3E" w:rsidP="00451A3E">
            <w:pPr>
              <w:suppressAutoHyphens w:val="0"/>
              <w:spacing w:after="0" w:line="240" w:lineRule="auto"/>
              <w:jc w:val="center"/>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fix-hatás panel</w:t>
            </w:r>
          </w:p>
        </w:tc>
      </w:tr>
      <w:tr w:rsidR="00397D56" w:rsidRPr="00986F85" w14:paraId="3C6EA9F4" w14:textId="77777777" w:rsidTr="009868C2">
        <w:trPr>
          <w:trHeight w:val="280"/>
        </w:trPr>
        <w:tc>
          <w:tcPr>
            <w:tcW w:w="1726" w:type="dxa"/>
            <w:vMerge/>
            <w:tcBorders>
              <w:top w:val="single" w:sz="4" w:space="0" w:color="auto"/>
              <w:left w:val="single" w:sz="4" w:space="0" w:color="auto"/>
              <w:bottom w:val="single" w:sz="4" w:space="0" w:color="000000"/>
              <w:right w:val="single" w:sz="4" w:space="0" w:color="auto"/>
            </w:tcBorders>
            <w:vAlign w:val="center"/>
            <w:hideMark/>
          </w:tcPr>
          <w:p w14:paraId="5E64C0FF" w14:textId="77777777" w:rsidR="00451A3E" w:rsidRPr="00986F85" w:rsidRDefault="00451A3E" w:rsidP="00451A3E">
            <w:pPr>
              <w:suppressAutoHyphens w:val="0"/>
              <w:spacing w:after="0" w:line="240" w:lineRule="auto"/>
              <w:rPr>
                <w:rFonts w:eastAsia="Times New Roman" w:cs="Times New Roman"/>
                <w:b/>
                <w:bCs/>
                <w:color w:val="FFFFFF"/>
                <w:sz w:val="18"/>
                <w:szCs w:val="18"/>
                <w:lang w:val="en-US" w:eastAsia="en-US"/>
              </w:rPr>
            </w:pPr>
          </w:p>
        </w:tc>
        <w:tc>
          <w:tcPr>
            <w:tcW w:w="1056" w:type="dxa"/>
            <w:gridSpan w:val="2"/>
            <w:tcBorders>
              <w:top w:val="nil"/>
              <w:left w:val="nil"/>
              <w:bottom w:val="nil"/>
              <w:right w:val="nil"/>
            </w:tcBorders>
            <w:shd w:val="clear" w:color="000000" w:fill="C00000"/>
            <w:vAlign w:val="center"/>
            <w:hideMark/>
          </w:tcPr>
          <w:p w14:paraId="5A4CEA06" w14:textId="77777777" w:rsidR="00451A3E" w:rsidRPr="00986F85" w:rsidRDefault="00451A3E" w:rsidP="00451A3E">
            <w:pPr>
              <w:suppressAutoHyphens w:val="0"/>
              <w:spacing w:after="0" w:line="240" w:lineRule="auto"/>
              <w:jc w:val="center"/>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 </w:t>
            </w:r>
          </w:p>
        </w:tc>
        <w:tc>
          <w:tcPr>
            <w:tcW w:w="1669" w:type="dxa"/>
            <w:gridSpan w:val="3"/>
            <w:tcBorders>
              <w:top w:val="nil"/>
              <w:left w:val="nil"/>
              <w:bottom w:val="nil"/>
              <w:right w:val="nil"/>
            </w:tcBorders>
            <w:shd w:val="clear" w:color="000000" w:fill="C00000"/>
            <w:noWrap/>
            <w:vAlign w:val="bottom"/>
            <w:hideMark/>
          </w:tcPr>
          <w:p w14:paraId="53BADDE4" w14:textId="77777777" w:rsidR="00451A3E" w:rsidRPr="00986F85" w:rsidRDefault="00451A3E" w:rsidP="00451A3E">
            <w:pPr>
              <w:suppressAutoHyphens w:val="0"/>
              <w:spacing w:after="0" w:line="240" w:lineRule="auto"/>
              <w:jc w:val="center"/>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3 fő felett</w:t>
            </w:r>
          </w:p>
        </w:tc>
        <w:tc>
          <w:tcPr>
            <w:tcW w:w="236" w:type="dxa"/>
            <w:gridSpan w:val="2"/>
            <w:tcBorders>
              <w:top w:val="nil"/>
              <w:left w:val="nil"/>
              <w:bottom w:val="nil"/>
              <w:right w:val="nil"/>
            </w:tcBorders>
            <w:shd w:val="clear" w:color="000000" w:fill="C00000"/>
            <w:noWrap/>
            <w:vAlign w:val="bottom"/>
            <w:hideMark/>
          </w:tcPr>
          <w:p w14:paraId="42DF5B61" w14:textId="77777777" w:rsidR="00451A3E" w:rsidRPr="00986F85" w:rsidRDefault="00451A3E" w:rsidP="00451A3E">
            <w:pPr>
              <w:suppressAutoHyphens w:val="0"/>
              <w:spacing w:after="0" w:line="240" w:lineRule="auto"/>
              <w:jc w:val="center"/>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 </w:t>
            </w:r>
          </w:p>
        </w:tc>
        <w:tc>
          <w:tcPr>
            <w:tcW w:w="2699" w:type="dxa"/>
            <w:gridSpan w:val="4"/>
            <w:tcBorders>
              <w:top w:val="single" w:sz="4" w:space="0" w:color="auto"/>
              <w:left w:val="nil"/>
              <w:bottom w:val="nil"/>
              <w:right w:val="single" w:sz="4" w:space="0" w:color="000000"/>
            </w:tcBorders>
            <w:shd w:val="clear" w:color="000000" w:fill="C00000"/>
            <w:noWrap/>
            <w:vAlign w:val="bottom"/>
            <w:hideMark/>
          </w:tcPr>
          <w:p w14:paraId="0DC17321" w14:textId="77777777" w:rsidR="00451A3E" w:rsidRPr="00986F85" w:rsidRDefault="00451A3E" w:rsidP="00451A3E">
            <w:pPr>
              <w:suppressAutoHyphens w:val="0"/>
              <w:spacing w:after="0" w:line="240" w:lineRule="auto"/>
              <w:jc w:val="center"/>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5 fő felett</w:t>
            </w:r>
          </w:p>
        </w:tc>
        <w:tc>
          <w:tcPr>
            <w:tcW w:w="1701" w:type="dxa"/>
            <w:gridSpan w:val="2"/>
            <w:tcBorders>
              <w:top w:val="nil"/>
              <w:left w:val="nil"/>
              <w:bottom w:val="nil"/>
              <w:right w:val="nil"/>
            </w:tcBorders>
            <w:shd w:val="clear" w:color="000000" w:fill="C00000"/>
            <w:noWrap/>
            <w:vAlign w:val="bottom"/>
            <w:hideMark/>
          </w:tcPr>
          <w:p w14:paraId="516A7920" w14:textId="77777777" w:rsidR="00451A3E" w:rsidRPr="00986F85" w:rsidRDefault="00451A3E" w:rsidP="00451A3E">
            <w:pPr>
              <w:suppressAutoHyphens w:val="0"/>
              <w:spacing w:after="0" w:line="240" w:lineRule="auto"/>
              <w:jc w:val="center"/>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3 fő felett</w:t>
            </w:r>
          </w:p>
        </w:tc>
        <w:tc>
          <w:tcPr>
            <w:tcW w:w="1418" w:type="dxa"/>
            <w:gridSpan w:val="2"/>
            <w:tcBorders>
              <w:top w:val="nil"/>
              <w:left w:val="nil"/>
              <w:bottom w:val="nil"/>
              <w:right w:val="single" w:sz="4" w:space="0" w:color="000000"/>
            </w:tcBorders>
            <w:shd w:val="clear" w:color="000000" w:fill="C00000"/>
            <w:noWrap/>
            <w:vAlign w:val="bottom"/>
            <w:hideMark/>
          </w:tcPr>
          <w:p w14:paraId="7CB5AD0B" w14:textId="77777777" w:rsidR="00451A3E" w:rsidRPr="00986F85" w:rsidRDefault="00451A3E" w:rsidP="00451A3E">
            <w:pPr>
              <w:suppressAutoHyphens w:val="0"/>
              <w:spacing w:after="0" w:line="240" w:lineRule="auto"/>
              <w:jc w:val="center"/>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5 fő felett</w:t>
            </w:r>
          </w:p>
        </w:tc>
        <w:tc>
          <w:tcPr>
            <w:tcW w:w="1559" w:type="dxa"/>
            <w:gridSpan w:val="2"/>
            <w:tcBorders>
              <w:top w:val="nil"/>
              <w:left w:val="nil"/>
              <w:bottom w:val="nil"/>
              <w:right w:val="nil"/>
            </w:tcBorders>
            <w:shd w:val="clear" w:color="000000" w:fill="C00000"/>
            <w:noWrap/>
            <w:vAlign w:val="bottom"/>
            <w:hideMark/>
          </w:tcPr>
          <w:p w14:paraId="60BC78D4" w14:textId="77777777" w:rsidR="00451A3E" w:rsidRPr="00986F85" w:rsidRDefault="00451A3E" w:rsidP="00451A3E">
            <w:pPr>
              <w:suppressAutoHyphens w:val="0"/>
              <w:spacing w:after="0" w:line="240" w:lineRule="auto"/>
              <w:jc w:val="center"/>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3 fő felett</w:t>
            </w:r>
          </w:p>
        </w:tc>
        <w:tc>
          <w:tcPr>
            <w:tcW w:w="1701" w:type="dxa"/>
            <w:gridSpan w:val="2"/>
            <w:tcBorders>
              <w:top w:val="nil"/>
              <w:left w:val="nil"/>
              <w:bottom w:val="nil"/>
              <w:right w:val="nil"/>
            </w:tcBorders>
            <w:shd w:val="clear" w:color="000000" w:fill="C00000"/>
            <w:noWrap/>
            <w:vAlign w:val="bottom"/>
            <w:hideMark/>
          </w:tcPr>
          <w:p w14:paraId="39744458" w14:textId="77777777" w:rsidR="00451A3E" w:rsidRPr="00986F85" w:rsidRDefault="00451A3E" w:rsidP="00451A3E">
            <w:pPr>
              <w:suppressAutoHyphens w:val="0"/>
              <w:spacing w:after="0" w:line="240" w:lineRule="auto"/>
              <w:jc w:val="center"/>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5 fő felett</w:t>
            </w:r>
          </w:p>
        </w:tc>
      </w:tr>
      <w:tr w:rsidR="00397D56" w:rsidRPr="00986F85" w14:paraId="2E19B291" w14:textId="77777777" w:rsidTr="009868C2">
        <w:trPr>
          <w:trHeight w:val="525"/>
        </w:trPr>
        <w:tc>
          <w:tcPr>
            <w:tcW w:w="1726" w:type="dxa"/>
            <w:vMerge/>
            <w:tcBorders>
              <w:top w:val="single" w:sz="4" w:space="0" w:color="auto"/>
              <w:left w:val="single" w:sz="4" w:space="0" w:color="auto"/>
              <w:bottom w:val="single" w:sz="4" w:space="0" w:color="000000"/>
              <w:right w:val="single" w:sz="4" w:space="0" w:color="auto"/>
            </w:tcBorders>
            <w:vAlign w:val="center"/>
            <w:hideMark/>
          </w:tcPr>
          <w:p w14:paraId="7C7AC224" w14:textId="77777777" w:rsidR="00451A3E" w:rsidRPr="00986F85" w:rsidRDefault="00451A3E" w:rsidP="00451A3E">
            <w:pPr>
              <w:suppressAutoHyphens w:val="0"/>
              <w:spacing w:after="0" w:line="240" w:lineRule="auto"/>
              <w:rPr>
                <w:rFonts w:eastAsia="Times New Roman" w:cs="Times New Roman"/>
                <w:b/>
                <w:bCs/>
                <w:color w:val="FFFFFF"/>
                <w:sz w:val="18"/>
                <w:szCs w:val="18"/>
                <w:lang w:val="en-US" w:eastAsia="en-US"/>
              </w:rPr>
            </w:pPr>
          </w:p>
        </w:tc>
        <w:tc>
          <w:tcPr>
            <w:tcW w:w="1408" w:type="dxa"/>
            <w:gridSpan w:val="3"/>
            <w:tcBorders>
              <w:top w:val="nil"/>
              <w:left w:val="nil"/>
              <w:bottom w:val="nil"/>
              <w:right w:val="nil"/>
            </w:tcBorders>
            <w:shd w:val="clear" w:color="000000" w:fill="C00000"/>
            <w:vAlign w:val="center"/>
            <w:hideMark/>
          </w:tcPr>
          <w:p w14:paraId="0C76CA61" w14:textId="77777777" w:rsidR="00451A3E" w:rsidRPr="00986F85" w:rsidRDefault="00451A3E" w:rsidP="00451A3E">
            <w:pPr>
              <w:suppressAutoHyphens w:val="0"/>
              <w:spacing w:after="0" w:line="240" w:lineRule="auto"/>
              <w:jc w:val="center"/>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legközelebbi szomszéd</w:t>
            </w:r>
          </w:p>
        </w:tc>
        <w:tc>
          <w:tcPr>
            <w:tcW w:w="1417" w:type="dxa"/>
            <w:gridSpan w:val="3"/>
            <w:tcBorders>
              <w:top w:val="nil"/>
              <w:left w:val="nil"/>
              <w:bottom w:val="nil"/>
              <w:right w:val="nil"/>
            </w:tcBorders>
            <w:shd w:val="clear" w:color="000000" w:fill="C00000"/>
            <w:noWrap/>
            <w:hideMark/>
          </w:tcPr>
          <w:p w14:paraId="443EA2E9" w14:textId="77777777" w:rsidR="00451A3E" w:rsidRPr="00986F85" w:rsidRDefault="00451A3E" w:rsidP="00451A3E">
            <w:pPr>
              <w:suppressAutoHyphens w:val="0"/>
              <w:spacing w:after="0" w:line="240" w:lineRule="auto"/>
              <w:jc w:val="center"/>
              <w:rPr>
                <w:rFonts w:eastAsia="Times New Roman" w:cs="Times New Roman"/>
                <w:b/>
                <w:bCs/>
                <w:i/>
                <w:color w:val="FFFFFF"/>
                <w:sz w:val="18"/>
                <w:szCs w:val="18"/>
                <w:lang w:val="en-US" w:eastAsia="en-US"/>
              </w:rPr>
            </w:pPr>
            <w:r w:rsidRPr="00986F85">
              <w:rPr>
                <w:rFonts w:eastAsia="Times New Roman" w:cs="Times New Roman"/>
                <w:b/>
                <w:bCs/>
                <w:i/>
                <w:color w:val="FFFFFF"/>
                <w:sz w:val="18"/>
                <w:szCs w:val="18"/>
                <w:lang w:val="en-US" w:eastAsia="en-US"/>
              </w:rPr>
              <w:t>kernel</w:t>
            </w:r>
          </w:p>
        </w:tc>
        <w:tc>
          <w:tcPr>
            <w:tcW w:w="1418" w:type="dxa"/>
            <w:gridSpan w:val="3"/>
            <w:tcBorders>
              <w:top w:val="nil"/>
              <w:left w:val="nil"/>
              <w:bottom w:val="nil"/>
              <w:right w:val="nil"/>
            </w:tcBorders>
            <w:shd w:val="clear" w:color="000000" w:fill="C00000"/>
            <w:vAlign w:val="bottom"/>
            <w:hideMark/>
          </w:tcPr>
          <w:p w14:paraId="31FC9CE9" w14:textId="77777777" w:rsidR="00451A3E" w:rsidRPr="00986F85" w:rsidRDefault="00451A3E" w:rsidP="00451A3E">
            <w:pPr>
              <w:suppressAutoHyphens w:val="0"/>
              <w:spacing w:after="0" w:line="240" w:lineRule="auto"/>
              <w:jc w:val="center"/>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legközelebbi szomszéd</w:t>
            </w:r>
          </w:p>
        </w:tc>
        <w:tc>
          <w:tcPr>
            <w:tcW w:w="1417" w:type="dxa"/>
            <w:gridSpan w:val="2"/>
            <w:tcBorders>
              <w:top w:val="nil"/>
              <w:left w:val="nil"/>
              <w:bottom w:val="nil"/>
              <w:right w:val="nil"/>
            </w:tcBorders>
            <w:shd w:val="clear" w:color="000000" w:fill="C00000"/>
            <w:noWrap/>
            <w:hideMark/>
          </w:tcPr>
          <w:p w14:paraId="431C6F6F" w14:textId="77777777" w:rsidR="00451A3E" w:rsidRPr="00986F85" w:rsidRDefault="00451A3E" w:rsidP="00451A3E">
            <w:pPr>
              <w:suppressAutoHyphens w:val="0"/>
              <w:spacing w:after="0" w:line="240" w:lineRule="auto"/>
              <w:jc w:val="center"/>
              <w:rPr>
                <w:rFonts w:eastAsia="Times New Roman" w:cs="Times New Roman"/>
                <w:b/>
                <w:bCs/>
                <w:i/>
                <w:color w:val="FFFFFF"/>
                <w:sz w:val="18"/>
                <w:szCs w:val="18"/>
                <w:lang w:val="en-US" w:eastAsia="en-US"/>
              </w:rPr>
            </w:pPr>
            <w:r w:rsidRPr="00986F85">
              <w:rPr>
                <w:rFonts w:eastAsia="Times New Roman" w:cs="Times New Roman"/>
                <w:b/>
                <w:bCs/>
                <w:i/>
                <w:color w:val="FFFFFF"/>
                <w:sz w:val="18"/>
                <w:szCs w:val="18"/>
                <w:lang w:val="en-US" w:eastAsia="en-US"/>
              </w:rPr>
              <w:t>kernel</w:t>
            </w:r>
          </w:p>
        </w:tc>
        <w:tc>
          <w:tcPr>
            <w:tcW w:w="851" w:type="dxa"/>
            <w:tcBorders>
              <w:top w:val="nil"/>
              <w:left w:val="nil"/>
              <w:bottom w:val="nil"/>
              <w:right w:val="nil"/>
            </w:tcBorders>
            <w:shd w:val="clear" w:color="000000" w:fill="C00000"/>
            <w:noWrap/>
            <w:vAlign w:val="bottom"/>
            <w:hideMark/>
          </w:tcPr>
          <w:p w14:paraId="34EBD888" w14:textId="77777777" w:rsidR="00451A3E" w:rsidRPr="00986F85" w:rsidRDefault="00451A3E" w:rsidP="00451A3E">
            <w:pPr>
              <w:suppressAutoHyphens w:val="0"/>
              <w:spacing w:after="0" w:line="240" w:lineRule="auto"/>
              <w:jc w:val="center"/>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 </w:t>
            </w:r>
          </w:p>
        </w:tc>
        <w:tc>
          <w:tcPr>
            <w:tcW w:w="850" w:type="dxa"/>
            <w:tcBorders>
              <w:top w:val="nil"/>
              <w:left w:val="nil"/>
              <w:bottom w:val="nil"/>
              <w:right w:val="nil"/>
            </w:tcBorders>
            <w:shd w:val="clear" w:color="000000" w:fill="C00000"/>
            <w:noWrap/>
            <w:vAlign w:val="bottom"/>
            <w:hideMark/>
          </w:tcPr>
          <w:p w14:paraId="56DE9FC3" w14:textId="77777777" w:rsidR="00451A3E" w:rsidRPr="00986F85" w:rsidRDefault="00451A3E" w:rsidP="00451A3E">
            <w:pPr>
              <w:suppressAutoHyphens w:val="0"/>
              <w:spacing w:after="0" w:line="240" w:lineRule="auto"/>
              <w:jc w:val="center"/>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 </w:t>
            </w:r>
          </w:p>
        </w:tc>
        <w:tc>
          <w:tcPr>
            <w:tcW w:w="709" w:type="dxa"/>
            <w:tcBorders>
              <w:top w:val="nil"/>
              <w:left w:val="nil"/>
              <w:bottom w:val="nil"/>
              <w:right w:val="nil"/>
            </w:tcBorders>
            <w:shd w:val="clear" w:color="000000" w:fill="C00000"/>
            <w:noWrap/>
            <w:vAlign w:val="bottom"/>
            <w:hideMark/>
          </w:tcPr>
          <w:p w14:paraId="35A3EB2F" w14:textId="77777777" w:rsidR="00451A3E" w:rsidRPr="00986F85" w:rsidRDefault="00451A3E" w:rsidP="00451A3E">
            <w:pPr>
              <w:suppressAutoHyphens w:val="0"/>
              <w:spacing w:after="0" w:line="240" w:lineRule="auto"/>
              <w:jc w:val="center"/>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 </w:t>
            </w:r>
          </w:p>
        </w:tc>
        <w:tc>
          <w:tcPr>
            <w:tcW w:w="709" w:type="dxa"/>
            <w:tcBorders>
              <w:top w:val="nil"/>
              <w:left w:val="nil"/>
              <w:bottom w:val="nil"/>
              <w:right w:val="single" w:sz="4" w:space="0" w:color="auto"/>
            </w:tcBorders>
            <w:shd w:val="clear" w:color="000000" w:fill="C00000"/>
            <w:noWrap/>
            <w:vAlign w:val="bottom"/>
            <w:hideMark/>
          </w:tcPr>
          <w:p w14:paraId="6C8240C4" w14:textId="77777777" w:rsidR="00451A3E" w:rsidRPr="00986F85" w:rsidRDefault="00451A3E" w:rsidP="00451A3E">
            <w:pPr>
              <w:suppressAutoHyphens w:val="0"/>
              <w:spacing w:after="0" w:line="240" w:lineRule="auto"/>
              <w:jc w:val="center"/>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 </w:t>
            </w:r>
          </w:p>
        </w:tc>
        <w:tc>
          <w:tcPr>
            <w:tcW w:w="709" w:type="dxa"/>
            <w:tcBorders>
              <w:top w:val="nil"/>
              <w:left w:val="nil"/>
              <w:bottom w:val="nil"/>
              <w:right w:val="nil"/>
            </w:tcBorders>
            <w:shd w:val="clear" w:color="000000" w:fill="C00000"/>
            <w:noWrap/>
            <w:vAlign w:val="bottom"/>
            <w:hideMark/>
          </w:tcPr>
          <w:p w14:paraId="5BFB7F1C" w14:textId="77777777" w:rsidR="00451A3E" w:rsidRPr="00986F85" w:rsidRDefault="00451A3E" w:rsidP="00451A3E">
            <w:pPr>
              <w:suppressAutoHyphens w:val="0"/>
              <w:spacing w:after="0" w:line="240" w:lineRule="auto"/>
              <w:jc w:val="center"/>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 </w:t>
            </w:r>
          </w:p>
        </w:tc>
        <w:tc>
          <w:tcPr>
            <w:tcW w:w="850" w:type="dxa"/>
            <w:tcBorders>
              <w:top w:val="nil"/>
              <w:left w:val="nil"/>
              <w:bottom w:val="nil"/>
              <w:right w:val="nil"/>
            </w:tcBorders>
            <w:shd w:val="clear" w:color="000000" w:fill="C00000"/>
            <w:noWrap/>
            <w:vAlign w:val="bottom"/>
            <w:hideMark/>
          </w:tcPr>
          <w:p w14:paraId="5A484231" w14:textId="77777777" w:rsidR="00451A3E" w:rsidRPr="00986F85" w:rsidRDefault="00451A3E" w:rsidP="00451A3E">
            <w:pPr>
              <w:suppressAutoHyphens w:val="0"/>
              <w:spacing w:after="0" w:line="240" w:lineRule="auto"/>
              <w:jc w:val="center"/>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 </w:t>
            </w:r>
          </w:p>
        </w:tc>
        <w:tc>
          <w:tcPr>
            <w:tcW w:w="851" w:type="dxa"/>
            <w:tcBorders>
              <w:top w:val="nil"/>
              <w:left w:val="nil"/>
              <w:bottom w:val="nil"/>
              <w:right w:val="nil"/>
            </w:tcBorders>
            <w:shd w:val="clear" w:color="000000" w:fill="C00000"/>
            <w:noWrap/>
            <w:vAlign w:val="bottom"/>
            <w:hideMark/>
          </w:tcPr>
          <w:p w14:paraId="212036A8" w14:textId="77777777" w:rsidR="00451A3E" w:rsidRPr="00986F85" w:rsidRDefault="00451A3E" w:rsidP="00451A3E">
            <w:pPr>
              <w:suppressAutoHyphens w:val="0"/>
              <w:spacing w:after="0" w:line="240" w:lineRule="auto"/>
              <w:jc w:val="center"/>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 </w:t>
            </w:r>
          </w:p>
        </w:tc>
        <w:tc>
          <w:tcPr>
            <w:tcW w:w="850" w:type="dxa"/>
            <w:tcBorders>
              <w:top w:val="nil"/>
              <w:left w:val="nil"/>
              <w:bottom w:val="nil"/>
              <w:right w:val="nil"/>
            </w:tcBorders>
            <w:shd w:val="clear" w:color="000000" w:fill="C00000"/>
            <w:noWrap/>
            <w:vAlign w:val="bottom"/>
            <w:hideMark/>
          </w:tcPr>
          <w:p w14:paraId="6BDD913D" w14:textId="77777777" w:rsidR="00451A3E" w:rsidRPr="00986F85" w:rsidRDefault="00451A3E" w:rsidP="00451A3E">
            <w:pPr>
              <w:suppressAutoHyphens w:val="0"/>
              <w:spacing w:after="0" w:line="240" w:lineRule="auto"/>
              <w:jc w:val="center"/>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 </w:t>
            </w:r>
          </w:p>
        </w:tc>
      </w:tr>
      <w:tr w:rsidR="00397D56" w:rsidRPr="00986F85" w14:paraId="2AC1E0FD" w14:textId="77777777" w:rsidTr="009868C2">
        <w:trPr>
          <w:trHeight w:val="280"/>
        </w:trPr>
        <w:tc>
          <w:tcPr>
            <w:tcW w:w="1726" w:type="dxa"/>
            <w:vMerge/>
            <w:tcBorders>
              <w:top w:val="single" w:sz="4" w:space="0" w:color="auto"/>
              <w:left w:val="single" w:sz="4" w:space="0" w:color="auto"/>
              <w:bottom w:val="single" w:sz="4" w:space="0" w:color="000000"/>
              <w:right w:val="single" w:sz="4" w:space="0" w:color="auto"/>
            </w:tcBorders>
            <w:vAlign w:val="center"/>
            <w:hideMark/>
          </w:tcPr>
          <w:p w14:paraId="2AE4439D" w14:textId="77777777" w:rsidR="00451A3E" w:rsidRPr="00986F85" w:rsidRDefault="00451A3E" w:rsidP="00451A3E">
            <w:pPr>
              <w:suppressAutoHyphens w:val="0"/>
              <w:spacing w:after="0" w:line="240" w:lineRule="auto"/>
              <w:rPr>
                <w:rFonts w:eastAsia="Times New Roman" w:cs="Times New Roman"/>
                <w:b/>
                <w:bCs/>
                <w:color w:val="FFFFFF"/>
                <w:sz w:val="18"/>
                <w:szCs w:val="18"/>
                <w:lang w:val="en-US" w:eastAsia="en-US"/>
              </w:rPr>
            </w:pPr>
          </w:p>
        </w:tc>
        <w:tc>
          <w:tcPr>
            <w:tcW w:w="699" w:type="dxa"/>
            <w:tcBorders>
              <w:top w:val="nil"/>
              <w:left w:val="nil"/>
              <w:bottom w:val="single" w:sz="4" w:space="0" w:color="auto"/>
              <w:right w:val="nil"/>
            </w:tcBorders>
            <w:shd w:val="clear" w:color="000000" w:fill="C00000"/>
            <w:noWrap/>
            <w:vAlign w:val="bottom"/>
            <w:hideMark/>
          </w:tcPr>
          <w:p w14:paraId="120296D5" w14:textId="77777777" w:rsidR="00451A3E" w:rsidRPr="00986F85" w:rsidRDefault="00451A3E" w:rsidP="00451A3E">
            <w:pPr>
              <w:suppressAutoHyphens w:val="0"/>
              <w:spacing w:after="0" w:line="240" w:lineRule="auto"/>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Érték</w:t>
            </w:r>
          </w:p>
        </w:tc>
        <w:tc>
          <w:tcPr>
            <w:tcW w:w="709" w:type="dxa"/>
            <w:gridSpan w:val="2"/>
            <w:tcBorders>
              <w:top w:val="nil"/>
              <w:left w:val="nil"/>
              <w:bottom w:val="single" w:sz="4" w:space="0" w:color="auto"/>
              <w:right w:val="nil"/>
            </w:tcBorders>
            <w:shd w:val="clear" w:color="000000" w:fill="C00000"/>
            <w:noWrap/>
            <w:vAlign w:val="bottom"/>
            <w:hideMark/>
          </w:tcPr>
          <w:p w14:paraId="08613715" w14:textId="77777777" w:rsidR="00451A3E" w:rsidRPr="00986F85" w:rsidRDefault="00451A3E" w:rsidP="00451A3E">
            <w:pPr>
              <w:suppressAutoHyphens w:val="0"/>
              <w:spacing w:after="0" w:line="240" w:lineRule="auto"/>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t stat</w:t>
            </w:r>
          </w:p>
        </w:tc>
        <w:tc>
          <w:tcPr>
            <w:tcW w:w="709" w:type="dxa"/>
            <w:tcBorders>
              <w:top w:val="nil"/>
              <w:left w:val="nil"/>
              <w:bottom w:val="single" w:sz="4" w:space="0" w:color="auto"/>
              <w:right w:val="nil"/>
            </w:tcBorders>
            <w:shd w:val="clear" w:color="000000" w:fill="C00000"/>
            <w:noWrap/>
            <w:vAlign w:val="bottom"/>
            <w:hideMark/>
          </w:tcPr>
          <w:p w14:paraId="148AE1F8" w14:textId="77777777" w:rsidR="00451A3E" w:rsidRPr="00986F85" w:rsidRDefault="00451A3E" w:rsidP="00451A3E">
            <w:pPr>
              <w:suppressAutoHyphens w:val="0"/>
              <w:spacing w:after="0" w:line="240" w:lineRule="auto"/>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Érték</w:t>
            </w:r>
          </w:p>
        </w:tc>
        <w:tc>
          <w:tcPr>
            <w:tcW w:w="708" w:type="dxa"/>
            <w:gridSpan w:val="2"/>
            <w:tcBorders>
              <w:top w:val="nil"/>
              <w:left w:val="nil"/>
              <w:bottom w:val="single" w:sz="4" w:space="0" w:color="auto"/>
              <w:right w:val="nil"/>
            </w:tcBorders>
            <w:shd w:val="clear" w:color="000000" w:fill="C00000"/>
            <w:noWrap/>
            <w:vAlign w:val="bottom"/>
            <w:hideMark/>
          </w:tcPr>
          <w:p w14:paraId="2F0BA98E" w14:textId="77777777" w:rsidR="00451A3E" w:rsidRPr="00986F85" w:rsidRDefault="00451A3E" w:rsidP="00451A3E">
            <w:pPr>
              <w:suppressAutoHyphens w:val="0"/>
              <w:spacing w:after="0" w:line="240" w:lineRule="auto"/>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t stat</w:t>
            </w:r>
          </w:p>
        </w:tc>
        <w:tc>
          <w:tcPr>
            <w:tcW w:w="709" w:type="dxa"/>
            <w:gridSpan w:val="2"/>
            <w:tcBorders>
              <w:top w:val="nil"/>
              <w:left w:val="single" w:sz="4" w:space="0" w:color="auto"/>
              <w:bottom w:val="single" w:sz="4" w:space="0" w:color="auto"/>
              <w:right w:val="nil"/>
            </w:tcBorders>
            <w:shd w:val="clear" w:color="000000" w:fill="C00000"/>
            <w:noWrap/>
            <w:vAlign w:val="bottom"/>
            <w:hideMark/>
          </w:tcPr>
          <w:p w14:paraId="6D748AD8" w14:textId="77777777" w:rsidR="00451A3E" w:rsidRPr="00986F85" w:rsidRDefault="00451A3E" w:rsidP="00451A3E">
            <w:pPr>
              <w:suppressAutoHyphens w:val="0"/>
              <w:spacing w:after="0" w:line="240" w:lineRule="auto"/>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Érték</w:t>
            </w:r>
          </w:p>
        </w:tc>
        <w:tc>
          <w:tcPr>
            <w:tcW w:w="709" w:type="dxa"/>
            <w:tcBorders>
              <w:top w:val="nil"/>
              <w:left w:val="nil"/>
              <w:bottom w:val="single" w:sz="4" w:space="0" w:color="auto"/>
              <w:right w:val="nil"/>
            </w:tcBorders>
            <w:shd w:val="clear" w:color="000000" w:fill="C00000"/>
            <w:noWrap/>
            <w:vAlign w:val="bottom"/>
            <w:hideMark/>
          </w:tcPr>
          <w:p w14:paraId="2AFF6DA4" w14:textId="77777777" w:rsidR="00451A3E" w:rsidRPr="00986F85" w:rsidRDefault="00451A3E" w:rsidP="00451A3E">
            <w:pPr>
              <w:suppressAutoHyphens w:val="0"/>
              <w:spacing w:after="0" w:line="240" w:lineRule="auto"/>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t stat</w:t>
            </w:r>
          </w:p>
        </w:tc>
        <w:tc>
          <w:tcPr>
            <w:tcW w:w="709" w:type="dxa"/>
            <w:tcBorders>
              <w:top w:val="nil"/>
              <w:left w:val="nil"/>
              <w:bottom w:val="single" w:sz="4" w:space="0" w:color="auto"/>
              <w:right w:val="nil"/>
            </w:tcBorders>
            <w:shd w:val="clear" w:color="000000" w:fill="C00000"/>
            <w:noWrap/>
            <w:vAlign w:val="bottom"/>
            <w:hideMark/>
          </w:tcPr>
          <w:p w14:paraId="241DF915" w14:textId="77777777" w:rsidR="00451A3E" w:rsidRPr="00986F85" w:rsidRDefault="00451A3E" w:rsidP="00451A3E">
            <w:pPr>
              <w:suppressAutoHyphens w:val="0"/>
              <w:spacing w:after="0" w:line="240" w:lineRule="auto"/>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Érték</w:t>
            </w:r>
          </w:p>
        </w:tc>
        <w:tc>
          <w:tcPr>
            <w:tcW w:w="708" w:type="dxa"/>
            <w:tcBorders>
              <w:top w:val="nil"/>
              <w:left w:val="nil"/>
              <w:bottom w:val="single" w:sz="4" w:space="0" w:color="auto"/>
              <w:right w:val="nil"/>
            </w:tcBorders>
            <w:shd w:val="clear" w:color="000000" w:fill="C00000"/>
            <w:noWrap/>
            <w:vAlign w:val="bottom"/>
            <w:hideMark/>
          </w:tcPr>
          <w:p w14:paraId="2CE95F90" w14:textId="77777777" w:rsidR="00451A3E" w:rsidRPr="00986F85" w:rsidRDefault="00451A3E" w:rsidP="00451A3E">
            <w:pPr>
              <w:suppressAutoHyphens w:val="0"/>
              <w:spacing w:after="0" w:line="240" w:lineRule="auto"/>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t stat</w:t>
            </w:r>
          </w:p>
        </w:tc>
        <w:tc>
          <w:tcPr>
            <w:tcW w:w="851" w:type="dxa"/>
            <w:tcBorders>
              <w:top w:val="nil"/>
              <w:left w:val="nil"/>
              <w:bottom w:val="single" w:sz="4" w:space="0" w:color="auto"/>
              <w:right w:val="nil"/>
            </w:tcBorders>
            <w:shd w:val="clear" w:color="000000" w:fill="C00000"/>
            <w:noWrap/>
            <w:vAlign w:val="bottom"/>
            <w:hideMark/>
          </w:tcPr>
          <w:p w14:paraId="1003F55A" w14:textId="77777777" w:rsidR="00451A3E" w:rsidRPr="00986F85" w:rsidRDefault="00451A3E" w:rsidP="00451A3E">
            <w:pPr>
              <w:suppressAutoHyphens w:val="0"/>
              <w:spacing w:after="0" w:line="240" w:lineRule="auto"/>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Érték</w:t>
            </w:r>
          </w:p>
        </w:tc>
        <w:tc>
          <w:tcPr>
            <w:tcW w:w="850" w:type="dxa"/>
            <w:tcBorders>
              <w:top w:val="nil"/>
              <w:left w:val="nil"/>
              <w:bottom w:val="single" w:sz="4" w:space="0" w:color="auto"/>
              <w:right w:val="nil"/>
            </w:tcBorders>
            <w:shd w:val="clear" w:color="000000" w:fill="C00000"/>
            <w:noWrap/>
            <w:vAlign w:val="bottom"/>
            <w:hideMark/>
          </w:tcPr>
          <w:p w14:paraId="02E82F9A" w14:textId="77777777" w:rsidR="00451A3E" w:rsidRPr="00986F85" w:rsidRDefault="00451A3E" w:rsidP="00451A3E">
            <w:pPr>
              <w:suppressAutoHyphens w:val="0"/>
              <w:spacing w:after="0" w:line="240" w:lineRule="auto"/>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t stat.</w:t>
            </w:r>
          </w:p>
        </w:tc>
        <w:tc>
          <w:tcPr>
            <w:tcW w:w="709" w:type="dxa"/>
            <w:tcBorders>
              <w:top w:val="nil"/>
              <w:left w:val="nil"/>
              <w:bottom w:val="single" w:sz="4" w:space="0" w:color="auto"/>
              <w:right w:val="nil"/>
            </w:tcBorders>
            <w:shd w:val="clear" w:color="000000" w:fill="C00000"/>
            <w:noWrap/>
            <w:vAlign w:val="bottom"/>
            <w:hideMark/>
          </w:tcPr>
          <w:p w14:paraId="2076D960" w14:textId="77777777" w:rsidR="00451A3E" w:rsidRPr="00986F85" w:rsidRDefault="00451A3E" w:rsidP="00451A3E">
            <w:pPr>
              <w:suppressAutoHyphens w:val="0"/>
              <w:spacing w:after="0" w:line="240" w:lineRule="auto"/>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Érték</w:t>
            </w:r>
          </w:p>
        </w:tc>
        <w:tc>
          <w:tcPr>
            <w:tcW w:w="709" w:type="dxa"/>
            <w:tcBorders>
              <w:top w:val="nil"/>
              <w:left w:val="nil"/>
              <w:bottom w:val="single" w:sz="4" w:space="0" w:color="auto"/>
              <w:right w:val="single" w:sz="4" w:space="0" w:color="auto"/>
            </w:tcBorders>
            <w:shd w:val="clear" w:color="000000" w:fill="C00000"/>
            <w:noWrap/>
            <w:vAlign w:val="bottom"/>
            <w:hideMark/>
          </w:tcPr>
          <w:p w14:paraId="0A7DF4B9" w14:textId="77777777" w:rsidR="00451A3E" w:rsidRPr="00986F85" w:rsidRDefault="00451A3E" w:rsidP="00451A3E">
            <w:pPr>
              <w:suppressAutoHyphens w:val="0"/>
              <w:spacing w:after="0" w:line="240" w:lineRule="auto"/>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t stat.</w:t>
            </w:r>
          </w:p>
        </w:tc>
        <w:tc>
          <w:tcPr>
            <w:tcW w:w="709" w:type="dxa"/>
            <w:tcBorders>
              <w:top w:val="nil"/>
              <w:left w:val="nil"/>
              <w:bottom w:val="single" w:sz="4" w:space="0" w:color="auto"/>
              <w:right w:val="nil"/>
            </w:tcBorders>
            <w:shd w:val="clear" w:color="000000" w:fill="C00000"/>
            <w:noWrap/>
            <w:vAlign w:val="bottom"/>
            <w:hideMark/>
          </w:tcPr>
          <w:p w14:paraId="1D221435" w14:textId="77777777" w:rsidR="00451A3E" w:rsidRPr="00986F85" w:rsidRDefault="00451A3E" w:rsidP="00451A3E">
            <w:pPr>
              <w:suppressAutoHyphens w:val="0"/>
              <w:spacing w:after="0" w:line="240" w:lineRule="auto"/>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Érték</w:t>
            </w:r>
          </w:p>
        </w:tc>
        <w:tc>
          <w:tcPr>
            <w:tcW w:w="850" w:type="dxa"/>
            <w:tcBorders>
              <w:top w:val="nil"/>
              <w:left w:val="nil"/>
              <w:bottom w:val="single" w:sz="4" w:space="0" w:color="auto"/>
              <w:right w:val="nil"/>
            </w:tcBorders>
            <w:shd w:val="clear" w:color="000000" w:fill="C00000"/>
            <w:noWrap/>
            <w:vAlign w:val="bottom"/>
            <w:hideMark/>
          </w:tcPr>
          <w:p w14:paraId="3F6DF52B" w14:textId="77777777" w:rsidR="00451A3E" w:rsidRPr="00986F85" w:rsidRDefault="00451A3E" w:rsidP="00451A3E">
            <w:pPr>
              <w:suppressAutoHyphens w:val="0"/>
              <w:spacing w:after="0" w:line="240" w:lineRule="auto"/>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t stat.</w:t>
            </w:r>
          </w:p>
        </w:tc>
        <w:tc>
          <w:tcPr>
            <w:tcW w:w="851" w:type="dxa"/>
            <w:tcBorders>
              <w:top w:val="nil"/>
              <w:left w:val="nil"/>
              <w:bottom w:val="single" w:sz="4" w:space="0" w:color="auto"/>
              <w:right w:val="nil"/>
            </w:tcBorders>
            <w:shd w:val="clear" w:color="000000" w:fill="C00000"/>
            <w:noWrap/>
            <w:vAlign w:val="bottom"/>
            <w:hideMark/>
          </w:tcPr>
          <w:p w14:paraId="78634A22" w14:textId="77777777" w:rsidR="00451A3E" w:rsidRPr="00986F85" w:rsidRDefault="00451A3E" w:rsidP="00451A3E">
            <w:pPr>
              <w:suppressAutoHyphens w:val="0"/>
              <w:spacing w:after="0" w:line="240" w:lineRule="auto"/>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Érték</w:t>
            </w:r>
          </w:p>
        </w:tc>
        <w:tc>
          <w:tcPr>
            <w:tcW w:w="850" w:type="dxa"/>
            <w:tcBorders>
              <w:top w:val="nil"/>
              <w:left w:val="nil"/>
              <w:bottom w:val="single" w:sz="4" w:space="0" w:color="auto"/>
              <w:right w:val="nil"/>
            </w:tcBorders>
            <w:shd w:val="clear" w:color="000000" w:fill="C00000"/>
            <w:noWrap/>
            <w:vAlign w:val="bottom"/>
            <w:hideMark/>
          </w:tcPr>
          <w:p w14:paraId="1420008D" w14:textId="77777777" w:rsidR="00451A3E" w:rsidRPr="00986F85" w:rsidRDefault="00451A3E" w:rsidP="00451A3E">
            <w:pPr>
              <w:suppressAutoHyphens w:val="0"/>
              <w:spacing w:after="0" w:line="240" w:lineRule="auto"/>
              <w:rPr>
                <w:rFonts w:eastAsia="Times New Roman" w:cs="Times New Roman"/>
                <w:b/>
                <w:bCs/>
                <w:color w:val="FFFFFF"/>
                <w:sz w:val="18"/>
                <w:szCs w:val="18"/>
                <w:lang w:val="en-US" w:eastAsia="en-US"/>
              </w:rPr>
            </w:pPr>
            <w:r w:rsidRPr="00986F85">
              <w:rPr>
                <w:rFonts w:eastAsia="Times New Roman" w:cs="Times New Roman"/>
                <w:b/>
                <w:bCs/>
                <w:color w:val="FFFFFF"/>
                <w:sz w:val="18"/>
                <w:szCs w:val="18"/>
                <w:lang w:val="en-US" w:eastAsia="en-US"/>
              </w:rPr>
              <w:t>t stat.</w:t>
            </w:r>
          </w:p>
        </w:tc>
      </w:tr>
      <w:tr w:rsidR="00397D56" w:rsidRPr="00986F85" w14:paraId="13D5740A" w14:textId="77777777" w:rsidTr="009868C2">
        <w:trPr>
          <w:trHeight w:val="280"/>
        </w:trPr>
        <w:tc>
          <w:tcPr>
            <w:tcW w:w="1726" w:type="dxa"/>
            <w:tcBorders>
              <w:top w:val="nil"/>
              <w:left w:val="single" w:sz="4" w:space="0" w:color="auto"/>
              <w:bottom w:val="single" w:sz="4" w:space="0" w:color="auto"/>
              <w:right w:val="single" w:sz="4" w:space="0" w:color="auto"/>
            </w:tcBorders>
            <w:shd w:val="clear" w:color="auto" w:fill="auto"/>
            <w:vAlign w:val="center"/>
            <w:hideMark/>
          </w:tcPr>
          <w:p w14:paraId="6AE1137D" w14:textId="77777777" w:rsidR="00451A3E" w:rsidRPr="00986F85" w:rsidRDefault="00451A3E" w:rsidP="00451A3E">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xml:space="preserve">Nettó árbevétel </w:t>
            </w:r>
          </w:p>
        </w:tc>
        <w:tc>
          <w:tcPr>
            <w:tcW w:w="699" w:type="dxa"/>
            <w:tcBorders>
              <w:top w:val="nil"/>
              <w:left w:val="nil"/>
              <w:bottom w:val="single" w:sz="4" w:space="0" w:color="auto"/>
              <w:right w:val="single" w:sz="4" w:space="0" w:color="auto"/>
            </w:tcBorders>
            <w:shd w:val="clear" w:color="000000" w:fill="BFBFBF"/>
            <w:vAlign w:val="bottom"/>
            <w:hideMark/>
          </w:tcPr>
          <w:p w14:paraId="57B58A7C" w14:textId="77777777" w:rsidR="00451A3E" w:rsidRPr="00986F85" w:rsidRDefault="00451A3E" w:rsidP="00451A3E">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709" w:type="dxa"/>
            <w:gridSpan w:val="2"/>
            <w:tcBorders>
              <w:top w:val="nil"/>
              <w:left w:val="nil"/>
              <w:bottom w:val="single" w:sz="4" w:space="0" w:color="auto"/>
              <w:right w:val="single" w:sz="4" w:space="0" w:color="auto"/>
            </w:tcBorders>
            <w:shd w:val="clear" w:color="000000" w:fill="BFBFBF"/>
            <w:noWrap/>
            <w:vAlign w:val="bottom"/>
            <w:hideMark/>
          </w:tcPr>
          <w:p w14:paraId="6A8E9C6C" w14:textId="77777777" w:rsidR="00451A3E" w:rsidRPr="00986F85" w:rsidRDefault="00451A3E" w:rsidP="00451A3E">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709" w:type="dxa"/>
            <w:tcBorders>
              <w:top w:val="nil"/>
              <w:left w:val="nil"/>
              <w:bottom w:val="single" w:sz="4" w:space="0" w:color="auto"/>
              <w:right w:val="single" w:sz="4" w:space="0" w:color="auto"/>
            </w:tcBorders>
            <w:shd w:val="clear" w:color="000000" w:fill="BFBFBF"/>
            <w:noWrap/>
            <w:vAlign w:val="bottom"/>
            <w:hideMark/>
          </w:tcPr>
          <w:p w14:paraId="7C13D238" w14:textId="77777777" w:rsidR="00451A3E" w:rsidRPr="00986F85" w:rsidRDefault="00451A3E" w:rsidP="00451A3E">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708" w:type="dxa"/>
            <w:gridSpan w:val="2"/>
            <w:tcBorders>
              <w:top w:val="nil"/>
              <w:left w:val="nil"/>
              <w:bottom w:val="single" w:sz="4" w:space="0" w:color="auto"/>
              <w:right w:val="single" w:sz="4" w:space="0" w:color="auto"/>
            </w:tcBorders>
            <w:shd w:val="clear" w:color="000000" w:fill="BFBFBF"/>
            <w:noWrap/>
            <w:vAlign w:val="bottom"/>
            <w:hideMark/>
          </w:tcPr>
          <w:p w14:paraId="1F749945" w14:textId="77777777" w:rsidR="00451A3E" w:rsidRPr="00986F85" w:rsidRDefault="00451A3E" w:rsidP="00451A3E">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709" w:type="dxa"/>
            <w:gridSpan w:val="2"/>
            <w:tcBorders>
              <w:top w:val="nil"/>
              <w:left w:val="nil"/>
              <w:bottom w:val="single" w:sz="4" w:space="0" w:color="auto"/>
              <w:right w:val="single" w:sz="4" w:space="0" w:color="auto"/>
            </w:tcBorders>
            <w:shd w:val="clear" w:color="000000" w:fill="BFBFBF"/>
            <w:noWrap/>
            <w:vAlign w:val="bottom"/>
            <w:hideMark/>
          </w:tcPr>
          <w:p w14:paraId="5728A755" w14:textId="77777777" w:rsidR="00451A3E" w:rsidRPr="00986F85" w:rsidRDefault="00451A3E" w:rsidP="00451A3E">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709" w:type="dxa"/>
            <w:tcBorders>
              <w:top w:val="nil"/>
              <w:left w:val="nil"/>
              <w:bottom w:val="single" w:sz="4" w:space="0" w:color="auto"/>
              <w:right w:val="single" w:sz="4" w:space="0" w:color="auto"/>
            </w:tcBorders>
            <w:shd w:val="clear" w:color="000000" w:fill="BFBFBF"/>
            <w:noWrap/>
            <w:vAlign w:val="bottom"/>
            <w:hideMark/>
          </w:tcPr>
          <w:p w14:paraId="4DA85BB8" w14:textId="77777777" w:rsidR="00451A3E" w:rsidRPr="00986F85" w:rsidRDefault="00451A3E" w:rsidP="00451A3E">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709" w:type="dxa"/>
            <w:tcBorders>
              <w:top w:val="nil"/>
              <w:left w:val="nil"/>
              <w:bottom w:val="single" w:sz="4" w:space="0" w:color="auto"/>
              <w:right w:val="single" w:sz="4" w:space="0" w:color="auto"/>
            </w:tcBorders>
            <w:shd w:val="clear" w:color="000000" w:fill="BFBFBF"/>
            <w:noWrap/>
            <w:vAlign w:val="bottom"/>
            <w:hideMark/>
          </w:tcPr>
          <w:p w14:paraId="4ED374A4" w14:textId="77777777" w:rsidR="00451A3E" w:rsidRPr="00986F85" w:rsidRDefault="00451A3E" w:rsidP="00451A3E">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708" w:type="dxa"/>
            <w:tcBorders>
              <w:top w:val="nil"/>
              <w:left w:val="nil"/>
              <w:bottom w:val="single" w:sz="4" w:space="0" w:color="auto"/>
              <w:right w:val="single" w:sz="4" w:space="0" w:color="auto"/>
            </w:tcBorders>
            <w:shd w:val="clear" w:color="000000" w:fill="BFBFBF"/>
            <w:noWrap/>
            <w:vAlign w:val="bottom"/>
            <w:hideMark/>
          </w:tcPr>
          <w:p w14:paraId="212E8668" w14:textId="77777777" w:rsidR="00451A3E" w:rsidRPr="00986F85" w:rsidRDefault="00451A3E" w:rsidP="00451A3E">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851" w:type="dxa"/>
            <w:tcBorders>
              <w:top w:val="nil"/>
              <w:left w:val="nil"/>
              <w:bottom w:val="single" w:sz="4" w:space="0" w:color="auto"/>
              <w:right w:val="single" w:sz="4" w:space="0" w:color="auto"/>
            </w:tcBorders>
            <w:shd w:val="clear" w:color="000000" w:fill="BFBFBF"/>
            <w:noWrap/>
            <w:vAlign w:val="bottom"/>
            <w:hideMark/>
          </w:tcPr>
          <w:p w14:paraId="10E6FA8F" w14:textId="77777777" w:rsidR="00451A3E" w:rsidRPr="00986F85" w:rsidRDefault="00451A3E" w:rsidP="00451A3E">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850" w:type="dxa"/>
            <w:tcBorders>
              <w:top w:val="nil"/>
              <w:left w:val="nil"/>
              <w:bottom w:val="single" w:sz="4" w:space="0" w:color="auto"/>
              <w:right w:val="single" w:sz="4" w:space="0" w:color="auto"/>
            </w:tcBorders>
            <w:shd w:val="clear" w:color="000000" w:fill="BFBFBF"/>
            <w:noWrap/>
            <w:vAlign w:val="bottom"/>
            <w:hideMark/>
          </w:tcPr>
          <w:p w14:paraId="0826EAF6" w14:textId="77777777" w:rsidR="00451A3E" w:rsidRPr="00986F85" w:rsidRDefault="00451A3E" w:rsidP="00451A3E">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709" w:type="dxa"/>
            <w:tcBorders>
              <w:top w:val="nil"/>
              <w:left w:val="nil"/>
              <w:bottom w:val="single" w:sz="4" w:space="0" w:color="auto"/>
              <w:right w:val="single" w:sz="4" w:space="0" w:color="auto"/>
            </w:tcBorders>
            <w:shd w:val="clear" w:color="000000" w:fill="BFBFBF"/>
            <w:noWrap/>
            <w:vAlign w:val="bottom"/>
            <w:hideMark/>
          </w:tcPr>
          <w:p w14:paraId="58109CE2" w14:textId="77777777" w:rsidR="00451A3E" w:rsidRPr="00986F85" w:rsidRDefault="00451A3E" w:rsidP="00451A3E">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709" w:type="dxa"/>
            <w:tcBorders>
              <w:top w:val="nil"/>
              <w:left w:val="nil"/>
              <w:bottom w:val="single" w:sz="4" w:space="0" w:color="auto"/>
              <w:right w:val="single" w:sz="4" w:space="0" w:color="auto"/>
            </w:tcBorders>
            <w:shd w:val="clear" w:color="000000" w:fill="BFBFBF"/>
            <w:noWrap/>
            <w:vAlign w:val="bottom"/>
            <w:hideMark/>
          </w:tcPr>
          <w:p w14:paraId="105F68D0" w14:textId="77777777" w:rsidR="00451A3E" w:rsidRPr="00986F85" w:rsidRDefault="00451A3E" w:rsidP="00451A3E">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709" w:type="dxa"/>
            <w:tcBorders>
              <w:top w:val="nil"/>
              <w:left w:val="nil"/>
              <w:bottom w:val="single" w:sz="4" w:space="0" w:color="auto"/>
              <w:right w:val="single" w:sz="4" w:space="0" w:color="auto"/>
            </w:tcBorders>
            <w:shd w:val="clear" w:color="000000" w:fill="BFBFBF"/>
            <w:noWrap/>
            <w:vAlign w:val="bottom"/>
            <w:hideMark/>
          </w:tcPr>
          <w:p w14:paraId="3744BDD1" w14:textId="77777777" w:rsidR="00451A3E" w:rsidRPr="00986F85" w:rsidRDefault="00451A3E" w:rsidP="00451A3E">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850" w:type="dxa"/>
            <w:tcBorders>
              <w:top w:val="nil"/>
              <w:left w:val="nil"/>
              <w:bottom w:val="single" w:sz="4" w:space="0" w:color="auto"/>
              <w:right w:val="single" w:sz="4" w:space="0" w:color="auto"/>
            </w:tcBorders>
            <w:shd w:val="clear" w:color="000000" w:fill="BFBFBF"/>
            <w:noWrap/>
            <w:vAlign w:val="bottom"/>
            <w:hideMark/>
          </w:tcPr>
          <w:p w14:paraId="6332D4FD" w14:textId="77777777" w:rsidR="00451A3E" w:rsidRPr="00986F85" w:rsidRDefault="00451A3E" w:rsidP="00451A3E">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851" w:type="dxa"/>
            <w:tcBorders>
              <w:top w:val="nil"/>
              <w:left w:val="nil"/>
              <w:bottom w:val="single" w:sz="4" w:space="0" w:color="auto"/>
              <w:right w:val="single" w:sz="4" w:space="0" w:color="auto"/>
            </w:tcBorders>
            <w:shd w:val="clear" w:color="000000" w:fill="BFBFBF"/>
            <w:noWrap/>
            <w:vAlign w:val="bottom"/>
            <w:hideMark/>
          </w:tcPr>
          <w:p w14:paraId="3021D47D" w14:textId="77777777" w:rsidR="00451A3E" w:rsidRPr="00986F85" w:rsidRDefault="00451A3E" w:rsidP="00451A3E">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850" w:type="dxa"/>
            <w:tcBorders>
              <w:top w:val="nil"/>
              <w:left w:val="nil"/>
              <w:bottom w:val="single" w:sz="4" w:space="0" w:color="auto"/>
              <w:right w:val="single" w:sz="4" w:space="0" w:color="auto"/>
            </w:tcBorders>
            <w:shd w:val="clear" w:color="000000" w:fill="BFBFBF"/>
            <w:noWrap/>
            <w:vAlign w:val="bottom"/>
            <w:hideMark/>
          </w:tcPr>
          <w:p w14:paraId="1CE18C70" w14:textId="77777777" w:rsidR="00451A3E" w:rsidRPr="00986F85" w:rsidRDefault="00451A3E" w:rsidP="00451A3E">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r>
      <w:tr w:rsidR="00397D56" w:rsidRPr="00986F85" w14:paraId="5DD379BF" w14:textId="77777777" w:rsidTr="009868C2">
        <w:trPr>
          <w:trHeight w:val="280"/>
        </w:trPr>
        <w:tc>
          <w:tcPr>
            <w:tcW w:w="1726" w:type="dxa"/>
            <w:tcBorders>
              <w:top w:val="nil"/>
              <w:left w:val="single" w:sz="4" w:space="0" w:color="auto"/>
              <w:bottom w:val="single" w:sz="4" w:space="0" w:color="auto"/>
              <w:right w:val="single" w:sz="4" w:space="0" w:color="auto"/>
            </w:tcBorders>
            <w:shd w:val="clear" w:color="auto" w:fill="auto"/>
            <w:vAlign w:val="center"/>
            <w:hideMark/>
          </w:tcPr>
          <w:p w14:paraId="7ED164D1" w14:textId="77777777" w:rsidR="00451A3E" w:rsidRPr="00986F85" w:rsidRDefault="00451A3E" w:rsidP="00451A3E">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Egy főre jutó nettó árbevétel</w:t>
            </w:r>
          </w:p>
        </w:tc>
        <w:tc>
          <w:tcPr>
            <w:tcW w:w="699" w:type="dxa"/>
            <w:tcBorders>
              <w:top w:val="nil"/>
              <w:left w:val="nil"/>
              <w:bottom w:val="single" w:sz="4" w:space="0" w:color="auto"/>
              <w:right w:val="single" w:sz="4" w:space="0" w:color="auto"/>
            </w:tcBorders>
            <w:shd w:val="clear" w:color="000000" w:fill="BFBFBF"/>
            <w:vAlign w:val="bottom"/>
            <w:hideMark/>
          </w:tcPr>
          <w:p w14:paraId="4215A72D" w14:textId="77777777" w:rsidR="00451A3E" w:rsidRPr="00986F85" w:rsidRDefault="00451A3E" w:rsidP="00451A3E">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709" w:type="dxa"/>
            <w:gridSpan w:val="2"/>
            <w:tcBorders>
              <w:top w:val="nil"/>
              <w:left w:val="nil"/>
              <w:bottom w:val="single" w:sz="4" w:space="0" w:color="auto"/>
              <w:right w:val="single" w:sz="4" w:space="0" w:color="auto"/>
            </w:tcBorders>
            <w:shd w:val="clear" w:color="000000" w:fill="BFBFBF"/>
            <w:noWrap/>
            <w:vAlign w:val="bottom"/>
            <w:hideMark/>
          </w:tcPr>
          <w:p w14:paraId="53BB4FEC" w14:textId="77777777" w:rsidR="00451A3E" w:rsidRPr="00986F85" w:rsidRDefault="00451A3E" w:rsidP="00451A3E">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709" w:type="dxa"/>
            <w:tcBorders>
              <w:top w:val="nil"/>
              <w:left w:val="nil"/>
              <w:bottom w:val="single" w:sz="4" w:space="0" w:color="auto"/>
              <w:right w:val="single" w:sz="4" w:space="0" w:color="auto"/>
            </w:tcBorders>
            <w:shd w:val="clear" w:color="000000" w:fill="BFBFBF"/>
            <w:noWrap/>
            <w:vAlign w:val="bottom"/>
            <w:hideMark/>
          </w:tcPr>
          <w:p w14:paraId="53F60420" w14:textId="77777777" w:rsidR="00451A3E" w:rsidRPr="00986F85" w:rsidRDefault="00451A3E" w:rsidP="00451A3E">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708" w:type="dxa"/>
            <w:gridSpan w:val="2"/>
            <w:tcBorders>
              <w:top w:val="nil"/>
              <w:left w:val="nil"/>
              <w:bottom w:val="single" w:sz="4" w:space="0" w:color="auto"/>
              <w:right w:val="single" w:sz="4" w:space="0" w:color="auto"/>
            </w:tcBorders>
            <w:shd w:val="clear" w:color="000000" w:fill="BFBFBF"/>
            <w:noWrap/>
            <w:vAlign w:val="bottom"/>
            <w:hideMark/>
          </w:tcPr>
          <w:p w14:paraId="20090EFA" w14:textId="77777777" w:rsidR="00451A3E" w:rsidRPr="00986F85" w:rsidRDefault="00451A3E" w:rsidP="00451A3E">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709" w:type="dxa"/>
            <w:gridSpan w:val="2"/>
            <w:tcBorders>
              <w:top w:val="nil"/>
              <w:left w:val="nil"/>
              <w:bottom w:val="single" w:sz="4" w:space="0" w:color="auto"/>
              <w:right w:val="single" w:sz="4" w:space="0" w:color="auto"/>
            </w:tcBorders>
            <w:shd w:val="clear" w:color="000000" w:fill="BFBFBF"/>
            <w:noWrap/>
            <w:vAlign w:val="bottom"/>
            <w:hideMark/>
          </w:tcPr>
          <w:p w14:paraId="16904E03" w14:textId="77777777" w:rsidR="00451A3E" w:rsidRPr="00986F85" w:rsidRDefault="00451A3E" w:rsidP="00451A3E">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709" w:type="dxa"/>
            <w:tcBorders>
              <w:top w:val="nil"/>
              <w:left w:val="nil"/>
              <w:bottom w:val="single" w:sz="4" w:space="0" w:color="auto"/>
              <w:right w:val="single" w:sz="4" w:space="0" w:color="auto"/>
            </w:tcBorders>
            <w:shd w:val="clear" w:color="000000" w:fill="BFBFBF"/>
            <w:noWrap/>
            <w:vAlign w:val="bottom"/>
            <w:hideMark/>
          </w:tcPr>
          <w:p w14:paraId="390D7D9E" w14:textId="77777777" w:rsidR="00451A3E" w:rsidRPr="00986F85" w:rsidRDefault="00451A3E" w:rsidP="00451A3E">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709" w:type="dxa"/>
            <w:tcBorders>
              <w:top w:val="nil"/>
              <w:left w:val="nil"/>
              <w:bottom w:val="single" w:sz="4" w:space="0" w:color="auto"/>
              <w:right w:val="single" w:sz="4" w:space="0" w:color="auto"/>
            </w:tcBorders>
            <w:shd w:val="clear" w:color="000000" w:fill="BFBFBF"/>
            <w:noWrap/>
            <w:vAlign w:val="bottom"/>
            <w:hideMark/>
          </w:tcPr>
          <w:p w14:paraId="5598D689" w14:textId="77777777" w:rsidR="00451A3E" w:rsidRPr="00986F85" w:rsidRDefault="00451A3E" w:rsidP="00451A3E">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708" w:type="dxa"/>
            <w:tcBorders>
              <w:top w:val="nil"/>
              <w:left w:val="nil"/>
              <w:bottom w:val="single" w:sz="4" w:space="0" w:color="auto"/>
              <w:right w:val="single" w:sz="4" w:space="0" w:color="auto"/>
            </w:tcBorders>
            <w:shd w:val="clear" w:color="000000" w:fill="BFBFBF"/>
            <w:noWrap/>
            <w:vAlign w:val="bottom"/>
            <w:hideMark/>
          </w:tcPr>
          <w:p w14:paraId="636B3230" w14:textId="77777777" w:rsidR="00451A3E" w:rsidRPr="00986F85" w:rsidRDefault="00451A3E" w:rsidP="00451A3E">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851" w:type="dxa"/>
            <w:tcBorders>
              <w:top w:val="nil"/>
              <w:left w:val="nil"/>
              <w:bottom w:val="single" w:sz="4" w:space="0" w:color="auto"/>
              <w:right w:val="single" w:sz="4" w:space="0" w:color="auto"/>
            </w:tcBorders>
            <w:shd w:val="clear" w:color="000000" w:fill="BFBFBF"/>
            <w:noWrap/>
            <w:vAlign w:val="bottom"/>
            <w:hideMark/>
          </w:tcPr>
          <w:p w14:paraId="22715546" w14:textId="77777777" w:rsidR="00451A3E" w:rsidRPr="00986F85" w:rsidRDefault="00451A3E" w:rsidP="00451A3E">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850" w:type="dxa"/>
            <w:tcBorders>
              <w:top w:val="nil"/>
              <w:left w:val="nil"/>
              <w:bottom w:val="single" w:sz="4" w:space="0" w:color="auto"/>
              <w:right w:val="single" w:sz="4" w:space="0" w:color="auto"/>
            </w:tcBorders>
            <w:shd w:val="clear" w:color="000000" w:fill="BFBFBF"/>
            <w:noWrap/>
            <w:vAlign w:val="bottom"/>
            <w:hideMark/>
          </w:tcPr>
          <w:p w14:paraId="70E11F3D" w14:textId="77777777" w:rsidR="00451A3E" w:rsidRPr="00986F85" w:rsidRDefault="00451A3E" w:rsidP="00451A3E">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709" w:type="dxa"/>
            <w:tcBorders>
              <w:top w:val="nil"/>
              <w:left w:val="nil"/>
              <w:bottom w:val="single" w:sz="4" w:space="0" w:color="auto"/>
              <w:right w:val="single" w:sz="4" w:space="0" w:color="auto"/>
            </w:tcBorders>
            <w:shd w:val="clear" w:color="000000" w:fill="BFBFBF"/>
            <w:noWrap/>
            <w:vAlign w:val="bottom"/>
            <w:hideMark/>
          </w:tcPr>
          <w:p w14:paraId="07786BF0" w14:textId="77777777" w:rsidR="00451A3E" w:rsidRPr="00986F85" w:rsidRDefault="00451A3E" w:rsidP="00451A3E">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709" w:type="dxa"/>
            <w:tcBorders>
              <w:top w:val="nil"/>
              <w:left w:val="nil"/>
              <w:bottom w:val="single" w:sz="4" w:space="0" w:color="auto"/>
              <w:right w:val="single" w:sz="4" w:space="0" w:color="auto"/>
            </w:tcBorders>
            <w:shd w:val="clear" w:color="000000" w:fill="BFBFBF"/>
            <w:noWrap/>
            <w:vAlign w:val="bottom"/>
            <w:hideMark/>
          </w:tcPr>
          <w:p w14:paraId="31D18492" w14:textId="77777777" w:rsidR="00451A3E" w:rsidRPr="00986F85" w:rsidRDefault="00451A3E" w:rsidP="00451A3E">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709" w:type="dxa"/>
            <w:tcBorders>
              <w:top w:val="nil"/>
              <w:left w:val="nil"/>
              <w:bottom w:val="single" w:sz="4" w:space="0" w:color="auto"/>
              <w:right w:val="single" w:sz="4" w:space="0" w:color="auto"/>
            </w:tcBorders>
            <w:shd w:val="clear" w:color="000000" w:fill="BFBFBF"/>
            <w:noWrap/>
            <w:vAlign w:val="bottom"/>
            <w:hideMark/>
          </w:tcPr>
          <w:p w14:paraId="4DD79939" w14:textId="77777777" w:rsidR="00451A3E" w:rsidRPr="00986F85" w:rsidRDefault="00451A3E" w:rsidP="00451A3E">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850" w:type="dxa"/>
            <w:tcBorders>
              <w:top w:val="nil"/>
              <w:left w:val="nil"/>
              <w:bottom w:val="single" w:sz="4" w:space="0" w:color="auto"/>
              <w:right w:val="single" w:sz="4" w:space="0" w:color="auto"/>
            </w:tcBorders>
            <w:shd w:val="clear" w:color="000000" w:fill="BFBFBF"/>
            <w:noWrap/>
            <w:vAlign w:val="bottom"/>
            <w:hideMark/>
          </w:tcPr>
          <w:p w14:paraId="631E04C9" w14:textId="77777777" w:rsidR="00451A3E" w:rsidRPr="00986F85" w:rsidRDefault="00451A3E" w:rsidP="00451A3E">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851" w:type="dxa"/>
            <w:tcBorders>
              <w:top w:val="nil"/>
              <w:left w:val="nil"/>
              <w:bottom w:val="single" w:sz="4" w:space="0" w:color="auto"/>
              <w:right w:val="single" w:sz="4" w:space="0" w:color="auto"/>
            </w:tcBorders>
            <w:shd w:val="clear" w:color="000000" w:fill="BFBFBF"/>
            <w:noWrap/>
            <w:vAlign w:val="bottom"/>
            <w:hideMark/>
          </w:tcPr>
          <w:p w14:paraId="11AA6E23" w14:textId="77777777" w:rsidR="00451A3E" w:rsidRPr="00986F85" w:rsidRDefault="00451A3E" w:rsidP="00451A3E">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850" w:type="dxa"/>
            <w:tcBorders>
              <w:top w:val="nil"/>
              <w:left w:val="nil"/>
              <w:bottom w:val="single" w:sz="4" w:space="0" w:color="auto"/>
              <w:right w:val="single" w:sz="4" w:space="0" w:color="auto"/>
            </w:tcBorders>
            <w:shd w:val="clear" w:color="000000" w:fill="BFBFBF"/>
            <w:noWrap/>
            <w:vAlign w:val="bottom"/>
            <w:hideMark/>
          </w:tcPr>
          <w:p w14:paraId="524FE365" w14:textId="77777777" w:rsidR="00451A3E" w:rsidRPr="00986F85" w:rsidRDefault="00451A3E" w:rsidP="00451A3E">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r>
      <w:tr w:rsidR="00397D56" w:rsidRPr="00986F85" w14:paraId="51D25496" w14:textId="77777777" w:rsidTr="009868C2">
        <w:trPr>
          <w:trHeight w:val="440"/>
        </w:trPr>
        <w:tc>
          <w:tcPr>
            <w:tcW w:w="1726" w:type="dxa"/>
            <w:tcBorders>
              <w:top w:val="nil"/>
              <w:left w:val="single" w:sz="4" w:space="0" w:color="auto"/>
              <w:bottom w:val="single" w:sz="4" w:space="0" w:color="auto"/>
              <w:right w:val="single" w:sz="4" w:space="0" w:color="auto"/>
            </w:tcBorders>
            <w:shd w:val="clear" w:color="auto" w:fill="auto"/>
            <w:vAlign w:val="center"/>
            <w:hideMark/>
          </w:tcPr>
          <w:p w14:paraId="14F28F59" w14:textId="77777777" w:rsidR="00451A3E" w:rsidRPr="00986F85" w:rsidRDefault="00451A3E" w:rsidP="00451A3E">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Üzemi, üzleti tevékenység eredménye</w:t>
            </w:r>
          </w:p>
        </w:tc>
        <w:tc>
          <w:tcPr>
            <w:tcW w:w="699" w:type="dxa"/>
            <w:tcBorders>
              <w:top w:val="nil"/>
              <w:left w:val="nil"/>
              <w:bottom w:val="single" w:sz="4" w:space="0" w:color="auto"/>
              <w:right w:val="single" w:sz="4" w:space="0" w:color="auto"/>
            </w:tcBorders>
            <w:shd w:val="clear" w:color="000000" w:fill="BFBFBF"/>
            <w:vAlign w:val="bottom"/>
            <w:hideMark/>
          </w:tcPr>
          <w:p w14:paraId="3871FF95" w14:textId="77777777" w:rsidR="00451A3E" w:rsidRPr="00986F85" w:rsidRDefault="00451A3E" w:rsidP="00451A3E">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709" w:type="dxa"/>
            <w:gridSpan w:val="2"/>
            <w:tcBorders>
              <w:top w:val="nil"/>
              <w:left w:val="nil"/>
              <w:bottom w:val="single" w:sz="4" w:space="0" w:color="auto"/>
              <w:right w:val="single" w:sz="4" w:space="0" w:color="auto"/>
            </w:tcBorders>
            <w:shd w:val="clear" w:color="000000" w:fill="BFBFBF"/>
            <w:noWrap/>
            <w:vAlign w:val="bottom"/>
            <w:hideMark/>
          </w:tcPr>
          <w:p w14:paraId="0866BE17" w14:textId="77777777" w:rsidR="00451A3E" w:rsidRPr="00986F85" w:rsidRDefault="00451A3E" w:rsidP="00451A3E">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709" w:type="dxa"/>
            <w:tcBorders>
              <w:top w:val="nil"/>
              <w:left w:val="nil"/>
              <w:bottom w:val="single" w:sz="4" w:space="0" w:color="auto"/>
              <w:right w:val="single" w:sz="4" w:space="0" w:color="auto"/>
            </w:tcBorders>
            <w:shd w:val="clear" w:color="000000" w:fill="BFBFBF"/>
            <w:noWrap/>
            <w:vAlign w:val="bottom"/>
            <w:hideMark/>
          </w:tcPr>
          <w:p w14:paraId="68972C5B" w14:textId="77777777" w:rsidR="00451A3E" w:rsidRPr="00986F85" w:rsidRDefault="00451A3E" w:rsidP="00451A3E">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708" w:type="dxa"/>
            <w:gridSpan w:val="2"/>
            <w:tcBorders>
              <w:top w:val="nil"/>
              <w:left w:val="nil"/>
              <w:bottom w:val="single" w:sz="4" w:space="0" w:color="auto"/>
              <w:right w:val="single" w:sz="4" w:space="0" w:color="auto"/>
            </w:tcBorders>
            <w:shd w:val="clear" w:color="000000" w:fill="BFBFBF"/>
            <w:noWrap/>
            <w:vAlign w:val="bottom"/>
            <w:hideMark/>
          </w:tcPr>
          <w:p w14:paraId="0A8D7B26" w14:textId="77777777" w:rsidR="00451A3E" w:rsidRPr="00986F85" w:rsidRDefault="00451A3E" w:rsidP="00451A3E">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0BA1D58" w14:textId="77777777" w:rsidR="00451A3E" w:rsidRPr="00986F85" w:rsidRDefault="00451A3E" w:rsidP="00451A3E">
            <w:pPr>
              <w:suppressAutoHyphens w:val="0"/>
              <w:spacing w:after="0" w:line="240" w:lineRule="auto"/>
              <w:jc w:val="right"/>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22182.83</w:t>
            </w:r>
          </w:p>
        </w:tc>
        <w:tc>
          <w:tcPr>
            <w:tcW w:w="709" w:type="dxa"/>
            <w:tcBorders>
              <w:top w:val="nil"/>
              <w:left w:val="nil"/>
              <w:bottom w:val="single" w:sz="4" w:space="0" w:color="auto"/>
              <w:right w:val="single" w:sz="4" w:space="0" w:color="auto"/>
            </w:tcBorders>
            <w:shd w:val="clear" w:color="000000" w:fill="FFFFFF"/>
            <w:noWrap/>
            <w:vAlign w:val="bottom"/>
            <w:hideMark/>
          </w:tcPr>
          <w:p w14:paraId="2F04B02E" w14:textId="77777777" w:rsidR="00451A3E" w:rsidRPr="00986F85" w:rsidRDefault="00451A3E" w:rsidP="00451A3E">
            <w:pPr>
              <w:suppressAutoHyphens w:val="0"/>
              <w:spacing w:after="0" w:line="240" w:lineRule="auto"/>
              <w:jc w:val="right"/>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4.78</w:t>
            </w:r>
          </w:p>
        </w:tc>
        <w:tc>
          <w:tcPr>
            <w:tcW w:w="709" w:type="dxa"/>
            <w:tcBorders>
              <w:top w:val="nil"/>
              <w:left w:val="nil"/>
              <w:bottom w:val="single" w:sz="4" w:space="0" w:color="auto"/>
              <w:right w:val="single" w:sz="4" w:space="0" w:color="auto"/>
            </w:tcBorders>
            <w:shd w:val="clear" w:color="000000" w:fill="BFBFBF"/>
            <w:noWrap/>
            <w:vAlign w:val="bottom"/>
            <w:hideMark/>
          </w:tcPr>
          <w:p w14:paraId="61E7AE40" w14:textId="77777777" w:rsidR="00451A3E" w:rsidRPr="00986F85" w:rsidRDefault="00451A3E" w:rsidP="00451A3E">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708" w:type="dxa"/>
            <w:tcBorders>
              <w:top w:val="nil"/>
              <w:left w:val="nil"/>
              <w:bottom w:val="single" w:sz="4" w:space="0" w:color="auto"/>
              <w:right w:val="single" w:sz="4" w:space="0" w:color="auto"/>
            </w:tcBorders>
            <w:shd w:val="clear" w:color="000000" w:fill="BFBFBF"/>
            <w:noWrap/>
            <w:vAlign w:val="bottom"/>
            <w:hideMark/>
          </w:tcPr>
          <w:p w14:paraId="1014A96A" w14:textId="77777777" w:rsidR="00451A3E" w:rsidRPr="00986F85" w:rsidRDefault="00451A3E" w:rsidP="00451A3E">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851" w:type="dxa"/>
            <w:tcBorders>
              <w:top w:val="nil"/>
              <w:left w:val="nil"/>
              <w:bottom w:val="single" w:sz="4" w:space="0" w:color="auto"/>
              <w:right w:val="single" w:sz="4" w:space="0" w:color="auto"/>
            </w:tcBorders>
            <w:shd w:val="clear" w:color="000000" w:fill="BFBFBF"/>
            <w:noWrap/>
            <w:vAlign w:val="bottom"/>
            <w:hideMark/>
          </w:tcPr>
          <w:p w14:paraId="03B40B06" w14:textId="77777777" w:rsidR="00451A3E" w:rsidRPr="00986F85" w:rsidRDefault="00451A3E" w:rsidP="00451A3E">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850" w:type="dxa"/>
            <w:tcBorders>
              <w:top w:val="nil"/>
              <w:left w:val="nil"/>
              <w:bottom w:val="single" w:sz="4" w:space="0" w:color="auto"/>
              <w:right w:val="single" w:sz="4" w:space="0" w:color="auto"/>
            </w:tcBorders>
            <w:shd w:val="clear" w:color="000000" w:fill="BFBFBF"/>
            <w:noWrap/>
            <w:vAlign w:val="bottom"/>
            <w:hideMark/>
          </w:tcPr>
          <w:p w14:paraId="2D178B8B" w14:textId="77777777" w:rsidR="00451A3E" w:rsidRPr="00986F85" w:rsidRDefault="00451A3E" w:rsidP="00451A3E">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709" w:type="dxa"/>
            <w:tcBorders>
              <w:top w:val="nil"/>
              <w:left w:val="nil"/>
              <w:bottom w:val="single" w:sz="4" w:space="0" w:color="auto"/>
              <w:right w:val="single" w:sz="4" w:space="0" w:color="auto"/>
            </w:tcBorders>
            <w:shd w:val="clear" w:color="000000" w:fill="BFBFBF"/>
            <w:noWrap/>
            <w:vAlign w:val="bottom"/>
            <w:hideMark/>
          </w:tcPr>
          <w:p w14:paraId="7B512D55" w14:textId="77777777" w:rsidR="00451A3E" w:rsidRPr="00986F85" w:rsidRDefault="00451A3E" w:rsidP="00451A3E">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709" w:type="dxa"/>
            <w:tcBorders>
              <w:top w:val="nil"/>
              <w:left w:val="nil"/>
              <w:bottom w:val="single" w:sz="4" w:space="0" w:color="auto"/>
              <w:right w:val="single" w:sz="4" w:space="0" w:color="auto"/>
            </w:tcBorders>
            <w:shd w:val="clear" w:color="000000" w:fill="BFBFBF"/>
            <w:noWrap/>
            <w:vAlign w:val="bottom"/>
            <w:hideMark/>
          </w:tcPr>
          <w:p w14:paraId="74450DE9" w14:textId="77777777" w:rsidR="00451A3E" w:rsidRPr="00986F85" w:rsidRDefault="00451A3E" w:rsidP="00451A3E">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709" w:type="dxa"/>
            <w:tcBorders>
              <w:top w:val="nil"/>
              <w:left w:val="nil"/>
              <w:bottom w:val="single" w:sz="4" w:space="0" w:color="auto"/>
              <w:right w:val="single" w:sz="4" w:space="0" w:color="auto"/>
            </w:tcBorders>
            <w:shd w:val="clear" w:color="000000" w:fill="BFBFBF"/>
            <w:noWrap/>
            <w:vAlign w:val="bottom"/>
            <w:hideMark/>
          </w:tcPr>
          <w:p w14:paraId="1833A38D" w14:textId="77777777" w:rsidR="00451A3E" w:rsidRPr="00986F85" w:rsidRDefault="00451A3E" w:rsidP="00451A3E">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850" w:type="dxa"/>
            <w:tcBorders>
              <w:top w:val="nil"/>
              <w:left w:val="nil"/>
              <w:bottom w:val="single" w:sz="4" w:space="0" w:color="auto"/>
              <w:right w:val="single" w:sz="4" w:space="0" w:color="auto"/>
            </w:tcBorders>
            <w:shd w:val="clear" w:color="000000" w:fill="BFBFBF"/>
            <w:noWrap/>
            <w:vAlign w:val="bottom"/>
            <w:hideMark/>
          </w:tcPr>
          <w:p w14:paraId="10160E19" w14:textId="77777777" w:rsidR="00451A3E" w:rsidRPr="00986F85" w:rsidRDefault="00451A3E" w:rsidP="00451A3E">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851" w:type="dxa"/>
            <w:tcBorders>
              <w:top w:val="nil"/>
              <w:left w:val="nil"/>
              <w:bottom w:val="single" w:sz="4" w:space="0" w:color="auto"/>
              <w:right w:val="single" w:sz="4" w:space="0" w:color="auto"/>
            </w:tcBorders>
            <w:shd w:val="clear" w:color="000000" w:fill="BFBFBF"/>
            <w:noWrap/>
            <w:vAlign w:val="bottom"/>
            <w:hideMark/>
          </w:tcPr>
          <w:p w14:paraId="39279F90" w14:textId="77777777" w:rsidR="00451A3E" w:rsidRPr="00986F85" w:rsidRDefault="00451A3E" w:rsidP="00451A3E">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850" w:type="dxa"/>
            <w:tcBorders>
              <w:top w:val="nil"/>
              <w:left w:val="nil"/>
              <w:bottom w:val="single" w:sz="4" w:space="0" w:color="auto"/>
              <w:right w:val="single" w:sz="4" w:space="0" w:color="auto"/>
            </w:tcBorders>
            <w:shd w:val="clear" w:color="000000" w:fill="BFBFBF"/>
            <w:noWrap/>
            <w:vAlign w:val="bottom"/>
            <w:hideMark/>
          </w:tcPr>
          <w:p w14:paraId="40211FEB" w14:textId="77777777" w:rsidR="00451A3E" w:rsidRPr="00986F85" w:rsidRDefault="00451A3E" w:rsidP="00451A3E">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r>
      <w:tr w:rsidR="00397D56" w:rsidRPr="00986F85" w14:paraId="07F90BE4" w14:textId="77777777" w:rsidTr="009868C2">
        <w:trPr>
          <w:trHeight w:val="440"/>
        </w:trPr>
        <w:tc>
          <w:tcPr>
            <w:tcW w:w="1726" w:type="dxa"/>
            <w:tcBorders>
              <w:top w:val="nil"/>
              <w:left w:val="single" w:sz="4" w:space="0" w:color="auto"/>
              <w:bottom w:val="single" w:sz="4" w:space="0" w:color="auto"/>
              <w:right w:val="single" w:sz="4" w:space="0" w:color="auto"/>
            </w:tcBorders>
            <w:shd w:val="clear" w:color="auto" w:fill="auto"/>
            <w:vAlign w:val="center"/>
            <w:hideMark/>
          </w:tcPr>
          <w:p w14:paraId="0D03CCA5" w14:textId="77777777" w:rsidR="00451A3E" w:rsidRPr="00986F85" w:rsidRDefault="00451A3E" w:rsidP="00451A3E">
            <w:pPr>
              <w:suppressAutoHyphens w:val="0"/>
              <w:spacing w:after="0" w:line="240" w:lineRule="auto"/>
              <w:rPr>
                <w:rFonts w:eastAsia="Times New Roman" w:cs="Times New Roman"/>
                <w:b/>
                <w:bCs/>
                <w:color w:val="000000"/>
                <w:sz w:val="16"/>
                <w:szCs w:val="16"/>
                <w:lang w:eastAsia="en-US"/>
              </w:rPr>
            </w:pPr>
            <w:r w:rsidRPr="00986F85">
              <w:rPr>
                <w:rFonts w:eastAsia="Times New Roman" w:cs="Times New Roman"/>
                <w:b/>
                <w:bCs/>
                <w:color w:val="000000"/>
                <w:sz w:val="16"/>
                <w:szCs w:val="16"/>
                <w:lang w:eastAsia="en-US"/>
              </w:rPr>
              <w:t>Egy főre jutó üzemi, üzleti tevékenység eredménye</w:t>
            </w:r>
          </w:p>
        </w:tc>
        <w:tc>
          <w:tcPr>
            <w:tcW w:w="699" w:type="dxa"/>
            <w:tcBorders>
              <w:top w:val="nil"/>
              <w:left w:val="nil"/>
              <w:bottom w:val="single" w:sz="4" w:space="0" w:color="auto"/>
              <w:right w:val="single" w:sz="4" w:space="0" w:color="auto"/>
            </w:tcBorders>
            <w:shd w:val="clear" w:color="000000" w:fill="BFBFBF"/>
            <w:vAlign w:val="bottom"/>
            <w:hideMark/>
          </w:tcPr>
          <w:p w14:paraId="65CE9AB9" w14:textId="77777777" w:rsidR="00451A3E" w:rsidRPr="00986F85" w:rsidRDefault="00451A3E" w:rsidP="00451A3E">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709" w:type="dxa"/>
            <w:gridSpan w:val="2"/>
            <w:tcBorders>
              <w:top w:val="nil"/>
              <w:left w:val="nil"/>
              <w:bottom w:val="single" w:sz="4" w:space="0" w:color="auto"/>
              <w:right w:val="single" w:sz="4" w:space="0" w:color="auto"/>
            </w:tcBorders>
            <w:shd w:val="clear" w:color="000000" w:fill="BFBFBF"/>
            <w:noWrap/>
            <w:vAlign w:val="bottom"/>
            <w:hideMark/>
          </w:tcPr>
          <w:p w14:paraId="4212A1AB" w14:textId="77777777" w:rsidR="00451A3E" w:rsidRPr="00986F85" w:rsidRDefault="00451A3E" w:rsidP="00451A3E">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5FD0FDA1" w14:textId="77777777" w:rsidR="00451A3E" w:rsidRPr="00986F85" w:rsidRDefault="00451A3E" w:rsidP="00451A3E">
            <w:pPr>
              <w:suppressAutoHyphens w:val="0"/>
              <w:spacing w:after="0" w:line="240" w:lineRule="auto"/>
              <w:jc w:val="right"/>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442.82769</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14:paraId="6F9EE187" w14:textId="77777777" w:rsidR="00451A3E" w:rsidRPr="00986F85" w:rsidRDefault="00451A3E" w:rsidP="00451A3E">
            <w:pPr>
              <w:suppressAutoHyphens w:val="0"/>
              <w:spacing w:after="0" w:line="240" w:lineRule="auto"/>
              <w:jc w:val="right"/>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2.07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3D3EE24B" w14:textId="77777777" w:rsidR="00451A3E" w:rsidRPr="00986F85" w:rsidRDefault="00451A3E" w:rsidP="00451A3E">
            <w:pPr>
              <w:suppressAutoHyphens w:val="0"/>
              <w:spacing w:after="0" w:line="240" w:lineRule="auto"/>
              <w:jc w:val="right"/>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614.670372</w:t>
            </w:r>
          </w:p>
        </w:tc>
        <w:tc>
          <w:tcPr>
            <w:tcW w:w="709" w:type="dxa"/>
            <w:tcBorders>
              <w:top w:val="nil"/>
              <w:left w:val="nil"/>
              <w:bottom w:val="single" w:sz="4" w:space="0" w:color="auto"/>
              <w:right w:val="single" w:sz="4" w:space="0" w:color="auto"/>
            </w:tcBorders>
            <w:shd w:val="clear" w:color="000000" w:fill="FFFFFF"/>
            <w:noWrap/>
            <w:vAlign w:val="bottom"/>
            <w:hideMark/>
          </w:tcPr>
          <w:p w14:paraId="307C209A" w14:textId="77777777" w:rsidR="00451A3E" w:rsidRPr="00986F85" w:rsidRDefault="00451A3E" w:rsidP="00451A3E">
            <w:pPr>
              <w:suppressAutoHyphens w:val="0"/>
              <w:spacing w:after="0" w:line="240" w:lineRule="auto"/>
              <w:jc w:val="right"/>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2.37</w:t>
            </w:r>
          </w:p>
        </w:tc>
        <w:tc>
          <w:tcPr>
            <w:tcW w:w="709" w:type="dxa"/>
            <w:tcBorders>
              <w:top w:val="nil"/>
              <w:left w:val="nil"/>
              <w:bottom w:val="single" w:sz="4" w:space="0" w:color="auto"/>
              <w:right w:val="single" w:sz="4" w:space="0" w:color="auto"/>
            </w:tcBorders>
            <w:shd w:val="clear" w:color="000000" w:fill="BFBFBF"/>
            <w:noWrap/>
            <w:vAlign w:val="bottom"/>
            <w:hideMark/>
          </w:tcPr>
          <w:p w14:paraId="24FB871E" w14:textId="77777777" w:rsidR="00451A3E" w:rsidRPr="00986F85" w:rsidRDefault="00451A3E" w:rsidP="00451A3E">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708" w:type="dxa"/>
            <w:tcBorders>
              <w:top w:val="nil"/>
              <w:left w:val="nil"/>
              <w:bottom w:val="single" w:sz="4" w:space="0" w:color="auto"/>
              <w:right w:val="single" w:sz="4" w:space="0" w:color="auto"/>
            </w:tcBorders>
            <w:shd w:val="clear" w:color="000000" w:fill="BFBFBF"/>
            <w:noWrap/>
            <w:vAlign w:val="bottom"/>
            <w:hideMark/>
          </w:tcPr>
          <w:p w14:paraId="607B5533" w14:textId="77777777" w:rsidR="00451A3E" w:rsidRPr="00986F85" w:rsidRDefault="00451A3E" w:rsidP="00451A3E">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851" w:type="dxa"/>
            <w:tcBorders>
              <w:top w:val="nil"/>
              <w:left w:val="nil"/>
              <w:bottom w:val="single" w:sz="4" w:space="0" w:color="auto"/>
              <w:right w:val="single" w:sz="4" w:space="0" w:color="auto"/>
            </w:tcBorders>
            <w:shd w:val="clear" w:color="000000" w:fill="BFBFBF"/>
            <w:noWrap/>
            <w:vAlign w:val="bottom"/>
            <w:hideMark/>
          </w:tcPr>
          <w:p w14:paraId="7680746B" w14:textId="77777777" w:rsidR="00451A3E" w:rsidRPr="00986F85" w:rsidRDefault="00451A3E" w:rsidP="00451A3E">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850" w:type="dxa"/>
            <w:tcBorders>
              <w:top w:val="nil"/>
              <w:left w:val="nil"/>
              <w:bottom w:val="single" w:sz="4" w:space="0" w:color="auto"/>
              <w:right w:val="single" w:sz="4" w:space="0" w:color="auto"/>
            </w:tcBorders>
            <w:shd w:val="clear" w:color="000000" w:fill="BFBFBF"/>
            <w:noWrap/>
            <w:vAlign w:val="bottom"/>
            <w:hideMark/>
          </w:tcPr>
          <w:p w14:paraId="38FF267B" w14:textId="77777777" w:rsidR="00451A3E" w:rsidRPr="00986F85" w:rsidRDefault="00451A3E" w:rsidP="00451A3E">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709" w:type="dxa"/>
            <w:tcBorders>
              <w:top w:val="nil"/>
              <w:left w:val="nil"/>
              <w:bottom w:val="single" w:sz="4" w:space="0" w:color="auto"/>
              <w:right w:val="single" w:sz="4" w:space="0" w:color="auto"/>
            </w:tcBorders>
            <w:shd w:val="clear" w:color="000000" w:fill="BFBFBF"/>
            <w:noWrap/>
            <w:vAlign w:val="bottom"/>
            <w:hideMark/>
          </w:tcPr>
          <w:p w14:paraId="2F740F08" w14:textId="77777777" w:rsidR="00451A3E" w:rsidRPr="00986F85" w:rsidRDefault="00451A3E" w:rsidP="00451A3E">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709" w:type="dxa"/>
            <w:tcBorders>
              <w:top w:val="nil"/>
              <w:left w:val="nil"/>
              <w:bottom w:val="single" w:sz="4" w:space="0" w:color="auto"/>
              <w:right w:val="single" w:sz="4" w:space="0" w:color="auto"/>
            </w:tcBorders>
            <w:shd w:val="clear" w:color="000000" w:fill="BFBFBF"/>
            <w:noWrap/>
            <w:vAlign w:val="bottom"/>
            <w:hideMark/>
          </w:tcPr>
          <w:p w14:paraId="1271714A" w14:textId="77777777" w:rsidR="00451A3E" w:rsidRPr="00986F85" w:rsidRDefault="00451A3E" w:rsidP="00451A3E">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709" w:type="dxa"/>
            <w:tcBorders>
              <w:top w:val="nil"/>
              <w:left w:val="nil"/>
              <w:bottom w:val="single" w:sz="4" w:space="0" w:color="auto"/>
              <w:right w:val="single" w:sz="4" w:space="0" w:color="auto"/>
            </w:tcBorders>
            <w:shd w:val="clear" w:color="000000" w:fill="BFBFBF"/>
            <w:noWrap/>
            <w:vAlign w:val="bottom"/>
            <w:hideMark/>
          </w:tcPr>
          <w:p w14:paraId="2513CD05" w14:textId="77777777" w:rsidR="00451A3E" w:rsidRPr="00986F85" w:rsidRDefault="00451A3E" w:rsidP="00451A3E">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850" w:type="dxa"/>
            <w:tcBorders>
              <w:top w:val="nil"/>
              <w:left w:val="nil"/>
              <w:bottom w:val="single" w:sz="4" w:space="0" w:color="auto"/>
              <w:right w:val="single" w:sz="4" w:space="0" w:color="auto"/>
            </w:tcBorders>
            <w:shd w:val="clear" w:color="000000" w:fill="BFBFBF"/>
            <w:noWrap/>
            <w:vAlign w:val="bottom"/>
            <w:hideMark/>
          </w:tcPr>
          <w:p w14:paraId="03AD07F2" w14:textId="77777777" w:rsidR="00451A3E" w:rsidRPr="00986F85" w:rsidRDefault="00451A3E" w:rsidP="00451A3E">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851" w:type="dxa"/>
            <w:tcBorders>
              <w:top w:val="nil"/>
              <w:left w:val="nil"/>
              <w:bottom w:val="single" w:sz="4" w:space="0" w:color="auto"/>
              <w:right w:val="single" w:sz="4" w:space="0" w:color="auto"/>
            </w:tcBorders>
            <w:shd w:val="clear" w:color="000000" w:fill="BFBFBF"/>
            <w:noWrap/>
            <w:vAlign w:val="bottom"/>
            <w:hideMark/>
          </w:tcPr>
          <w:p w14:paraId="20167B33" w14:textId="77777777" w:rsidR="00451A3E" w:rsidRPr="00986F85" w:rsidRDefault="00451A3E" w:rsidP="00451A3E">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850" w:type="dxa"/>
            <w:tcBorders>
              <w:top w:val="nil"/>
              <w:left w:val="nil"/>
              <w:bottom w:val="single" w:sz="4" w:space="0" w:color="auto"/>
              <w:right w:val="single" w:sz="4" w:space="0" w:color="auto"/>
            </w:tcBorders>
            <w:shd w:val="clear" w:color="000000" w:fill="BFBFBF"/>
            <w:noWrap/>
            <w:vAlign w:val="bottom"/>
            <w:hideMark/>
          </w:tcPr>
          <w:p w14:paraId="1981146B" w14:textId="77777777" w:rsidR="00451A3E" w:rsidRPr="00986F85" w:rsidRDefault="00451A3E" w:rsidP="00451A3E">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r>
      <w:tr w:rsidR="00397D56" w:rsidRPr="00986F85" w14:paraId="44963003" w14:textId="77777777" w:rsidTr="009868C2">
        <w:trPr>
          <w:trHeight w:val="280"/>
        </w:trPr>
        <w:tc>
          <w:tcPr>
            <w:tcW w:w="1726" w:type="dxa"/>
            <w:tcBorders>
              <w:top w:val="nil"/>
              <w:left w:val="single" w:sz="4" w:space="0" w:color="auto"/>
              <w:bottom w:val="single" w:sz="4" w:space="0" w:color="auto"/>
              <w:right w:val="single" w:sz="4" w:space="0" w:color="auto"/>
            </w:tcBorders>
            <w:shd w:val="clear" w:color="auto" w:fill="auto"/>
            <w:vAlign w:val="center"/>
            <w:hideMark/>
          </w:tcPr>
          <w:p w14:paraId="7849D416" w14:textId="77777777" w:rsidR="00451A3E" w:rsidRPr="00986F85" w:rsidRDefault="00451A3E" w:rsidP="00451A3E">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Tárgyi eszköz</w:t>
            </w:r>
          </w:p>
        </w:tc>
        <w:tc>
          <w:tcPr>
            <w:tcW w:w="699" w:type="dxa"/>
            <w:tcBorders>
              <w:top w:val="nil"/>
              <w:left w:val="nil"/>
              <w:bottom w:val="single" w:sz="4" w:space="0" w:color="auto"/>
              <w:right w:val="single" w:sz="4" w:space="0" w:color="auto"/>
            </w:tcBorders>
            <w:shd w:val="clear" w:color="000000" w:fill="FFFFFF"/>
            <w:noWrap/>
            <w:vAlign w:val="bottom"/>
            <w:hideMark/>
          </w:tcPr>
          <w:p w14:paraId="435A3AEA" w14:textId="77777777" w:rsidR="00451A3E" w:rsidRPr="00986F85" w:rsidRDefault="00451A3E" w:rsidP="00451A3E">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240.826468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779304A3" w14:textId="77777777" w:rsidR="00451A3E" w:rsidRPr="00986F85" w:rsidRDefault="00451A3E" w:rsidP="00451A3E">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4.28</w:t>
            </w:r>
          </w:p>
        </w:tc>
        <w:tc>
          <w:tcPr>
            <w:tcW w:w="709" w:type="dxa"/>
            <w:tcBorders>
              <w:top w:val="nil"/>
              <w:left w:val="nil"/>
              <w:bottom w:val="single" w:sz="4" w:space="0" w:color="auto"/>
              <w:right w:val="single" w:sz="4" w:space="0" w:color="auto"/>
            </w:tcBorders>
            <w:shd w:val="clear" w:color="000000" w:fill="BFBFBF"/>
            <w:noWrap/>
            <w:vAlign w:val="bottom"/>
            <w:hideMark/>
          </w:tcPr>
          <w:p w14:paraId="5E25D50D" w14:textId="77777777" w:rsidR="00451A3E" w:rsidRPr="00986F85" w:rsidRDefault="00451A3E" w:rsidP="00451A3E">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708" w:type="dxa"/>
            <w:gridSpan w:val="2"/>
            <w:tcBorders>
              <w:top w:val="nil"/>
              <w:left w:val="nil"/>
              <w:bottom w:val="single" w:sz="4" w:space="0" w:color="auto"/>
              <w:right w:val="single" w:sz="4" w:space="0" w:color="auto"/>
            </w:tcBorders>
            <w:shd w:val="clear" w:color="000000" w:fill="BFBFBF"/>
            <w:noWrap/>
            <w:vAlign w:val="bottom"/>
            <w:hideMark/>
          </w:tcPr>
          <w:p w14:paraId="6C6B4D07" w14:textId="77777777" w:rsidR="00451A3E" w:rsidRPr="00986F85" w:rsidRDefault="00451A3E" w:rsidP="00451A3E">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14:paraId="6B7708AA" w14:textId="77777777" w:rsidR="00451A3E" w:rsidRPr="00986F85" w:rsidRDefault="00451A3E" w:rsidP="00451A3E">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195.037411</w:t>
            </w:r>
          </w:p>
        </w:tc>
        <w:tc>
          <w:tcPr>
            <w:tcW w:w="709" w:type="dxa"/>
            <w:tcBorders>
              <w:top w:val="nil"/>
              <w:left w:val="nil"/>
              <w:bottom w:val="single" w:sz="4" w:space="0" w:color="auto"/>
              <w:right w:val="single" w:sz="4" w:space="0" w:color="auto"/>
            </w:tcBorders>
            <w:shd w:val="clear" w:color="000000" w:fill="FFFFFF"/>
            <w:noWrap/>
            <w:vAlign w:val="bottom"/>
            <w:hideMark/>
          </w:tcPr>
          <w:p w14:paraId="50945D2A" w14:textId="77777777" w:rsidR="00451A3E" w:rsidRPr="00986F85" w:rsidRDefault="00451A3E" w:rsidP="00451A3E">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3.40</w:t>
            </w:r>
          </w:p>
        </w:tc>
        <w:tc>
          <w:tcPr>
            <w:tcW w:w="709" w:type="dxa"/>
            <w:tcBorders>
              <w:top w:val="nil"/>
              <w:left w:val="nil"/>
              <w:bottom w:val="single" w:sz="4" w:space="0" w:color="auto"/>
              <w:right w:val="single" w:sz="4" w:space="0" w:color="auto"/>
            </w:tcBorders>
            <w:shd w:val="clear" w:color="000000" w:fill="BFBFBF"/>
            <w:noWrap/>
            <w:vAlign w:val="bottom"/>
            <w:hideMark/>
          </w:tcPr>
          <w:p w14:paraId="66C6F464" w14:textId="77777777" w:rsidR="00451A3E" w:rsidRPr="00986F85" w:rsidRDefault="00451A3E" w:rsidP="00451A3E">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708" w:type="dxa"/>
            <w:tcBorders>
              <w:top w:val="nil"/>
              <w:left w:val="nil"/>
              <w:bottom w:val="single" w:sz="4" w:space="0" w:color="auto"/>
              <w:right w:val="single" w:sz="4" w:space="0" w:color="auto"/>
            </w:tcBorders>
            <w:shd w:val="clear" w:color="000000" w:fill="BFBFBF"/>
            <w:noWrap/>
            <w:vAlign w:val="bottom"/>
            <w:hideMark/>
          </w:tcPr>
          <w:p w14:paraId="799A7BE3" w14:textId="77777777" w:rsidR="00451A3E" w:rsidRPr="00986F85" w:rsidRDefault="00451A3E" w:rsidP="00451A3E">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851" w:type="dxa"/>
            <w:tcBorders>
              <w:top w:val="nil"/>
              <w:left w:val="nil"/>
              <w:bottom w:val="single" w:sz="4" w:space="0" w:color="auto"/>
              <w:right w:val="single" w:sz="4" w:space="0" w:color="auto"/>
            </w:tcBorders>
            <w:shd w:val="clear" w:color="000000" w:fill="BFBFBF"/>
            <w:noWrap/>
            <w:vAlign w:val="bottom"/>
            <w:hideMark/>
          </w:tcPr>
          <w:p w14:paraId="368FB252" w14:textId="77777777" w:rsidR="00451A3E" w:rsidRPr="00986F85" w:rsidRDefault="00451A3E" w:rsidP="00451A3E">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850" w:type="dxa"/>
            <w:tcBorders>
              <w:top w:val="nil"/>
              <w:left w:val="nil"/>
              <w:bottom w:val="single" w:sz="4" w:space="0" w:color="auto"/>
              <w:right w:val="single" w:sz="4" w:space="0" w:color="auto"/>
            </w:tcBorders>
            <w:shd w:val="clear" w:color="000000" w:fill="BFBFBF"/>
            <w:noWrap/>
            <w:vAlign w:val="bottom"/>
            <w:hideMark/>
          </w:tcPr>
          <w:p w14:paraId="41B8BB32" w14:textId="77777777" w:rsidR="00451A3E" w:rsidRPr="00986F85" w:rsidRDefault="00451A3E" w:rsidP="00451A3E">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709" w:type="dxa"/>
            <w:tcBorders>
              <w:top w:val="nil"/>
              <w:left w:val="nil"/>
              <w:bottom w:val="single" w:sz="4" w:space="0" w:color="auto"/>
              <w:right w:val="single" w:sz="4" w:space="0" w:color="auto"/>
            </w:tcBorders>
            <w:shd w:val="clear" w:color="000000" w:fill="BFBFBF"/>
            <w:noWrap/>
            <w:vAlign w:val="bottom"/>
            <w:hideMark/>
          </w:tcPr>
          <w:p w14:paraId="66F24AF9" w14:textId="77777777" w:rsidR="00451A3E" w:rsidRPr="00986F85" w:rsidRDefault="00451A3E" w:rsidP="00451A3E">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709" w:type="dxa"/>
            <w:tcBorders>
              <w:top w:val="nil"/>
              <w:left w:val="nil"/>
              <w:bottom w:val="single" w:sz="4" w:space="0" w:color="auto"/>
              <w:right w:val="single" w:sz="4" w:space="0" w:color="auto"/>
            </w:tcBorders>
            <w:shd w:val="clear" w:color="000000" w:fill="BFBFBF"/>
            <w:noWrap/>
            <w:vAlign w:val="bottom"/>
            <w:hideMark/>
          </w:tcPr>
          <w:p w14:paraId="78331C2E" w14:textId="77777777" w:rsidR="00451A3E" w:rsidRPr="00986F85" w:rsidRDefault="00451A3E" w:rsidP="00451A3E">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709" w:type="dxa"/>
            <w:tcBorders>
              <w:top w:val="nil"/>
              <w:left w:val="nil"/>
              <w:bottom w:val="single" w:sz="4" w:space="0" w:color="auto"/>
              <w:right w:val="single" w:sz="4" w:space="0" w:color="auto"/>
            </w:tcBorders>
            <w:shd w:val="clear" w:color="auto" w:fill="auto"/>
            <w:noWrap/>
            <w:vAlign w:val="bottom"/>
            <w:hideMark/>
          </w:tcPr>
          <w:p w14:paraId="5BCCF5DD" w14:textId="77777777" w:rsidR="00451A3E" w:rsidRPr="00986F85" w:rsidRDefault="00451A3E" w:rsidP="00451A3E">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0.0666992</w:t>
            </w:r>
          </w:p>
        </w:tc>
        <w:tc>
          <w:tcPr>
            <w:tcW w:w="850" w:type="dxa"/>
            <w:tcBorders>
              <w:top w:val="nil"/>
              <w:left w:val="nil"/>
              <w:bottom w:val="single" w:sz="4" w:space="0" w:color="auto"/>
              <w:right w:val="single" w:sz="4" w:space="0" w:color="auto"/>
            </w:tcBorders>
            <w:shd w:val="clear" w:color="auto" w:fill="auto"/>
            <w:noWrap/>
            <w:vAlign w:val="bottom"/>
            <w:hideMark/>
          </w:tcPr>
          <w:p w14:paraId="61010184" w14:textId="77777777" w:rsidR="00451A3E" w:rsidRPr="00986F85" w:rsidRDefault="00451A3E" w:rsidP="00451A3E">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4.61</w:t>
            </w:r>
          </w:p>
        </w:tc>
        <w:tc>
          <w:tcPr>
            <w:tcW w:w="851" w:type="dxa"/>
            <w:tcBorders>
              <w:top w:val="nil"/>
              <w:left w:val="nil"/>
              <w:bottom w:val="single" w:sz="4" w:space="0" w:color="auto"/>
              <w:right w:val="single" w:sz="4" w:space="0" w:color="auto"/>
            </w:tcBorders>
            <w:shd w:val="clear" w:color="auto" w:fill="auto"/>
            <w:noWrap/>
            <w:vAlign w:val="bottom"/>
            <w:hideMark/>
          </w:tcPr>
          <w:p w14:paraId="7EA403CF" w14:textId="77777777" w:rsidR="00451A3E" w:rsidRPr="00986F85" w:rsidRDefault="00451A3E" w:rsidP="00451A3E">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0.0670832</w:t>
            </w:r>
          </w:p>
        </w:tc>
        <w:tc>
          <w:tcPr>
            <w:tcW w:w="850" w:type="dxa"/>
            <w:tcBorders>
              <w:top w:val="nil"/>
              <w:left w:val="nil"/>
              <w:bottom w:val="single" w:sz="4" w:space="0" w:color="auto"/>
              <w:right w:val="single" w:sz="4" w:space="0" w:color="auto"/>
            </w:tcBorders>
            <w:shd w:val="clear" w:color="auto" w:fill="auto"/>
            <w:noWrap/>
            <w:vAlign w:val="bottom"/>
            <w:hideMark/>
          </w:tcPr>
          <w:p w14:paraId="75331AC0" w14:textId="77777777" w:rsidR="00451A3E" w:rsidRPr="00986F85" w:rsidRDefault="00451A3E" w:rsidP="00451A3E">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4.47</w:t>
            </w:r>
          </w:p>
        </w:tc>
      </w:tr>
      <w:tr w:rsidR="00397D56" w:rsidRPr="00986F85" w14:paraId="542E2189" w14:textId="77777777" w:rsidTr="009868C2">
        <w:trPr>
          <w:trHeight w:val="280"/>
        </w:trPr>
        <w:tc>
          <w:tcPr>
            <w:tcW w:w="1726" w:type="dxa"/>
            <w:tcBorders>
              <w:top w:val="nil"/>
              <w:left w:val="single" w:sz="4" w:space="0" w:color="auto"/>
              <w:bottom w:val="single" w:sz="4" w:space="0" w:color="auto"/>
              <w:right w:val="single" w:sz="4" w:space="0" w:color="auto"/>
            </w:tcBorders>
            <w:shd w:val="clear" w:color="auto" w:fill="auto"/>
            <w:vAlign w:val="center"/>
            <w:hideMark/>
          </w:tcPr>
          <w:p w14:paraId="50BCAB18" w14:textId="77777777" w:rsidR="00451A3E" w:rsidRPr="00986F85" w:rsidRDefault="00451A3E" w:rsidP="00451A3E">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Egy főre jutó tárgyi eszköz</w:t>
            </w:r>
          </w:p>
        </w:tc>
        <w:tc>
          <w:tcPr>
            <w:tcW w:w="699" w:type="dxa"/>
            <w:tcBorders>
              <w:top w:val="nil"/>
              <w:left w:val="nil"/>
              <w:bottom w:val="single" w:sz="4" w:space="0" w:color="auto"/>
              <w:right w:val="single" w:sz="4" w:space="0" w:color="auto"/>
            </w:tcBorders>
            <w:shd w:val="clear" w:color="000000" w:fill="BFBFBF"/>
            <w:vAlign w:val="bottom"/>
            <w:hideMark/>
          </w:tcPr>
          <w:p w14:paraId="70FCA6E9" w14:textId="77777777" w:rsidR="00451A3E" w:rsidRPr="00986F85" w:rsidRDefault="00451A3E" w:rsidP="00451A3E">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709" w:type="dxa"/>
            <w:gridSpan w:val="2"/>
            <w:tcBorders>
              <w:top w:val="nil"/>
              <w:left w:val="nil"/>
              <w:bottom w:val="single" w:sz="4" w:space="0" w:color="auto"/>
              <w:right w:val="single" w:sz="4" w:space="0" w:color="auto"/>
            </w:tcBorders>
            <w:shd w:val="clear" w:color="000000" w:fill="BFBFBF"/>
            <w:noWrap/>
            <w:vAlign w:val="bottom"/>
            <w:hideMark/>
          </w:tcPr>
          <w:p w14:paraId="279C27C4" w14:textId="77777777" w:rsidR="00451A3E" w:rsidRPr="00986F85" w:rsidRDefault="00451A3E" w:rsidP="00451A3E">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709" w:type="dxa"/>
            <w:tcBorders>
              <w:top w:val="nil"/>
              <w:left w:val="nil"/>
              <w:bottom w:val="single" w:sz="4" w:space="0" w:color="auto"/>
              <w:right w:val="single" w:sz="4" w:space="0" w:color="auto"/>
            </w:tcBorders>
            <w:shd w:val="clear" w:color="000000" w:fill="BFBFBF"/>
            <w:noWrap/>
            <w:vAlign w:val="bottom"/>
            <w:hideMark/>
          </w:tcPr>
          <w:p w14:paraId="2CAE4C11" w14:textId="77777777" w:rsidR="00451A3E" w:rsidRPr="00986F85" w:rsidRDefault="00451A3E" w:rsidP="00451A3E">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708" w:type="dxa"/>
            <w:gridSpan w:val="2"/>
            <w:tcBorders>
              <w:top w:val="nil"/>
              <w:left w:val="nil"/>
              <w:bottom w:val="single" w:sz="4" w:space="0" w:color="auto"/>
              <w:right w:val="single" w:sz="4" w:space="0" w:color="auto"/>
            </w:tcBorders>
            <w:shd w:val="clear" w:color="000000" w:fill="BFBFBF"/>
            <w:noWrap/>
            <w:vAlign w:val="bottom"/>
            <w:hideMark/>
          </w:tcPr>
          <w:p w14:paraId="35A8F50E" w14:textId="77777777" w:rsidR="00451A3E" w:rsidRPr="00986F85" w:rsidRDefault="00451A3E" w:rsidP="00451A3E">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709" w:type="dxa"/>
            <w:gridSpan w:val="2"/>
            <w:tcBorders>
              <w:top w:val="nil"/>
              <w:left w:val="nil"/>
              <w:bottom w:val="single" w:sz="4" w:space="0" w:color="auto"/>
              <w:right w:val="single" w:sz="4" w:space="0" w:color="auto"/>
            </w:tcBorders>
            <w:shd w:val="clear" w:color="000000" w:fill="BFBFBF"/>
            <w:noWrap/>
            <w:vAlign w:val="bottom"/>
            <w:hideMark/>
          </w:tcPr>
          <w:p w14:paraId="2DCDDB80" w14:textId="77777777" w:rsidR="00451A3E" w:rsidRPr="00986F85" w:rsidRDefault="00451A3E" w:rsidP="00451A3E">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709" w:type="dxa"/>
            <w:tcBorders>
              <w:top w:val="nil"/>
              <w:left w:val="nil"/>
              <w:bottom w:val="single" w:sz="4" w:space="0" w:color="auto"/>
              <w:right w:val="single" w:sz="4" w:space="0" w:color="auto"/>
            </w:tcBorders>
            <w:shd w:val="clear" w:color="000000" w:fill="BFBFBF"/>
            <w:noWrap/>
            <w:vAlign w:val="bottom"/>
            <w:hideMark/>
          </w:tcPr>
          <w:p w14:paraId="4D6A86EE" w14:textId="77777777" w:rsidR="00451A3E" w:rsidRPr="00986F85" w:rsidRDefault="00451A3E" w:rsidP="00451A3E">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709" w:type="dxa"/>
            <w:tcBorders>
              <w:top w:val="nil"/>
              <w:left w:val="nil"/>
              <w:bottom w:val="single" w:sz="4" w:space="0" w:color="auto"/>
              <w:right w:val="single" w:sz="4" w:space="0" w:color="auto"/>
            </w:tcBorders>
            <w:shd w:val="clear" w:color="000000" w:fill="BFBFBF"/>
            <w:noWrap/>
            <w:vAlign w:val="bottom"/>
            <w:hideMark/>
          </w:tcPr>
          <w:p w14:paraId="0AC7329A" w14:textId="77777777" w:rsidR="00451A3E" w:rsidRPr="00986F85" w:rsidRDefault="00451A3E" w:rsidP="00451A3E">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708" w:type="dxa"/>
            <w:tcBorders>
              <w:top w:val="nil"/>
              <w:left w:val="nil"/>
              <w:bottom w:val="single" w:sz="4" w:space="0" w:color="auto"/>
              <w:right w:val="single" w:sz="4" w:space="0" w:color="auto"/>
            </w:tcBorders>
            <w:shd w:val="clear" w:color="000000" w:fill="BFBFBF"/>
            <w:noWrap/>
            <w:vAlign w:val="bottom"/>
            <w:hideMark/>
          </w:tcPr>
          <w:p w14:paraId="16ED0521" w14:textId="77777777" w:rsidR="00451A3E" w:rsidRPr="00986F85" w:rsidRDefault="00451A3E" w:rsidP="00451A3E">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851" w:type="dxa"/>
            <w:tcBorders>
              <w:top w:val="nil"/>
              <w:left w:val="nil"/>
              <w:bottom w:val="single" w:sz="4" w:space="0" w:color="auto"/>
              <w:right w:val="single" w:sz="4" w:space="0" w:color="auto"/>
            </w:tcBorders>
            <w:shd w:val="clear" w:color="000000" w:fill="BFBFBF"/>
            <w:noWrap/>
            <w:vAlign w:val="bottom"/>
            <w:hideMark/>
          </w:tcPr>
          <w:p w14:paraId="1DEA8BE5" w14:textId="77777777" w:rsidR="00451A3E" w:rsidRPr="00986F85" w:rsidRDefault="00451A3E" w:rsidP="00451A3E">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850" w:type="dxa"/>
            <w:tcBorders>
              <w:top w:val="nil"/>
              <w:left w:val="nil"/>
              <w:bottom w:val="single" w:sz="4" w:space="0" w:color="auto"/>
              <w:right w:val="single" w:sz="4" w:space="0" w:color="auto"/>
            </w:tcBorders>
            <w:shd w:val="clear" w:color="000000" w:fill="BFBFBF"/>
            <w:noWrap/>
            <w:vAlign w:val="bottom"/>
            <w:hideMark/>
          </w:tcPr>
          <w:p w14:paraId="4A059FEA" w14:textId="77777777" w:rsidR="00451A3E" w:rsidRPr="00986F85" w:rsidRDefault="00451A3E" w:rsidP="00451A3E">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709" w:type="dxa"/>
            <w:tcBorders>
              <w:top w:val="nil"/>
              <w:left w:val="nil"/>
              <w:bottom w:val="single" w:sz="4" w:space="0" w:color="auto"/>
              <w:right w:val="single" w:sz="4" w:space="0" w:color="auto"/>
            </w:tcBorders>
            <w:shd w:val="clear" w:color="000000" w:fill="BFBFBF"/>
            <w:noWrap/>
            <w:vAlign w:val="bottom"/>
            <w:hideMark/>
          </w:tcPr>
          <w:p w14:paraId="54D4B809" w14:textId="77777777" w:rsidR="00451A3E" w:rsidRPr="00986F85" w:rsidRDefault="00451A3E" w:rsidP="00451A3E">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709" w:type="dxa"/>
            <w:tcBorders>
              <w:top w:val="nil"/>
              <w:left w:val="nil"/>
              <w:bottom w:val="single" w:sz="4" w:space="0" w:color="auto"/>
              <w:right w:val="single" w:sz="4" w:space="0" w:color="auto"/>
            </w:tcBorders>
            <w:shd w:val="clear" w:color="000000" w:fill="BFBFBF"/>
            <w:noWrap/>
            <w:vAlign w:val="bottom"/>
            <w:hideMark/>
          </w:tcPr>
          <w:p w14:paraId="7FA51DE9" w14:textId="77777777" w:rsidR="00451A3E" w:rsidRPr="00986F85" w:rsidRDefault="00451A3E" w:rsidP="00451A3E">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709" w:type="dxa"/>
            <w:tcBorders>
              <w:top w:val="nil"/>
              <w:left w:val="nil"/>
              <w:bottom w:val="single" w:sz="4" w:space="0" w:color="auto"/>
              <w:right w:val="single" w:sz="4" w:space="0" w:color="auto"/>
            </w:tcBorders>
            <w:shd w:val="clear" w:color="auto" w:fill="auto"/>
            <w:noWrap/>
            <w:vAlign w:val="bottom"/>
            <w:hideMark/>
          </w:tcPr>
          <w:p w14:paraId="7C798261" w14:textId="77777777" w:rsidR="00451A3E" w:rsidRPr="00986F85" w:rsidRDefault="00451A3E" w:rsidP="00451A3E">
            <w:pPr>
              <w:suppressAutoHyphens w:val="0"/>
              <w:spacing w:after="0" w:line="240" w:lineRule="auto"/>
              <w:jc w:val="right"/>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0.0378936</w:t>
            </w:r>
          </w:p>
        </w:tc>
        <w:tc>
          <w:tcPr>
            <w:tcW w:w="850" w:type="dxa"/>
            <w:tcBorders>
              <w:top w:val="nil"/>
              <w:left w:val="nil"/>
              <w:bottom w:val="single" w:sz="4" w:space="0" w:color="auto"/>
              <w:right w:val="single" w:sz="4" w:space="0" w:color="auto"/>
            </w:tcBorders>
            <w:shd w:val="clear" w:color="auto" w:fill="auto"/>
            <w:noWrap/>
            <w:vAlign w:val="bottom"/>
            <w:hideMark/>
          </w:tcPr>
          <w:p w14:paraId="5C8BC47D" w14:textId="77777777" w:rsidR="00451A3E" w:rsidRPr="00986F85" w:rsidRDefault="00451A3E" w:rsidP="00451A3E">
            <w:pPr>
              <w:suppressAutoHyphens w:val="0"/>
              <w:spacing w:after="0" w:line="240" w:lineRule="auto"/>
              <w:jc w:val="right"/>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2.42</w:t>
            </w:r>
          </w:p>
        </w:tc>
        <w:tc>
          <w:tcPr>
            <w:tcW w:w="851" w:type="dxa"/>
            <w:tcBorders>
              <w:top w:val="nil"/>
              <w:left w:val="nil"/>
              <w:bottom w:val="single" w:sz="4" w:space="0" w:color="auto"/>
              <w:right w:val="single" w:sz="4" w:space="0" w:color="auto"/>
            </w:tcBorders>
            <w:shd w:val="clear" w:color="auto" w:fill="auto"/>
            <w:noWrap/>
            <w:vAlign w:val="bottom"/>
            <w:hideMark/>
          </w:tcPr>
          <w:p w14:paraId="78FDD5FC" w14:textId="77777777" w:rsidR="00451A3E" w:rsidRPr="00986F85" w:rsidRDefault="00451A3E" w:rsidP="00451A3E">
            <w:pPr>
              <w:suppressAutoHyphens w:val="0"/>
              <w:spacing w:after="0" w:line="240" w:lineRule="auto"/>
              <w:jc w:val="right"/>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0.04005</w:t>
            </w:r>
          </w:p>
        </w:tc>
        <w:tc>
          <w:tcPr>
            <w:tcW w:w="850" w:type="dxa"/>
            <w:tcBorders>
              <w:top w:val="nil"/>
              <w:left w:val="nil"/>
              <w:bottom w:val="single" w:sz="4" w:space="0" w:color="auto"/>
              <w:right w:val="single" w:sz="4" w:space="0" w:color="auto"/>
            </w:tcBorders>
            <w:shd w:val="clear" w:color="auto" w:fill="auto"/>
            <w:noWrap/>
            <w:vAlign w:val="bottom"/>
            <w:hideMark/>
          </w:tcPr>
          <w:p w14:paraId="3D0717F0" w14:textId="77777777" w:rsidR="00451A3E" w:rsidRPr="00986F85" w:rsidRDefault="00451A3E" w:rsidP="00451A3E">
            <w:pPr>
              <w:suppressAutoHyphens w:val="0"/>
              <w:spacing w:after="0" w:line="240" w:lineRule="auto"/>
              <w:jc w:val="right"/>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2.46</w:t>
            </w:r>
          </w:p>
        </w:tc>
      </w:tr>
      <w:tr w:rsidR="00397D56" w:rsidRPr="00986F85" w14:paraId="13625E66" w14:textId="77777777" w:rsidTr="009868C2">
        <w:trPr>
          <w:trHeight w:val="280"/>
        </w:trPr>
        <w:tc>
          <w:tcPr>
            <w:tcW w:w="1726" w:type="dxa"/>
            <w:tcBorders>
              <w:top w:val="nil"/>
              <w:left w:val="single" w:sz="4" w:space="0" w:color="auto"/>
              <w:bottom w:val="single" w:sz="4" w:space="0" w:color="auto"/>
              <w:right w:val="single" w:sz="4" w:space="0" w:color="auto"/>
            </w:tcBorders>
            <w:shd w:val="clear" w:color="auto" w:fill="auto"/>
            <w:vAlign w:val="center"/>
            <w:hideMark/>
          </w:tcPr>
          <w:p w14:paraId="08C96C53" w14:textId="77777777" w:rsidR="00451A3E" w:rsidRPr="00986F85" w:rsidRDefault="00451A3E" w:rsidP="00451A3E">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Foglalkoztatottak száma</w:t>
            </w:r>
          </w:p>
        </w:tc>
        <w:tc>
          <w:tcPr>
            <w:tcW w:w="699" w:type="dxa"/>
            <w:tcBorders>
              <w:top w:val="nil"/>
              <w:left w:val="nil"/>
              <w:bottom w:val="single" w:sz="4" w:space="0" w:color="auto"/>
              <w:right w:val="single" w:sz="4" w:space="0" w:color="auto"/>
            </w:tcBorders>
            <w:shd w:val="clear" w:color="auto" w:fill="auto"/>
            <w:noWrap/>
            <w:vAlign w:val="bottom"/>
            <w:hideMark/>
          </w:tcPr>
          <w:p w14:paraId="324D60AE" w14:textId="77777777" w:rsidR="00451A3E" w:rsidRPr="00986F85" w:rsidRDefault="00451A3E" w:rsidP="00451A3E">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34.6423083</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5D82B359" w14:textId="77777777" w:rsidR="00451A3E" w:rsidRPr="00986F85" w:rsidRDefault="00451A3E" w:rsidP="00451A3E">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11.51</w:t>
            </w:r>
          </w:p>
        </w:tc>
        <w:tc>
          <w:tcPr>
            <w:tcW w:w="709" w:type="dxa"/>
            <w:tcBorders>
              <w:top w:val="nil"/>
              <w:left w:val="nil"/>
              <w:bottom w:val="single" w:sz="4" w:space="0" w:color="auto"/>
              <w:right w:val="single" w:sz="4" w:space="0" w:color="auto"/>
            </w:tcBorders>
            <w:shd w:val="clear" w:color="auto" w:fill="auto"/>
            <w:noWrap/>
            <w:vAlign w:val="bottom"/>
            <w:hideMark/>
          </w:tcPr>
          <w:p w14:paraId="7A2749C0" w14:textId="77777777" w:rsidR="00451A3E" w:rsidRPr="00986F85" w:rsidRDefault="00451A3E" w:rsidP="00451A3E">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35.6060795</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50454495" w14:textId="77777777" w:rsidR="00451A3E" w:rsidRPr="00986F85" w:rsidRDefault="00451A3E" w:rsidP="00451A3E">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12.71</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0C64EF75" w14:textId="77777777" w:rsidR="00451A3E" w:rsidRPr="00986F85" w:rsidRDefault="00451A3E" w:rsidP="00451A3E">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31.5633266</w:t>
            </w:r>
          </w:p>
        </w:tc>
        <w:tc>
          <w:tcPr>
            <w:tcW w:w="709" w:type="dxa"/>
            <w:tcBorders>
              <w:top w:val="nil"/>
              <w:left w:val="nil"/>
              <w:bottom w:val="single" w:sz="4" w:space="0" w:color="auto"/>
              <w:right w:val="single" w:sz="4" w:space="0" w:color="auto"/>
            </w:tcBorders>
            <w:shd w:val="clear" w:color="auto" w:fill="auto"/>
            <w:noWrap/>
            <w:vAlign w:val="bottom"/>
            <w:hideMark/>
          </w:tcPr>
          <w:p w14:paraId="1743217D" w14:textId="77777777" w:rsidR="00451A3E" w:rsidRPr="00986F85" w:rsidRDefault="00451A3E" w:rsidP="00451A3E">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10.99</w:t>
            </w:r>
          </w:p>
        </w:tc>
        <w:tc>
          <w:tcPr>
            <w:tcW w:w="709" w:type="dxa"/>
            <w:tcBorders>
              <w:top w:val="nil"/>
              <w:left w:val="nil"/>
              <w:bottom w:val="single" w:sz="4" w:space="0" w:color="auto"/>
              <w:right w:val="single" w:sz="4" w:space="0" w:color="auto"/>
            </w:tcBorders>
            <w:shd w:val="clear" w:color="auto" w:fill="auto"/>
            <w:noWrap/>
            <w:vAlign w:val="bottom"/>
            <w:hideMark/>
          </w:tcPr>
          <w:p w14:paraId="056884EA" w14:textId="77777777" w:rsidR="00451A3E" w:rsidRPr="00986F85" w:rsidRDefault="00451A3E" w:rsidP="00451A3E">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33.0999685</w:t>
            </w:r>
          </w:p>
        </w:tc>
        <w:tc>
          <w:tcPr>
            <w:tcW w:w="708" w:type="dxa"/>
            <w:tcBorders>
              <w:top w:val="nil"/>
              <w:left w:val="nil"/>
              <w:bottom w:val="single" w:sz="4" w:space="0" w:color="auto"/>
              <w:right w:val="single" w:sz="4" w:space="0" w:color="auto"/>
            </w:tcBorders>
            <w:shd w:val="clear" w:color="auto" w:fill="auto"/>
            <w:noWrap/>
            <w:vAlign w:val="bottom"/>
            <w:hideMark/>
          </w:tcPr>
          <w:p w14:paraId="15BFC9F2" w14:textId="77777777" w:rsidR="00451A3E" w:rsidRPr="00986F85" w:rsidRDefault="00451A3E" w:rsidP="00451A3E">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12.58</w:t>
            </w:r>
          </w:p>
        </w:tc>
        <w:tc>
          <w:tcPr>
            <w:tcW w:w="851" w:type="dxa"/>
            <w:tcBorders>
              <w:top w:val="nil"/>
              <w:left w:val="nil"/>
              <w:bottom w:val="single" w:sz="4" w:space="0" w:color="auto"/>
              <w:right w:val="single" w:sz="4" w:space="0" w:color="auto"/>
            </w:tcBorders>
            <w:shd w:val="clear" w:color="auto" w:fill="auto"/>
            <w:noWrap/>
            <w:vAlign w:val="bottom"/>
            <w:hideMark/>
          </w:tcPr>
          <w:p w14:paraId="79B30095" w14:textId="77777777" w:rsidR="00451A3E" w:rsidRPr="00986F85" w:rsidRDefault="00451A3E" w:rsidP="00451A3E">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1.113</w:t>
            </w:r>
          </w:p>
        </w:tc>
        <w:tc>
          <w:tcPr>
            <w:tcW w:w="850" w:type="dxa"/>
            <w:tcBorders>
              <w:top w:val="nil"/>
              <w:left w:val="nil"/>
              <w:bottom w:val="single" w:sz="4" w:space="0" w:color="auto"/>
              <w:right w:val="single" w:sz="4" w:space="0" w:color="auto"/>
            </w:tcBorders>
            <w:shd w:val="clear" w:color="auto" w:fill="auto"/>
            <w:noWrap/>
            <w:vAlign w:val="bottom"/>
            <w:hideMark/>
          </w:tcPr>
          <w:p w14:paraId="632A52C2" w14:textId="77777777" w:rsidR="00451A3E" w:rsidRPr="00986F85" w:rsidRDefault="00451A3E" w:rsidP="00451A3E">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4.45</w:t>
            </w:r>
          </w:p>
        </w:tc>
        <w:tc>
          <w:tcPr>
            <w:tcW w:w="709" w:type="dxa"/>
            <w:tcBorders>
              <w:top w:val="nil"/>
              <w:left w:val="nil"/>
              <w:bottom w:val="single" w:sz="4" w:space="0" w:color="auto"/>
              <w:right w:val="single" w:sz="4" w:space="0" w:color="auto"/>
            </w:tcBorders>
            <w:shd w:val="clear" w:color="auto" w:fill="auto"/>
            <w:noWrap/>
            <w:vAlign w:val="bottom"/>
            <w:hideMark/>
          </w:tcPr>
          <w:p w14:paraId="69B5B56A" w14:textId="77777777" w:rsidR="00451A3E" w:rsidRPr="00986F85" w:rsidRDefault="00451A3E" w:rsidP="00451A3E">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1.469</w:t>
            </w:r>
          </w:p>
        </w:tc>
        <w:tc>
          <w:tcPr>
            <w:tcW w:w="709" w:type="dxa"/>
            <w:tcBorders>
              <w:top w:val="nil"/>
              <w:left w:val="nil"/>
              <w:bottom w:val="single" w:sz="4" w:space="0" w:color="auto"/>
              <w:right w:val="single" w:sz="4" w:space="0" w:color="auto"/>
            </w:tcBorders>
            <w:shd w:val="clear" w:color="auto" w:fill="auto"/>
            <w:noWrap/>
            <w:vAlign w:val="bottom"/>
            <w:hideMark/>
          </w:tcPr>
          <w:p w14:paraId="7AFD94A5" w14:textId="77777777" w:rsidR="00451A3E" w:rsidRPr="00986F85" w:rsidRDefault="00451A3E" w:rsidP="00451A3E">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5.09</w:t>
            </w:r>
          </w:p>
        </w:tc>
        <w:tc>
          <w:tcPr>
            <w:tcW w:w="709" w:type="dxa"/>
            <w:tcBorders>
              <w:top w:val="nil"/>
              <w:left w:val="nil"/>
              <w:bottom w:val="single" w:sz="4" w:space="0" w:color="auto"/>
              <w:right w:val="single" w:sz="4" w:space="0" w:color="auto"/>
            </w:tcBorders>
            <w:shd w:val="clear" w:color="auto" w:fill="auto"/>
            <w:noWrap/>
            <w:vAlign w:val="bottom"/>
            <w:hideMark/>
          </w:tcPr>
          <w:p w14:paraId="6D3C88C8" w14:textId="77777777" w:rsidR="00451A3E" w:rsidRPr="00986F85" w:rsidRDefault="00451A3E" w:rsidP="00451A3E">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0.0292833</w:t>
            </w:r>
          </w:p>
        </w:tc>
        <w:tc>
          <w:tcPr>
            <w:tcW w:w="850" w:type="dxa"/>
            <w:tcBorders>
              <w:top w:val="nil"/>
              <w:left w:val="nil"/>
              <w:bottom w:val="single" w:sz="4" w:space="0" w:color="auto"/>
              <w:right w:val="single" w:sz="4" w:space="0" w:color="auto"/>
            </w:tcBorders>
            <w:shd w:val="clear" w:color="auto" w:fill="auto"/>
            <w:noWrap/>
            <w:vAlign w:val="bottom"/>
            <w:hideMark/>
          </w:tcPr>
          <w:p w14:paraId="465850D3" w14:textId="77777777" w:rsidR="00451A3E" w:rsidRPr="00986F85" w:rsidRDefault="00451A3E" w:rsidP="00451A3E">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2.84</w:t>
            </w:r>
          </w:p>
        </w:tc>
        <w:tc>
          <w:tcPr>
            <w:tcW w:w="851" w:type="dxa"/>
            <w:tcBorders>
              <w:top w:val="nil"/>
              <w:left w:val="nil"/>
              <w:bottom w:val="single" w:sz="4" w:space="0" w:color="auto"/>
              <w:right w:val="single" w:sz="4" w:space="0" w:color="auto"/>
            </w:tcBorders>
            <w:shd w:val="clear" w:color="auto" w:fill="auto"/>
            <w:noWrap/>
            <w:vAlign w:val="bottom"/>
            <w:hideMark/>
          </w:tcPr>
          <w:p w14:paraId="45218558" w14:textId="77777777" w:rsidR="00451A3E" w:rsidRPr="00986F85" w:rsidRDefault="00451A3E" w:rsidP="00451A3E">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0.0275519</w:t>
            </w:r>
          </w:p>
        </w:tc>
        <w:tc>
          <w:tcPr>
            <w:tcW w:w="850" w:type="dxa"/>
            <w:tcBorders>
              <w:top w:val="nil"/>
              <w:left w:val="nil"/>
              <w:bottom w:val="single" w:sz="4" w:space="0" w:color="auto"/>
              <w:right w:val="single" w:sz="4" w:space="0" w:color="auto"/>
            </w:tcBorders>
            <w:shd w:val="clear" w:color="auto" w:fill="auto"/>
            <w:noWrap/>
            <w:vAlign w:val="bottom"/>
            <w:hideMark/>
          </w:tcPr>
          <w:p w14:paraId="320560E1" w14:textId="77777777" w:rsidR="00451A3E" w:rsidRPr="00986F85" w:rsidRDefault="00451A3E" w:rsidP="00451A3E">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2.56</w:t>
            </w:r>
          </w:p>
        </w:tc>
      </w:tr>
      <w:tr w:rsidR="00397D56" w:rsidRPr="00986F85" w14:paraId="6C6B8317" w14:textId="77777777" w:rsidTr="009868C2">
        <w:trPr>
          <w:trHeight w:val="280"/>
        </w:trPr>
        <w:tc>
          <w:tcPr>
            <w:tcW w:w="1726" w:type="dxa"/>
            <w:tcBorders>
              <w:top w:val="nil"/>
              <w:left w:val="single" w:sz="4" w:space="0" w:color="auto"/>
              <w:bottom w:val="single" w:sz="4" w:space="0" w:color="auto"/>
              <w:right w:val="single" w:sz="4" w:space="0" w:color="auto"/>
            </w:tcBorders>
            <w:shd w:val="clear" w:color="auto" w:fill="auto"/>
            <w:vAlign w:val="center"/>
            <w:hideMark/>
          </w:tcPr>
          <w:p w14:paraId="3FCC2D8C" w14:textId="77777777" w:rsidR="00451A3E" w:rsidRPr="00986F85" w:rsidRDefault="00451A3E" w:rsidP="00451A3E">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Hozzáadott érték</w:t>
            </w:r>
          </w:p>
        </w:tc>
        <w:tc>
          <w:tcPr>
            <w:tcW w:w="699" w:type="dxa"/>
            <w:tcBorders>
              <w:top w:val="nil"/>
              <w:left w:val="nil"/>
              <w:bottom w:val="single" w:sz="4" w:space="0" w:color="auto"/>
              <w:right w:val="single" w:sz="4" w:space="0" w:color="auto"/>
            </w:tcBorders>
            <w:shd w:val="clear" w:color="000000" w:fill="BFBFBF"/>
            <w:vAlign w:val="bottom"/>
            <w:hideMark/>
          </w:tcPr>
          <w:p w14:paraId="16FC1A12" w14:textId="77777777" w:rsidR="00451A3E" w:rsidRPr="00986F85" w:rsidRDefault="00451A3E" w:rsidP="00451A3E">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709" w:type="dxa"/>
            <w:gridSpan w:val="2"/>
            <w:tcBorders>
              <w:top w:val="nil"/>
              <w:left w:val="nil"/>
              <w:bottom w:val="single" w:sz="4" w:space="0" w:color="auto"/>
              <w:right w:val="single" w:sz="4" w:space="0" w:color="auto"/>
            </w:tcBorders>
            <w:shd w:val="clear" w:color="000000" w:fill="BFBFBF"/>
            <w:noWrap/>
            <w:vAlign w:val="bottom"/>
            <w:hideMark/>
          </w:tcPr>
          <w:p w14:paraId="6080DF95" w14:textId="77777777" w:rsidR="00451A3E" w:rsidRPr="00986F85" w:rsidRDefault="00451A3E" w:rsidP="00451A3E">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709" w:type="dxa"/>
            <w:tcBorders>
              <w:top w:val="nil"/>
              <w:left w:val="nil"/>
              <w:bottom w:val="single" w:sz="4" w:space="0" w:color="auto"/>
              <w:right w:val="single" w:sz="4" w:space="0" w:color="auto"/>
            </w:tcBorders>
            <w:shd w:val="clear" w:color="auto" w:fill="auto"/>
            <w:noWrap/>
            <w:vAlign w:val="bottom"/>
            <w:hideMark/>
          </w:tcPr>
          <w:p w14:paraId="4B0E3610" w14:textId="77777777" w:rsidR="00451A3E" w:rsidRPr="00986F85" w:rsidRDefault="00451A3E" w:rsidP="00451A3E">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186.278699</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7B3CE2F8" w14:textId="77777777" w:rsidR="00451A3E" w:rsidRPr="00986F85" w:rsidRDefault="00451A3E" w:rsidP="00451A3E">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3.40</w:t>
            </w:r>
          </w:p>
        </w:tc>
        <w:tc>
          <w:tcPr>
            <w:tcW w:w="709" w:type="dxa"/>
            <w:gridSpan w:val="2"/>
            <w:tcBorders>
              <w:top w:val="nil"/>
              <w:left w:val="nil"/>
              <w:bottom w:val="single" w:sz="4" w:space="0" w:color="auto"/>
              <w:right w:val="single" w:sz="4" w:space="0" w:color="auto"/>
            </w:tcBorders>
            <w:shd w:val="clear" w:color="000000" w:fill="BFBFBF"/>
            <w:noWrap/>
            <w:vAlign w:val="bottom"/>
            <w:hideMark/>
          </w:tcPr>
          <w:p w14:paraId="69DC3828" w14:textId="77777777" w:rsidR="00451A3E" w:rsidRPr="00986F85" w:rsidRDefault="00451A3E" w:rsidP="00451A3E">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709" w:type="dxa"/>
            <w:tcBorders>
              <w:top w:val="nil"/>
              <w:left w:val="nil"/>
              <w:bottom w:val="single" w:sz="4" w:space="0" w:color="auto"/>
              <w:right w:val="single" w:sz="4" w:space="0" w:color="auto"/>
            </w:tcBorders>
            <w:shd w:val="clear" w:color="000000" w:fill="BFBFBF"/>
            <w:noWrap/>
            <w:vAlign w:val="bottom"/>
            <w:hideMark/>
          </w:tcPr>
          <w:p w14:paraId="40633E4F" w14:textId="77777777" w:rsidR="00451A3E" w:rsidRPr="00986F85" w:rsidRDefault="00451A3E" w:rsidP="00451A3E">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709" w:type="dxa"/>
            <w:tcBorders>
              <w:top w:val="nil"/>
              <w:left w:val="nil"/>
              <w:bottom w:val="single" w:sz="4" w:space="0" w:color="auto"/>
              <w:right w:val="single" w:sz="4" w:space="0" w:color="auto"/>
            </w:tcBorders>
            <w:shd w:val="clear" w:color="auto" w:fill="auto"/>
            <w:noWrap/>
            <w:vAlign w:val="bottom"/>
            <w:hideMark/>
          </w:tcPr>
          <w:p w14:paraId="3A5A2621" w14:textId="77777777" w:rsidR="00451A3E" w:rsidRPr="00986F85" w:rsidRDefault="00451A3E" w:rsidP="00451A3E">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232.33903</w:t>
            </w:r>
          </w:p>
        </w:tc>
        <w:tc>
          <w:tcPr>
            <w:tcW w:w="708" w:type="dxa"/>
            <w:tcBorders>
              <w:top w:val="nil"/>
              <w:left w:val="nil"/>
              <w:bottom w:val="single" w:sz="4" w:space="0" w:color="auto"/>
              <w:right w:val="single" w:sz="4" w:space="0" w:color="auto"/>
            </w:tcBorders>
            <w:shd w:val="clear" w:color="auto" w:fill="auto"/>
            <w:noWrap/>
            <w:vAlign w:val="bottom"/>
            <w:hideMark/>
          </w:tcPr>
          <w:p w14:paraId="2F759A21" w14:textId="77777777" w:rsidR="00451A3E" w:rsidRPr="00986F85" w:rsidRDefault="00451A3E" w:rsidP="00451A3E">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2.85</w:t>
            </w:r>
          </w:p>
        </w:tc>
        <w:tc>
          <w:tcPr>
            <w:tcW w:w="851" w:type="dxa"/>
            <w:tcBorders>
              <w:top w:val="nil"/>
              <w:left w:val="nil"/>
              <w:bottom w:val="single" w:sz="4" w:space="0" w:color="auto"/>
              <w:right w:val="single" w:sz="4" w:space="0" w:color="auto"/>
            </w:tcBorders>
            <w:shd w:val="clear" w:color="000000" w:fill="BFBFBF"/>
            <w:noWrap/>
            <w:vAlign w:val="bottom"/>
            <w:hideMark/>
          </w:tcPr>
          <w:p w14:paraId="4DA6AB2B" w14:textId="77777777" w:rsidR="00451A3E" w:rsidRPr="00986F85" w:rsidRDefault="00451A3E" w:rsidP="00451A3E">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850" w:type="dxa"/>
            <w:tcBorders>
              <w:top w:val="nil"/>
              <w:left w:val="nil"/>
              <w:bottom w:val="single" w:sz="4" w:space="0" w:color="auto"/>
              <w:right w:val="single" w:sz="4" w:space="0" w:color="auto"/>
            </w:tcBorders>
            <w:shd w:val="clear" w:color="000000" w:fill="BFBFBF"/>
            <w:noWrap/>
            <w:vAlign w:val="bottom"/>
            <w:hideMark/>
          </w:tcPr>
          <w:p w14:paraId="0E017FE5" w14:textId="77777777" w:rsidR="00451A3E" w:rsidRPr="00986F85" w:rsidRDefault="00451A3E" w:rsidP="00451A3E">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709" w:type="dxa"/>
            <w:tcBorders>
              <w:top w:val="nil"/>
              <w:left w:val="nil"/>
              <w:bottom w:val="single" w:sz="4" w:space="0" w:color="auto"/>
              <w:right w:val="single" w:sz="4" w:space="0" w:color="auto"/>
            </w:tcBorders>
            <w:shd w:val="clear" w:color="000000" w:fill="BFBFBF"/>
            <w:noWrap/>
            <w:vAlign w:val="bottom"/>
            <w:hideMark/>
          </w:tcPr>
          <w:p w14:paraId="6A941D8D" w14:textId="77777777" w:rsidR="00451A3E" w:rsidRPr="00986F85" w:rsidRDefault="00451A3E" w:rsidP="00451A3E">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709" w:type="dxa"/>
            <w:tcBorders>
              <w:top w:val="nil"/>
              <w:left w:val="nil"/>
              <w:bottom w:val="single" w:sz="4" w:space="0" w:color="auto"/>
              <w:right w:val="single" w:sz="4" w:space="0" w:color="auto"/>
            </w:tcBorders>
            <w:shd w:val="clear" w:color="000000" w:fill="BFBFBF"/>
            <w:noWrap/>
            <w:vAlign w:val="bottom"/>
            <w:hideMark/>
          </w:tcPr>
          <w:p w14:paraId="4F3E8E40" w14:textId="77777777" w:rsidR="00451A3E" w:rsidRPr="00986F85" w:rsidRDefault="00451A3E" w:rsidP="00451A3E">
            <w:pPr>
              <w:suppressAutoHyphens w:val="0"/>
              <w:spacing w:after="0" w:line="240" w:lineRule="auto"/>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2DE419E6" w14:textId="77777777" w:rsidR="00451A3E" w:rsidRPr="00986F85" w:rsidRDefault="00451A3E" w:rsidP="00451A3E">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0.0440007</w:t>
            </w:r>
          </w:p>
        </w:tc>
        <w:tc>
          <w:tcPr>
            <w:tcW w:w="850" w:type="dxa"/>
            <w:tcBorders>
              <w:top w:val="nil"/>
              <w:left w:val="nil"/>
              <w:bottom w:val="single" w:sz="4" w:space="0" w:color="auto"/>
              <w:right w:val="single" w:sz="4" w:space="0" w:color="auto"/>
            </w:tcBorders>
            <w:shd w:val="clear" w:color="000000" w:fill="FFFFFF"/>
            <w:noWrap/>
            <w:vAlign w:val="bottom"/>
            <w:hideMark/>
          </w:tcPr>
          <w:p w14:paraId="22C24E92" w14:textId="77777777" w:rsidR="00451A3E" w:rsidRPr="00986F85" w:rsidRDefault="00451A3E" w:rsidP="00451A3E">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2.82</w:t>
            </w:r>
          </w:p>
        </w:tc>
        <w:tc>
          <w:tcPr>
            <w:tcW w:w="851" w:type="dxa"/>
            <w:tcBorders>
              <w:top w:val="nil"/>
              <w:left w:val="nil"/>
              <w:bottom w:val="single" w:sz="4" w:space="0" w:color="auto"/>
              <w:right w:val="single" w:sz="4" w:space="0" w:color="auto"/>
            </w:tcBorders>
            <w:shd w:val="clear" w:color="000000" w:fill="FFFFFF"/>
            <w:noWrap/>
            <w:vAlign w:val="bottom"/>
            <w:hideMark/>
          </w:tcPr>
          <w:p w14:paraId="134CEB7E" w14:textId="77777777" w:rsidR="00451A3E" w:rsidRPr="00986F85" w:rsidRDefault="00451A3E" w:rsidP="00451A3E">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0.045329</w:t>
            </w:r>
          </w:p>
        </w:tc>
        <w:tc>
          <w:tcPr>
            <w:tcW w:w="850" w:type="dxa"/>
            <w:tcBorders>
              <w:top w:val="nil"/>
              <w:left w:val="nil"/>
              <w:bottom w:val="single" w:sz="4" w:space="0" w:color="auto"/>
              <w:right w:val="single" w:sz="4" w:space="0" w:color="auto"/>
            </w:tcBorders>
            <w:shd w:val="clear" w:color="000000" w:fill="FFFFFF"/>
            <w:noWrap/>
            <w:vAlign w:val="bottom"/>
            <w:hideMark/>
          </w:tcPr>
          <w:p w14:paraId="08F2F9F3" w14:textId="77777777" w:rsidR="00451A3E" w:rsidRPr="00986F85" w:rsidRDefault="00451A3E" w:rsidP="00451A3E">
            <w:pPr>
              <w:suppressAutoHyphens w:val="0"/>
              <w:spacing w:after="0" w:line="240" w:lineRule="auto"/>
              <w:jc w:val="right"/>
              <w:rPr>
                <w:rFonts w:eastAsia="Times New Roman" w:cs="Times New Roman"/>
                <w:b/>
                <w:bCs/>
                <w:color w:val="000000"/>
                <w:sz w:val="16"/>
                <w:szCs w:val="16"/>
                <w:lang w:val="en-US" w:eastAsia="en-US"/>
              </w:rPr>
            </w:pPr>
            <w:r w:rsidRPr="00986F85">
              <w:rPr>
                <w:rFonts w:eastAsia="Times New Roman" w:cs="Times New Roman"/>
                <w:b/>
                <w:bCs/>
                <w:color w:val="000000"/>
                <w:sz w:val="16"/>
                <w:szCs w:val="16"/>
                <w:lang w:val="en-US" w:eastAsia="en-US"/>
              </w:rPr>
              <w:t>2.7</w:t>
            </w:r>
          </w:p>
        </w:tc>
      </w:tr>
      <w:tr w:rsidR="00397D56" w:rsidRPr="00986F85" w14:paraId="30FE83DB" w14:textId="77777777" w:rsidTr="009868C2">
        <w:trPr>
          <w:trHeight w:val="280"/>
        </w:trPr>
        <w:tc>
          <w:tcPr>
            <w:tcW w:w="1726" w:type="dxa"/>
            <w:tcBorders>
              <w:top w:val="nil"/>
              <w:left w:val="single" w:sz="4" w:space="0" w:color="auto"/>
              <w:bottom w:val="single" w:sz="4" w:space="0" w:color="auto"/>
              <w:right w:val="single" w:sz="4" w:space="0" w:color="auto"/>
            </w:tcBorders>
            <w:shd w:val="clear" w:color="auto" w:fill="auto"/>
            <w:vAlign w:val="center"/>
            <w:hideMark/>
          </w:tcPr>
          <w:p w14:paraId="739102D0" w14:textId="77777777" w:rsidR="00451A3E" w:rsidRPr="00986F85" w:rsidRDefault="00451A3E" w:rsidP="00451A3E">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Egy főre jutó hozzádaott érték</w:t>
            </w:r>
          </w:p>
        </w:tc>
        <w:tc>
          <w:tcPr>
            <w:tcW w:w="699" w:type="dxa"/>
            <w:tcBorders>
              <w:top w:val="nil"/>
              <w:left w:val="nil"/>
              <w:bottom w:val="single" w:sz="4" w:space="0" w:color="auto"/>
              <w:right w:val="single" w:sz="4" w:space="0" w:color="auto"/>
            </w:tcBorders>
            <w:shd w:val="clear" w:color="000000" w:fill="BFBFBF"/>
            <w:vAlign w:val="bottom"/>
            <w:hideMark/>
          </w:tcPr>
          <w:p w14:paraId="1D25D056" w14:textId="77777777" w:rsidR="00451A3E" w:rsidRPr="00986F85" w:rsidRDefault="00451A3E" w:rsidP="00451A3E">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709" w:type="dxa"/>
            <w:gridSpan w:val="2"/>
            <w:tcBorders>
              <w:top w:val="nil"/>
              <w:left w:val="nil"/>
              <w:bottom w:val="single" w:sz="4" w:space="0" w:color="auto"/>
              <w:right w:val="single" w:sz="4" w:space="0" w:color="auto"/>
            </w:tcBorders>
            <w:shd w:val="clear" w:color="000000" w:fill="BFBFBF"/>
            <w:noWrap/>
            <w:vAlign w:val="bottom"/>
            <w:hideMark/>
          </w:tcPr>
          <w:p w14:paraId="4EB646F0" w14:textId="77777777" w:rsidR="00451A3E" w:rsidRPr="00986F85" w:rsidRDefault="00451A3E" w:rsidP="00451A3E">
            <w:pPr>
              <w:suppressAutoHyphens w:val="0"/>
              <w:spacing w:after="0" w:line="240" w:lineRule="auto"/>
              <w:rPr>
                <w:rFonts w:eastAsia="Times New Roman" w:cs="Times New Roman"/>
                <w:color w:val="000000"/>
                <w:sz w:val="16"/>
                <w:szCs w:val="16"/>
                <w:lang w:eastAsia="en-US"/>
              </w:rPr>
            </w:pPr>
            <w:r w:rsidRPr="00986F85">
              <w:rPr>
                <w:rFonts w:eastAsia="Times New Roman" w:cs="Times New Roman"/>
                <w:color w:val="000000"/>
                <w:sz w:val="16"/>
                <w:szCs w:val="16"/>
                <w:lang w:eastAsia="en-US"/>
              </w:rPr>
              <w:t> </w:t>
            </w:r>
          </w:p>
        </w:tc>
        <w:tc>
          <w:tcPr>
            <w:tcW w:w="709" w:type="dxa"/>
            <w:tcBorders>
              <w:top w:val="nil"/>
              <w:left w:val="nil"/>
              <w:bottom w:val="single" w:sz="4" w:space="0" w:color="auto"/>
              <w:right w:val="single" w:sz="4" w:space="0" w:color="auto"/>
            </w:tcBorders>
            <w:shd w:val="clear" w:color="auto" w:fill="auto"/>
            <w:noWrap/>
            <w:vAlign w:val="bottom"/>
            <w:hideMark/>
          </w:tcPr>
          <w:p w14:paraId="41CC3AE8" w14:textId="77777777" w:rsidR="00451A3E" w:rsidRPr="00986F85" w:rsidRDefault="00451A3E" w:rsidP="00451A3E">
            <w:pPr>
              <w:suppressAutoHyphens w:val="0"/>
              <w:spacing w:after="0" w:line="240" w:lineRule="auto"/>
              <w:jc w:val="right"/>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305.658212</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52FCA854" w14:textId="77777777" w:rsidR="00451A3E" w:rsidRPr="00986F85" w:rsidRDefault="00451A3E" w:rsidP="00451A3E">
            <w:pPr>
              <w:suppressAutoHyphens w:val="0"/>
              <w:spacing w:after="0" w:line="240" w:lineRule="auto"/>
              <w:jc w:val="right"/>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2.76</w:t>
            </w:r>
          </w:p>
        </w:tc>
        <w:tc>
          <w:tcPr>
            <w:tcW w:w="709" w:type="dxa"/>
            <w:gridSpan w:val="2"/>
            <w:tcBorders>
              <w:top w:val="nil"/>
              <w:left w:val="nil"/>
              <w:bottom w:val="single" w:sz="4" w:space="0" w:color="auto"/>
              <w:right w:val="single" w:sz="4" w:space="0" w:color="auto"/>
            </w:tcBorders>
            <w:shd w:val="clear" w:color="000000" w:fill="BFBFBF"/>
            <w:noWrap/>
            <w:vAlign w:val="bottom"/>
            <w:hideMark/>
          </w:tcPr>
          <w:p w14:paraId="41D27462" w14:textId="77777777" w:rsidR="00451A3E" w:rsidRPr="00986F85" w:rsidRDefault="00451A3E" w:rsidP="00451A3E">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709" w:type="dxa"/>
            <w:tcBorders>
              <w:top w:val="nil"/>
              <w:left w:val="nil"/>
              <w:bottom w:val="single" w:sz="4" w:space="0" w:color="auto"/>
              <w:right w:val="single" w:sz="4" w:space="0" w:color="auto"/>
            </w:tcBorders>
            <w:shd w:val="clear" w:color="000000" w:fill="BFBFBF"/>
            <w:noWrap/>
            <w:vAlign w:val="bottom"/>
            <w:hideMark/>
          </w:tcPr>
          <w:p w14:paraId="41C7B396" w14:textId="77777777" w:rsidR="00451A3E" w:rsidRPr="00986F85" w:rsidRDefault="00451A3E" w:rsidP="00451A3E">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709" w:type="dxa"/>
            <w:tcBorders>
              <w:top w:val="nil"/>
              <w:left w:val="nil"/>
              <w:bottom w:val="single" w:sz="4" w:space="0" w:color="auto"/>
              <w:right w:val="single" w:sz="4" w:space="0" w:color="auto"/>
            </w:tcBorders>
            <w:shd w:val="clear" w:color="auto" w:fill="auto"/>
            <w:noWrap/>
            <w:vAlign w:val="bottom"/>
            <w:hideMark/>
          </w:tcPr>
          <w:p w14:paraId="25414F1F" w14:textId="77777777" w:rsidR="00451A3E" w:rsidRPr="00986F85" w:rsidRDefault="00451A3E" w:rsidP="00451A3E">
            <w:pPr>
              <w:suppressAutoHyphens w:val="0"/>
              <w:spacing w:after="0" w:line="240" w:lineRule="auto"/>
              <w:jc w:val="right"/>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410.925299</w:t>
            </w:r>
          </w:p>
        </w:tc>
        <w:tc>
          <w:tcPr>
            <w:tcW w:w="708" w:type="dxa"/>
            <w:tcBorders>
              <w:top w:val="nil"/>
              <w:left w:val="nil"/>
              <w:bottom w:val="single" w:sz="4" w:space="0" w:color="auto"/>
              <w:right w:val="single" w:sz="4" w:space="0" w:color="auto"/>
            </w:tcBorders>
            <w:shd w:val="clear" w:color="auto" w:fill="auto"/>
            <w:noWrap/>
            <w:vAlign w:val="bottom"/>
            <w:hideMark/>
          </w:tcPr>
          <w:p w14:paraId="558512A1" w14:textId="77777777" w:rsidR="00451A3E" w:rsidRPr="00986F85" w:rsidRDefault="00451A3E" w:rsidP="00451A3E">
            <w:pPr>
              <w:suppressAutoHyphens w:val="0"/>
              <w:spacing w:after="0" w:line="240" w:lineRule="auto"/>
              <w:jc w:val="right"/>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2.47</w:t>
            </w:r>
          </w:p>
        </w:tc>
        <w:tc>
          <w:tcPr>
            <w:tcW w:w="851" w:type="dxa"/>
            <w:tcBorders>
              <w:top w:val="nil"/>
              <w:left w:val="nil"/>
              <w:bottom w:val="single" w:sz="4" w:space="0" w:color="auto"/>
              <w:right w:val="single" w:sz="4" w:space="0" w:color="auto"/>
            </w:tcBorders>
            <w:shd w:val="clear" w:color="000000" w:fill="BFBFBF"/>
            <w:noWrap/>
            <w:vAlign w:val="bottom"/>
            <w:hideMark/>
          </w:tcPr>
          <w:p w14:paraId="6D28976E" w14:textId="77777777" w:rsidR="00451A3E" w:rsidRPr="00986F85" w:rsidRDefault="00451A3E" w:rsidP="00451A3E">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850" w:type="dxa"/>
            <w:tcBorders>
              <w:top w:val="nil"/>
              <w:left w:val="nil"/>
              <w:bottom w:val="single" w:sz="4" w:space="0" w:color="auto"/>
              <w:right w:val="single" w:sz="4" w:space="0" w:color="auto"/>
            </w:tcBorders>
            <w:shd w:val="clear" w:color="000000" w:fill="BFBFBF"/>
            <w:noWrap/>
            <w:vAlign w:val="bottom"/>
            <w:hideMark/>
          </w:tcPr>
          <w:p w14:paraId="49465B36" w14:textId="77777777" w:rsidR="00451A3E" w:rsidRPr="00986F85" w:rsidRDefault="00451A3E" w:rsidP="00451A3E">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709" w:type="dxa"/>
            <w:tcBorders>
              <w:top w:val="nil"/>
              <w:left w:val="nil"/>
              <w:bottom w:val="single" w:sz="4" w:space="0" w:color="auto"/>
              <w:right w:val="single" w:sz="4" w:space="0" w:color="auto"/>
            </w:tcBorders>
            <w:shd w:val="clear" w:color="000000" w:fill="BFBFBF"/>
            <w:noWrap/>
            <w:vAlign w:val="bottom"/>
            <w:hideMark/>
          </w:tcPr>
          <w:p w14:paraId="2B25F106" w14:textId="77777777" w:rsidR="00451A3E" w:rsidRPr="00986F85" w:rsidRDefault="00451A3E" w:rsidP="00451A3E">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709" w:type="dxa"/>
            <w:tcBorders>
              <w:top w:val="nil"/>
              <w:left w:val="nil"/>
              <w:bottom w:val="single" w:sz="4" w:space="0" w:color="auto"/>
              <w:right w:val="single" w:sz="4" w:space="0" w:color="auto"/>
            </w:tcBorders>
            <w:shd w:val="clear" w:color="000000" w:fill="BFBFBF"/>
            <w:noWrap/>
            <w:vAlign w:val="bottom"/>
            <w:hideMark/>
          </w:tcPr>
          <w:p w14:paraId="699C34D1" w14:textId="77777777" w:rsidR="00451A3E" w:rsidRPr="00986F85" w:rsidRDefault="00451A3E" w:rsidP="00451A3E">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709" w:type="dxa"/>
            <w:tcBorders>
              <w:top w:val="nil"/>
              <w:left w:val="nil"/>
              <w:bottom w:val="single" w:sz="4" w:space="0" w:color="auto"/>
              <w:right w:val="single" w:sz="4" w:space="0" w:color="auto"/>
            </w:tcBorders>
            <w:shd w:val="clear" w:color="000000" w:fill="BFBFBF"/>
            <w:noWrap/>
            <w:vAlign w:val="bottom"/>
            <w:hideMark/>
          </w:tcPr>
          <w:p w14:paraId="28A31443" w14:textId="77777777" w:rsidR="00451A3E" w:rsidRPr="00986F85" w:rsidRDefault="00451A3E" w:rsidP="00451A3E">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850" w:type="dxa"/>
            <w:tcBorders>
              <w:top w:val="nil"/>
              <w:left w:val="nil"/>
              <w:bottom w:val="single" w:sz="4" w:space="0" w:color="auto"/>
              <w:right w:val="single" w:sz="4" w:space="0" w:color="auto"/>
            </w:tcBorders>
            <w:shd w:val="clear" w:color="000000" w:fill="BFBFBF"/>
            <w:noWrap/>
            <w:vAlign w:val="bottom"/>
            <w:hideMark/>
          </w:tcPr>
          <w:p w14:paraId="134D1C1E" w14:textId="77777777" w:rsidR="00451A3E" w:rsidRPr="00986F85" w:rsidRDefault="00451A3E" w:rsidP="00451A3E">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851" w:type="dxa"/>
            <w:tcBorders>
              <w:top w:val="nil"/>
              <w:left w:val="nil"/>
              <w:bottom w:val="single" w:sz="4" w:space="0" w:color="auto"/>
              <w:right w:val="single" w:sz="4" w:space="0" w:color="auto"/>
            </w:tcBorders>
            <w:shd w:val="clear" w:color="000000" w:fill="BFBFBF"/>
            <w:noWrap/>
            <w:vAlign w:val="bottom"/>
            <w:hideMark/>
          </w:tcPr>
          <w:p w14:paraId="103C7335" w14:textId="77777777" w:rsidR="00451A3E" w:rsidRPr="00986F85" w:rsidRDefault="00451A3E" w:rsidP="00451A3E">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c>
          <w:tcPr>
            <w:tcW w:w="850" w:type="dxa"/>
            <w:tcBorders>
              <w:top w:val="nil"/>
              <w:left w:val="nil"/>
              <w:bottom w:val="single" w:sz="4" w:space="0" w:color="auto"/>
              <w:right w:val="single" w:sz="4" w:space="0" w:color="auto"/>
            </w:tcBorders>
            <w:shd w:val="clear" w:color="000000" w:fill="BFBFBF"/>
            <w:noWrap/>
            <w:vAlign w:val="bottom"/>
            <w:hideMark/>
          </w:tcPr>
          <w:p w14:paraId="7A1C7697" w14:textId="77777777" w:rsidR="00451A3E" w:rsidRPr="00986F85" w:rsidRDefault="00451A3E" w:rsidP="00451A3E">
            <w:pPr>
              <w:suppressAutoHyphens w:val="0"/>
              <w:spacing w:after="0" w:line="240" w:lineRule="auto"/>
              <w:rPr>
                <w:rFonts w:eastAsia="Times New Roman" w:cs="Times New Roman"/>
                <w:color w:val="000000"/>
                <w:sz w:val="16"/>
                <w:szCs w:val="16"/>
                <w:lang w:val="en-US" w:eastAsia="en-US"/>
              </w:rPr>
            </w:pPr>
            <w:r w:rsidRPr="00986F85">
              <w:rPr>
                <w:rFonts w:eastAsia="Times New Roman" w:cs="Times New Roman"/>
                <w:color w:val="000000"/>
                <w:sz w:val="16"/>
                <w:szCs w:val="16"/>
                <w:lang w:val="en-US" w:eastAsia="en-US"/>
              </w:rPr>
              <w:t> </w:t>
            </w:r>
          </w:p>
        </w:tc>
      </w:tr>
    </w:tbl>
    <w:p w14:paraId="2F152BEC" w14:textId="77777777" w:rsidR="00891141" w:rsidRPr="00986F85" w:rsidRDefault="00891141" w:rsidP="00891141">
      <w:pPr>
        <w:spacing w:after="0" w:line="240" w:lineRule="auto"/>
        <w:jc w:val="both"/>
        <w:rPr>
          <w:rFonts w:cs="Times New Roman"/>
          <w:i/>
          <w:sz w:val="22"/>
          <w:szCs w:val="24"/>
        </w:rPr>
      </w:pPr>
    </w:p>
    <w:p w14:paraId="5A42BB86" w14:textId="77777777" w:rsidR="00891141" w:rsidRPr="00986F85" w:rsidRDefault="00891141" w:rsidP="00891141">
      <w:pPr>
        <w:spacing w:after="0" w:line="240" w:lineRule="auto"/>
        <w:jc w:val="both"/>
        <w:rPr>
          <w:rFonts w:eastAsia="Times New Roman" w:cs="Times New Roman"/>
          <w:i/>
          <w:color w:val="000000"/>
          <w:sz w:val="22"/>
          <w:szCs w:val="24"/>
          <w:lang w:eastAsia="hu-HU"/>
        </w:rPr>
      </w:pPr>
      <w:r w:rsidRPr="00986F85">
        <w:rPr>
          <w:i/>
          <w:sz w:val="22"/>
          <w:szCs w:val="24"/>
        </w:rPr>
        <w:t xml:space="preserve">Megjegyzések:  </w:t>
      </w:r>
      <w:r w:rsidRPr="00986F85">
        <w:rPr>
          <w:rFonts w:eastAsia="Times New Roman" w:cs="Times New Roman"/>
          <w:i/>
          <w:color w:val="000000"/>
          <w:sz w:val="22"/>
          <w:szCs w:val="24"/>
          <w:lang w:eastAsia="hu-HU"/>
        </w:rPr>
        <w:t xml:space="preserve">A panel becslést lefuttattuk a teljes mintán, és egy olyan szűkített mintán (Crump et al alapján), ahol csak az 1-90% közötti propensity score-ú cégeket hagytuk bent. A táblázatban a Crump et al (2009) alapján szűkített mintán történt becslések eredményei szerepelnek. </w:t>
      </w:r>
    </w:p>
    <w:p w14:paraId="4D20E5C3" w14:textId="77777777" w:rsidR="00891141" w:rsidRPr="00986F85" w:rsidRDefault="00891141" w:rsidP="00891141">
      <w:pPr>
        <w:spacing w:after="0" w:line="240" w:lineRule="auto"/>
        <w:jc w:val="both"/>
        <w:rPr>
          <w:rFonts w:eastAsia="Times New Roman" w:cs="Times New Roman"/>
          <w:i/>
          <w:color w:val="000000"/>
          <w:sz w:val="22"/>
          <w:szCs w:val="24"/>
          <w:lang w:eastAsia="hu-HU"/>
        </w:rPr>
      </w:pPr>
      <w:r w:rsidRPr="00986F85">
        <w:rPr>
          <w:rFonts w:eastAsia="Times New Roman" w:cs="Times New Roman"/>
          <w:i/>
          <w:color w:val="000000"/>
          <w:sz w:val="22"/>
          <w:szCs w:val="24"/>
          <w:lang w:eastAsia="hu-HU"/>
        </w:rPr>
        <w:t>Minta: GOP2.1.1.A és KMOP1.2.1.A pályázatot nyert és 2006-2009 között meg is kapta az utolsó kifizetését, és csak ebből kapott kifizetést, illetve 2006-ban minimum 3 vagy 5 főt foglalkoztató vállalkozás.</w:t>
      </w:r>
    </w:p>
    <w:p w14:paraId="021B3AC4" w14:textId="77777777" w:rsidR="00453DE4" w:rsidRPr="00986F85" w:rsidRDefault="00453DE4" w:rsidP="001F3DBE">
      <w:pPr>
        <w:spacing w:after="0" w:line="360" w:lineRule="auto"/>
        <w:jc w:val="both"/>
        <w:rPr>
          <w:rFonts w:eastAsia="Times New Roman" w:cs="Times New Roman"/>
          <w:i/>
          <w:color w:val="000000"/>
          <w:szCs w:val="24"/>
          <w:lang w:eastAsia="hu-HU"/>
        </w:rPr>
      </w:pPr>
    </w:p>
    <w:p w14:paraId="69AA2B45" w14:textId="77777777" w:rsidR="00F67141" w:rsidRPr="00986F85" w:rsidRDefault="00F67141" w:rsidP="009D790A">
      <w:pPr>
        <w:widowControl w:val="0"/>
        <w:autoSpaceDE w:val="0"/>
        <w:autoSpaceDN w:val="0"/>
        <w:adjustRightInd w:val="0"/>
        <w:spacing w:line="360" w:lineRule="auto"/>
        <w:jc w:val="both"/>
        <w:rPr>
          <w:rFonts w:cs="Myriad Pro"/>
          <w:b/>
          <w:bCs/>
          <w:szCs w:val="24"/>
        </w:rPr>
        <w:sectPr w:rsidR="00F67141" w:rsidRPr="00986F85" w:rsidSect="00F67141">
          <w:pgSz w:w="16838" w:h="11906" w:orient="landscape" w:code="9"/>
          <w:pgMar w:top="1418" w:right="1418" w:bottom="1418" w:left="1418" w:header="720" w:footer="720" w:gutter="0"/>
          <w:cols w:space="720"/>
          <w:docGrid w:linePitch="360"/>
        </w:sectPr>
      </w:pPr>
    </w:p>
    <w:p w14:paraId="404AED81" w14:textId="77777777" w:rsidR="009D790A" w:rsidRPr="00986F85" w:rsidRDefault="009D790A" w:rsidP="009D790A">
      <w:pPr>
        <w:widowControl w:val="0"/>
        <w:autoSpaceDE w:val="0"/>
        <w:autoSpaceDN w:val="0"/>
        <w:adjustRightInd w:val="0"/>
        <w:spacing w:line="360" w:lineRule="auto"/>
        <w:jc w:val="both"/>
        <w:rPr>
          <w:szCs w:val="24"/>
        </w:rPr>
      </w:pPr>
      <w:r w:rsidRPr="00986F85">
        <w:rPr>
          <w:rFonts w:cs="Myriad Pro"/>
          <w:b/>
          <w:bCs/>
          <w:szCs w:val="24"/>
        </w:rPr>
        <w:lastRenderedPageBreak/>
        <w:t>Az eredmények közgazdasági interpretációja</w:t>
      </w:r>
    </w:p>
    <w:p w14:paraId="15864CE0" w14:textId="77777777" w:rsidR="00710ECF" w:rsidRPr="00986F85" w:rsidRDefault="009D790A" w:rsidP="009D790A">
      <w:pPr>
        <w:widowControl w:val="0"/>
        <w:autoSpaceDE w:val="0"/>
        <w:autoSpaceDN w:val="0"/>
        <w:adjustRightInd w:val="0"/>
        <w:spacing w:line="360" w:lineRule="auto"/>
        <w:jc w:val="both"/>
        <w:rPr>
          <w:rFonts w:cs="Times New Roman"/>
          <w:szCs w:val="24"/>
        </w:rPr>
      </w:pPr>
      <w:r w:rsidRPr="00986F85">
        <w:rPr>
          <w:rFonts w:cs="Myriad Pro"/>
          <w:szCs w:val="24"/>
        </w:rPr>
        <w:t xml:space="preserve">Az eredményekből az látható, hogy a támogatás hatására a kezelt cégek szignifikánsabban nagyobb kapacitásokat építettek ki, mint a kontrollcsoport cégei. Ezt mutatja a foglalkoztatottak számának és </w:t>
      </w:r>
      <w:r w:rsidR="00710ECF" w:rsidRPr="00986F85">
        <w:rPr>
          <w:rFonts w:cs="Times New Roman"/>
          <w:szCs w:val="24"/>
        </w:rPr>
        <w:t xml:space="preserve">két eljárásban is </w:t>
      </w:r>
      <w:r w:rsidRPr="00986F85">
        <w:rPr>
          <w:rFonts w:cs="Myriad Pro"/>
          <w:szCs w:val="24"/>
        </w:rPr>
        <w:t xml:space="preserve">a tárgyi eszköz állománynak a növekedése. </w:t>
      </w:r>
    </w:p>
    <w:p w14:paraId="5C3FED23" w14:textId="77777777" w:rsidR="00710ECF" w:rsidRPr="00986F85" w:rsidRDefault="009D790A" w:rsidP="009D790A">
      <w:pPr>
        <w:widowControl w:val="0"/>
        <w:autoSpaceDE w:val="0"/>
        <w:autoSpaceDN w:val="0"/>
        <w:adjustRightInd w:val="0"/>
        <w:spacing w:line="360" w:lineRule="auto"/>
        <w:jc w:val="both"/>
        <w:rPr>
          <w:rFonts w:cs="Times New Roman"/>
          <w:szCs w:val="24"/>
        </w:rPr>
      </w:pPr>
      <w:r w:rsidRPr="00986F85">
        <w:rPr>
          <w:rFonts w:cs="Myriad Pro"/>
          <w:szCs w:val="24"/>
        </w:rPr>
        <w:t>A tőkeintenzitás és a hozzáadott érték növekedése arra enged</w:t>
      </w:r>
      <w:r w:rsidR="00710ECF" w:rsidRPr="00986F85">
        <w:rPr>
          <w:rFonts w:cs="Times New Roman"/>
          <w:szCs w:val="24"/>
        </w:rPr>
        <w:t>ne</w:t>
      </w:r>
      <w:r w:rsidRPr="00986F85">
        <w:rPr>
          <w:rFonts w:cs="Myriad Pro"/>
          <w:szCs w:val="24"/>
        </w:rPr>
        <w:t xml:space="preserve"> következtetni, hogy a támogatásban részesülő cégek fejlettebb technológiát alkalmaznak, értékesebb termékeket, szolgáltatásokat áll</w:t>
      </w:r>
      <w:r w:rsidR="00710ECF" w:rsidRPr="00986F85">
        <w:rPr>
          <w:rFonts w:cs="Myriad Pro"/>
          <w:szCs w:val="24"/>
        </w:rPr>
        <w:t>ítanak elő a támogatás hatására</w:t>
      </w:r>
      <w:r w:rsidR="00710ECF" w:rsidRPr="00986F85">
        <w:rPr>
          <w:rFonts w:cs="Times New Roman"/>
          <w:szCs w:val="24"/>
        </w:rPr>
        <w:t>, azonban ezeket az eredményeket nem erősíti meg mindegyik becslésünk.</w:t>
      </w:r>
    </w:p>
    <w:p w14:paraId="1B7947A9" w14:textId="77777777" w:rsidR="009D790A" w:rsidRPr="00986F85" w:rsidRDefault="00710ECF" w:rsidP="009D790A">
      <w:pPr>
        <w:widowControl w:val="0"/>
        <w:autoSpaceDE w:val="0"/>
        <w:autoSpaceDN w:val="0"/>
        <w:adjustRightInd w:val="0"/>
        <w:spacing w:line="360" w:lineRule="auto"/>
        <w:jc w:val="both"/>
        <w:rPr>
          <w:szCs w:val="24"/>
        </w:rPr>
      </w:pPr>
      <w:r w:rsidRPr="00986F85">
        <w:rPr>
          <w:rFonts w:cs="Times New Roman"/>
          <w:szCs w:val="24"/>
        </w:rPr>
        <w:t xml:space="preserve">Ugyanakkor </w:t>
      </w:r>
      <w:r w:rsidR="009D790A" w:rsidRPr="00986F85">
        <w:rPr>
          <w:rFonts w:cs="Myriad Pro"/>
          <w:szCs w:val="24"/>
        </w:rPr>
        <w:t xml:space="preserve">a tőkeintenzitás és a foglalkoztatás egyidejű növekedését látjuk, </w:t>
      </w:r>
      <w:r w:rsidRPr="00986F85">
        <w:rPr>
          <w:rFonts w:cs="Times New Roman"/>
          <w:szCs w:val="24"/>
        </w:rPr>
        <w:t>ami arra utal, hogy</w:t>
      </w:r>
      <w:r w:rsidR="009D790A" w:rsidRPr="00986F85">
        <w:rPr>
          <w:rFonts w:cs="Myriad Pro"/>
          <w:szCs w:val="24"/>
        </w:rPr>
        <w:t xml:space="preserve"> pótló beruházásokon túlmenő eszközfejlesztés valósult meg. Ez az eredmény fenntartással kezelendő a tekintetben, hogy hiányzó adatok miatt azt nem tudtuk megítélni, mennyire jellemző, hogy a kezelt cégek alapvetően csak időben előre hozták amúgy is tervezett beruházásaikat, és kontrollcégeknél ugyanúgy megtették fejlesztéseiket – csak más forrásokból finanszírozva és későbbi időzítéssel (</w:t>
      </w:r>
      <w:r w:rsidR="006C624B" w:rsidRPr="00986F85">
        <w:rPr>
          <w:rFonts w:cs="Myriad Pro"/>
          <w:szCs w:val="24"/>
        </w:rPr>
        <w:t xml:space="preserve">ezzel kapcsolatban </w:t>
      </w:r>
      <w:r w:rsidR="009D790A" w:rsidRPr="00986F85">
        <w:rPr>
          <w:rFonts w:cs="Myriad Pro"/>
          <w:szCs w:val="24"/>
        </w:rPr>
        <w:t>lásd</w:t>
      </w:r>
      <w:r w:rsidR="006C624B" w:rsidRPr="00986F85">
        <w:rPr>
          <w:rFonts w:cs="Myriad Pro"/>
          <w:szCs w:val="24"/>
        </w:rPr>
        <w:t xml:space="preserve"> a </w:t>
      </w:r>
      <w:r w:rsidR="009D790A" w:rsidRPr="00986F85">
        <w:rPr>
          <w:rFonts w:cs="Myriad Pro"/>
          <w:szCs w:val="24"/>
        </w:rPr>
        <w:t>korábbi, vonatkozó elemzések eredményei</w:t>
      </w:r>
      <w:r w:rsidR="006C624B" w:rsidRPr="00986F85">
        <w:rPr>
          <w:rFonts w:cs="Myriad Pro"/>
          <w:szCs w:val="24"/>
        </w:rPr>
        <w:t>t</w:t>
      </w:r>
      <w:r w:rsidR="009D790A" w:rsidRPr="00986F85">
        <w:rPr>
          <w:rFonts w:cs="Myriad Pro"/>
          <w:szCs w:val="24"/>
        </w:rPr>
        <w:t xml:space="preserve"> – Agenda et al 2007).</w:t>
      </w:r>
    </w:p>
    <w:p w14:paraId="16BEE01C" w14:textId="77777777" w:rsidR="009D790A" w:rsidRPr="00986F85" w:rsidRDefault="009D790A" w:rsidP="009D790A">
      <w:pPr>
        <w:widowControl w:val="0"/>
        <w:autoSpaceDE w:val="0"/>
        <w:autoSpaceDN w:val="0"/>
        <w:adjustRightInd w:val="0"/>
        <w:spacing w:line="360" w:lineRule="auto"/>
        <w:jc w:val="both"/>
        <w:rPr>
          <w:szCs w:val="24"/>
        </w:rPr>
      </w:pPr>
      <w:r w:rsidRPr="00986F85">
        <w:rPr>
          <w:rFonts w:cs="Myriad Pro"/>
          <w:szCs w:val="24"/>
        </w:rPr>
        <w:t>Az árbevételre gyakorolt hatás csak részben volt szignifikáns. Ez arra enged következtetni, hogy a támogatott vállalatok ugyan kiépítették a kapacitásokat, de nem tudták érdemben növelni árbevételüket a kontrollcsoport cégeihez viszonyítva. Az okok feltárása további, megfigyelhető vállalati jellemzők szerinti kvantitatív, illetve interjúra alapozott kvalitatív vizsgálatokat igényelne. Minden</w:t>
      </w:r>
      <w:r w:rsidR="009C6C58" w:rsidRPr="00986F85">
        <w:rPr>
          <w:rFonts w:cs="Myriad Pro"/>
          <w:szCs w:val="24"/>
        </w:rPr>
        <w:t>esetre, feltételezzük, hogy e</w:t>
      </w:r>
      <w:r w:rsidRPr="00986F85">
        <w:rPr>
          <w:rFonts w:cs="Myriad Pro"/>
          <w:szCs w:val="24"/>
        </w:rPr>
        <w:t xml:space="preserve"> cél elérését nagyban segítené a hazai makrokörnyezet stabilitásának és kiszámíthatóságának az erősítése, valamint a hazai üzleti környezet (pl. adminisztratív terhek) érdemi egyszerűsítése. Továbbá, érdemes lenne a vizsgálatot a program teljes kifutását követően ismételni (2015), hiszen sok támogatott esetében a fejlesztett kapacitások kiépítése után idő kell a bővített termelés, szolgáltatás felfuttatására, az értékesítés csúcsra járatására. Az elmúlt években, stagnáló és recesszió közeli állapotban nagyon kicsi a tere az áremelési törekvéseknek, főleg az alapvetően kis piaci részesedésű, árelfogadó kis-és középvállalkozások esetében, ezért korlátozott az értékesítési árak növelési lehetősége. </w:t>
      </w:r>
    </w:p>
    <w:p w14:paraId="33A8511D" w14:textId="77777777" w:rsidR="00081FA0" w:rsidRPr="00986F85" w:rsidRDefault="001F3DBE" w:rsidP="001F3DBE">
      <w:pPr>
        <w:spacing w:after="0" w:line="360" w:lineRule="auto"/>
        <w:jc w:val="both"/>
        <w:rPr>
          <w:rFonts w:cs="Times New Roman"/>
          <w:b/>
          <w:szCs w:val="24"/>
        </w:rPr>
      </w:pPr>
      <w:r w:rsidRPr="00986F85">
        <w:rPr>
          <w:b/>
          <w:szCs w:val="24"/>
        </w:rPr>
        <w:lastRenderedPageBreak/>
        <w:t>Összefoglalva elmondható, hogy mindkét pályázati csoportban, mindkét létszám almintán, mindhárom modell alapján</w:t>
      </w:r>
      <w:r w:rsidR="00081FA0" w:rsidRPr="00986F85">
        <w:rPr>
          <w:rFonts w:cs="Times New Roman"/>
          <w:b/>
          <w:szCs w:val="24"/>
        </w:rPr>
        <w:t>:</w:t>
      </w:r>
    </w:p>
    <w:p w14:paraId="5B3C8F30" w14:textId="77777777" w:rsidR="00511745" w:rsidRPr="00986F85" w:rsidRDefault="00081FA0" w:rsidP="00081FA0">
      <w:pPr>
        <w:numPr>
          <w:ilvl w:val="0"/>
          <w:numId w:val="35"/>
        </w:numPr>
        <w:spacing w:after="0" w:line="360" w:lineRule="auto"/>
        <w:jc w:val="both"/>
        <w:rPr>
          <w:rFonts w:cs="Times New Roman"/>
          <w:b/>
          <w:szCs w:val="24"/>
        </w:rPr>
      </w:pPr>
      <w:r w:rsidRPr="00986F85">
        <w:rPr>
          <w:b/>
          <w:szCs w:val="24"/>
        </w:rPr>
        <w:t>P</w:t>
      </w:r>
      <w:r w:rsidR="001F3DBE" w:rsidRPr="00986F85">
        <w:rPr>
          <w:b/>
          <w:szCs w:val="24"/>
        </w:rPr>
        <w:t>ozitív szignifikáns hatása volt a támogatásnak</w:t>
      </w:r>
      <w:r w:rsidRPr="00986F85">
        <w:rPr>
          <w:rFonts w:cs="Times New Roman"/>
          <w:b/>
          <w:szCs w:val="24"/>
        </w:rPr>
        <w:t xml:space="preserve"> </w:t>
      </w:r>
      <w:r w:rsidR="001F3DBE" w:rsidRPr="00986F85">
        <w:rPr>
          <w:b/>
          <w:szCs w:val="24"/>
        </w:rPr>
        <w:t>a kezelt cégek foglalkoztatás</w:t>
      </w:r>
      <w:r w:rsidR="00C326AC" w:rsidRPr="00986F85">
        <w:rPr>
          <w:rFonts w:cs="Times New Roman"/>
          <w:b/>
          <w:szCs w:val="24"/>
        </w:rPr>
        <w:t>á</w:t>
      </w:r>
      <w:r w:rsidR="00FC0B70" w:rsidRPr="00986F85">
        <w:rPr>
          <w:rFonts w:cs="Times New Roman"/>
          <w:b/>
          <w:szCs w:val="24"/>
        </w:rPr>
        <w:t xml:space="preserve">ra és </w:t>
      </w:r>
      <w:r w:rsidR="00511745" w:rsidRPr="00986F85">
        <w:rPr>
          <w:rFonts w:cs="Times New Roman"/>
          <w:b/>
          <w:szCs w:val="24"/>
        </w:rPr>
        <w:t xml:space="preserve">a tárgyi eszköz állományra, </w:t>
      </w:r>
      <w:r w:rsidR="00FC0B70" w:rsidRPr="00986F85">
        <w:rPr>
          <w:rFonts w:cs="Times New Roman"/>
          <w:b/>
          <w:szCs w:val="24"/>
        </w:rPr>
        <w:t xml:space="preserve">azonban </w:t>
      </w:r>
    </w:p>
    <w:p w14:paraId="3D4E137B" w14:textId="77777777" w:rsidR="00FC0B70" w:rsidRPr="00986F85" w:rsidRDefault="006C624B" w:rsidP="00081FA0">
      <w:pPr>
        <w:numPr>
          <w:ilvl w:val="0"/>
          <w:numId w:val="35"/>
        </w:numPr>
        <w:spacing w:after="0" w:line="360" w:lineRule="auto"/>
        <w:jc w:val="both"/>
        <w:rPr>
          <w:rFonts w:cs="Times New Roman"/>
          <w:b/>
          <w:szCs w:val="24"/>
        </w:rPr>
      </w:pPr>
      <w:r w:rsidRPr="00986F85">
        <w:rPr>
          <w:b/>
          <w:szCs w:val="24"/>
        </w:rPr>
        <w:t xml:space="preserve">Nem tudtuk megmutatni, hogy </w:t>
      </w:r>
      <w:r w:rsidR="00FC0B70" w:rsidRPr="00986F85">
        <w:rPr>
          <w:b/>
          <w:szCs w:val="24"/>
        </w:rPr>
        <w:t xml:space="preserve">a program </w:t>
      </w:r>
      <w:r w:rsidRPr="00986F85">
        <w:rPr>
          <w:b/>
          <w:szCs w:val="24"/>
        </w:rPr>
        <w:t>el</w:t>
      </w:r>
      <w:r w:rsidR="00FC0B70" w:rsidRPr="00986F85">
        <w:rPr>
          <w:rFonts w:cs="Times New Roman"/>
          <w:b/>
          <w:szCs w:val="24"/>
        </w:rPr>
        <w:t xml:space="preserve">érte el </w:t>
      </w:r>
      <w:r w:rsidRPr="00986F85">
        <w:rPr>
          <w:rFonts w:cs="Times New Roman"/>
          <w:b/>
          <w:szCs w:val="24"/>
        </w:rPr>
        <w:t xml:space="preserve">volna </w:t>
      </w:r>
      <w:r w:rsidR="00FC0B70" w:rsidRPr="00986F85">
        <w:rPr>
          <w:rFonts w:cs="Times New Roman"/>
          <w:b/>
          <w:szCs w:val="24"/>
        </w:rPr>
        <w:t xml:space="preserve">azt a célját, hogy a támogatott cégek árbevétele növekedjen. </w:t>
      </w:r>
    </w:p>
    <w:p w14:paraId="774E36DD" w14:textId="77777777" w:rsidR="00511745" w:rsidRPr="00986F85" w:rsidRDefault="00376B31" w:rsidP="00511745">
      <w:pPr>
        <w:spacing w:after="0" w:line="360" w:lineRule="auto"/>
        <w:jc w:val="both"/>
        <w:rPr>
          <w:rFonts w:cs="Times New Roman"/>
          <w:b/>
          <w:szCs w:val="24"/>
        </w:rPr>
      </w:pPr>
      <w:r w:rsidRPr="00986F85">
        <w:rPr>
          <w:rFonts w:cs="Times New Roman"/>
          <w:b/>
          <w:szCs w:val="24"/>
        </w:rPr>
        <w:t xml:space="preserve">A foglalkoztatottak szignifikáns növekedése mellett a </w:t>
      </w:r>
      <w:r w:rsidR="00511745" w:rsidRPr="00986F85">
        <w:rPr>
          <w:rFonts w:cs="Times New Roman"/>
          <w:b/>
          <w:szCs w:val="24"/>
        </w:rPr>
        <w:t xml:space="preserve">tőkeállomány </w:t>
      </w:r>
      <w:r w:rsidRPr="00986F85">
        <w:rPr>
          <w:rFonts w:cs="Times New Roman"/>
          <w:b/>
          <w:szCs w:val="24"/>
        </w:rPr>
        <w:t xml:space="preserve">kis mértékben, az árbevétel pedig egyáltalán nem javult a kezeltek esetében. Mindez a termelékenységi mutatók romlását indikálja. </w:t>
      </w:r>
    </w:p>
    <w:p w14:paraId="0E9BACAE" w14:textId="77777777" w:rsidR="00CD55E8" w:rsidRPr="00986F85" w:rsidRDefault="00CD55E8" w:rsidP="00511745">
      <w:pPr>
        <w:spacing w:after="0" w:line="360" w:lineRule="auto"/>
        <w:jc w:val="both"/>
        <w:rPr>
          <w:rFonts w:cs="Times New Roman"/>
          <w:b/>
          <w:szCs w:val="24"/>
        </w:rPr>
      </w:pPr>
    </w:p>
    <w:p w14:paraId="053C5460" w14:textId="77777777" w:rsidR="00CD55E8" w:rsidRPr="00986F85" w:rsidRDefault="00CD55E8" w:rsidP="00511745">
      <w:pPr>
        <w:spacing w:after="0" w:line="360" w:lineRule="auto"/>
        <w:jc w:val="both"/>
        <w:rPr>
          <w:rFonts w:cs="Times New Roman"/>
          <w:b/>
          <w:szCs w:val="24"/>
        </w:rPr>
      </w:pPr>
      <w:r w:rsidRPr="00986F85">
        <w:rPr>
          <w:rFonts w:cs="Times New Roman"/>
          <w:b/>
          <w:szCs w:val="24"/>
        </w:rPr>
        <w:t xml:space="preserve">Emellett fontos két megjegyzést tenni. Először is, nem tudtuk mérni, hogy a támogatások következtében megfigyelhető-e kiszorítási hatás – azaz, hogy a támogatott vállalatok más vállalkozások kárára vettek-e fel plusz munkaerőt, ruháztak-e be pótlólagos eszközökbe, technológiába, kiszorítva ezzel az adott, helyi piacon más vállalkozásokat. Kiszorítási hatás esetében ugyanis makro szinten kiolthatják egymást a támogatás járulékos hatásai. Másrészről, az sem egyértelmű, hogy foglalkoztatási szempontból a program társadalmi hasznossága is pozitív. Ezt más, foglalkoztatás ösztönző programok (pl. TÁMOP alatt futó, aktív munkaerőpiaci eszközöket alkalmazásó beavatkozások) költségeivel és pozitív hozadékaival való összehasonlítás alapján lenne érdemes megerősíteni, vagy cáfolni. </w:t>
      </w:r>
    </w:p>
    <w:p w14:paraId="767D8D16" w14:textId="77777777" w:rsidR="00114D66" w:rsidRPr="00986F85" w:rsidRDefault="00114D66" w:rsidP="00112C69">
      <w:pPr>
        <w:spacing w:after="0" w:line="360" w:lineRule="auto"/>
        <w:jc w:val="both"/>
        <w:rPr>
          <w:rFonts w:cs="Times New Roman"/>
          <w:szCs w:val="24"/>
        </w:rPr>
      </w:pPr>
    </w:p>
    <w:p w14:paraId="499A7742" w14:textId="77777777" w:rsidR="00112C69" w:rsidRPr="00986F85" w:rsidRDefault="00B02FA2" w:rsidP="002A4748">
      <w:pPr>
        <w:spacing w:after="0" w:line="360" w:lineRule="auto"/>
        <w:jc w:val="both"/>
        <w:rPr>
          <w:rFonts w:cs="Times New Roman"/>
          <w:szCs w:val="24"/>
        </w:rPr>
      </w:pPr>
      <w:r w:rsidRPr="00986F85">
        <w:rPr>
          <w:rFonts w:cs="Times New Roman"/>
          <w:szCs w:val="24"/>
        </w:rPr>
        <w:t>Két további fontos fenntartást kell</w:t>
      </w:r>
      <w:r w:rsidR="00187EF0" w:rsidRPr="00986F85">
        <w:rPr>
          <w:rFonts w:cs="Times New Roman"/>
          <w:szCs w:val="24"/>
        </w:rPr>
        <w:t xml:space="preserve"> még</w:t>
      </w:r>
      <w:r w:rsidRPr="00986F85">
        <w:rPr>
          <w:rFonts w:cs="Times New Roman"/>
          <w:szCs w:val="24"/>
        </w:rPr>
        <w:t xml:space="preserve"> megemlítenünk: i) az egyes becslési eljárások eredményei nagyban függtek az adott minta létszámától – azaz, a </w:t>
      </w:r>
      <w:r w:rsidRPr="00986F85">
        <w:rPr>
          <w:szCs w:val="24"/>
        </w:rPr>
        <w:t xml:space="preserve">modellek érzékenyek </w:t>
      </w:r>
      <w:r w:rsidR="001F3DBE" w:rsidRPr="00986F85">
        <w:rPr>
          <w:szCs w:val="24"/>
        </w:rPr>
        <w:t>a kezelt cégek számára. Tekintve, hogy a 2007-2011 közötti GOP A-t elnyert cégek száma lényegesen több, mint amit most megvizsgáltunk, ezért elképzelhető, hogy a teljes kezelt sokaságra más eredményeket kapnánk</w:t>
      </w:r>
      <w:r w:rsidR="00187EF0" w:rsidRPr="00986F85">
        <w:rPr>
          <w:rFonts w:cs="Times New Roman"/>
          <w:szCs w:val="24"/>
        </w:rPr>
        <w:t xml:space="preserve"> egy legkorábban 2015 tájékán megismételt, </w:t>
      </w:r>
      <w:r w:rsidR="00187EF0" w:rsidRPr="00986F85">
        <w:rPr>
          <w:rFonts w:cs="Times New Roman"/>
          <w:i/>
          <w:szCs w:val="24"/>
        </w:rPr>
        <w:t xml:space="preserve">ex post </w:t>
      </w:r>
      <w:r w:rsidR="00187EF0" w:rsidRPr="00986F85">
        <w:rPr>
          <w:rFonts w:cs="Times New Roman"/>
          <w:szCs w:val="24"/>
        </w:rPr>
        <w:t xml:space="preserve"> hatásvizsgálat során</w:t>
      </w:r>
      <w:r w:rsidR="00A70158" w:rsidRPr="00986F85">
        <w:rPr>
          <w:rFonts w:cs="Times New Roman"/>
          <w:szCs w:val="24"/>
        </w:rPr>
        <w:t>.</w:t>
      </w:r>
      <w:r w:rsidR="002A4748" w:rsidRPr="00986F85">
        <w:rPr>
          <w:rFonts w:cs="Times New Roman"/>
          <w:szCs w:val="24"/>
        </w:rPr>
        <w:t xml:space="preserve"> A jelenleg </w:t>
      </w:r>
      <w:r w:rsidR="00A70158" w:rsidRPr="00986F85">
        <w:rPr>
          <w:szCs w:val="24"/>
        </w:rPr>
        <w:t>rendelkezésre álló adatok nem elégségesek, hiszen a 2009 után (vagyis 2010 vagy 2011-ben) pályázati kifizetést kapott cégek adatai csak 2011</w:t>
      </w:r>
      <w:r w:rsidR="00A70158" w:rsidRPr="00986F85">
        <w:rPr>
          <w:rFonts w:cs="Times New Roman"/>
          <w:szCs w:val="24"/>
        </w:rPr>
        <w:t>-</w:t>
      </w:r>
      <w:r w:rsidR="00A70158" w:rsidRPr="00986F85">
        <w:rPr>
          <w:szCs w:val="24"/>
        </w:rPr>
        <w:t xml:space="preserve">ig </w:t>
      </w:r>
      <w:r w:rsidR="00A70158" w:rsidRPr="00986F85">
        <w:rPr>
          <w:rFonts w:cs="Times New Roman"/>
          <w:szCs w:val="24"/>
        </w:rPr>
        <w:t>ismertek</w:t>
      </w:r>
      <w:r w:rsidR="00A70158" w:rsidRPr="00986F85">
        <w:rPr>
          <w:szCs w:val="24"/>
        </w:rPr>
        <w:t>. Ilyen rövid időtávon pedig értelmetlen volna hatást várni és vizsgálni. Í</w:t>
      </w:r>
      <w:r w:rsidR="00A70158" w:rsidRPr="00986F85">
        <w:rPr>
          <w:rFonts w:cs="Times New Roman"/>
          <w:szCs w:val="24"/>
        </w:rPr>
        <w:t>gy</w:t>
      </w:r>
      <w:r w:rsidR="001F3DBE" w:rsidRPr="00986F85">
        <w:rPr>
          <w:szCs w:val="24"/>
        </w:rPr>
        <w:t xml:space="preserve"> </w:t>
      </w:r>
      <w:r w:rsidR="0006037A" w:rsidRPr="00986F85">
        <w:rPr>
          <w:rFonts w:cs="Times New Roman"/>
          <w:szCs w:val="24"/>
        </w:rPr>
        <w:t xml:space="preserve">a </w:t>
      </w:r>
      <w:r w:rsidR="0006037A" w:rsidRPr="00986F85">
        <w:rPr>
          <w:rFonts w:cs="Times New Roman"/>
          <w:szCs w:val="24"/>
        </w:rPr>
        <w:lastRenderedPageBreak/>
        <w:t xml:space="preserve">mostani </w:t>
      </w:r>
      <w:r w:rsidR="001F3DBE" w:rsidRPr="00986F85">
        <w:rPr>
          <w:szCs w:val="24"/>
        </w:rPr>
        <w:t xml:space="preserve">eredményeket csak nagy óvatossággal lehet kivetíteni a teljes GOP </w:t>
      </w:r>
      <w:r w:rsidRPr="00986F85">
        <w:rPr>
          <w:rFonts w:cs="Times New Roman"/>
          <w:szCs w:val="24"/>
        </w:rPr>
        <w:t>2.1.1.</w:t>
      </w:r>
      <w:r w:rsidR="00975F69" w:rsidRPr="00986F85">
        <w:rPr>
          <w:rFonts w:cs="Times New Roman"/>
          <w:szCs w:val="24"/>
        </w:rPr>
        <w:t xml:space="preserve"> A és KMOP 1.2.1. A</w:t>
      </w:r>
      <w:r w:rsidRPr="00986F85">
        <w:rPr>
          <w:rFonts w:cs="Times New Roman"/>
          <w:szCs w:val="24"/>
        </w:rPr>
        <w:t xml:space="preserve"> </w:t>
      </w:r>
      <w:r w:rsidR="00975F69" w:rsidRPr="00986F85">
        <w:rPr>
          <w:rFonts w:cs="Times New Roman"/>
          <w:szCs w:val="24"/>
        </w:rPr>
        <w:t>konstrukciók</w:t>
      </w:r>
      <w:r w:rsidRPr="00986F85">
        <w:rPr>
          <w:rFonts w:cs="Times New Roman"/>
          <w:szCs w:val="24"/>
        </w:rPr>
        <w:t xml:space="preserve"> </w:t>
      </w:r>
      <w:r w:rsidR="00975F69" w:rsidRPr="00986F85">
        <w:rPr>
          <w:szCs w:val="24"/>
        </w:rPr>
        <w:t>megítélésére, illetve nem tekinthetők kiinduló pontnak a</w:t>
      </w:r>
      <w:r w:rsidR="00975F69" w:rsidRPr="00986F85">
        <w:rPr>
          <w:rFonts w:cs="Times New Roman"/>
          <w:szCs w:val="24"/>
        </w:rPr>
        <w:t xml:space="preserve"> kapcsolódó GOP és KMOP konstrukció hatásainak becslésénél – tekintve, hogy ezek célcsoportja nem esik teljesen egybe az A konstrukciók alatti vállalkozásokkal. </w:t>
      </w:r>
    </w:p>
    <w:p w14:paraId="45DDF8F7" w14:textId="77777777" w:rsidR="00B02FA2" w:rsidRPr="00986F85" w:rsidRDefault="00B02FA2" w:rsidP="00B02FA2">
      <w:pPr>
        <w:spacing w:after="0" w:line="360" w:lineRule="auto"/>
        <w:jc w:val="both"/>
        <w:rPr>
          <w:rFonts w:cs="Times New Roman"/>
          <w:szCs w:val="24"/>
        </w:rPr>
      </w:pPr>
    </w:p>
    <w:p w14:paraId="6FA4FB56" w14:textId="77777777" w:rsidR="00E35114" w:rsidRPr="00986F85" w:rsidRDefault="00E35114" w:rsidP="00B02FA2">
      <w:pPr>
        <w:spacing w:after="0" w:line="360" w:lineRule="auto"/>
        <w:jc w:val="both"/>
        <w:rPr>
          <w:rFonts w:cs="Times New Roman"/>
          <w:szCs w:val="24"/>
        </w:rPr>
        <w:sectPr w:rsidR="00E35114" w:rsidRPr="00986F85" w:rsidSect="00F67141">
          <w:pgSz w:w="11906" w:h="16838" w:code="9"/>
          <w:pgMar w:top="1418" w:right="1418" w:bottom="1418" w:left="1418" w:header="720" w:footer="720" w:gutter="0"/>
          <w:cols w:space="720"/>
          <w:docGrid w:linePitch="360"/>
        </w:sectPr>
      </w:pPr>
    </w:p>
    <w:p w14:paraId="274B09C1" w14:textId="77777777" w:rsidR="0076036B" w:rsidRPr="00986F85" w:rsidRDefault="00A45FCA" w:rsidP="00BD324F">
      <w:pPr>
        <w:pStyle w:val="Cmsor1"/>
        <w:spacing w:before="0" w:after="0" w:line="360" w:lineRule="auto"/>
        <w:jc w:val="both"/>
        <w:rPr>
          <w:szCs w:val="24"/>
        </w:rPr>
      </w:pPr>
      <w:bookmarkStart w:id="58" w:name="_Toc230854324"/>
      <w:r w:rsidRPr="00986F85">
        <w:rPr>
          <w:rFonts w:eastAsia="MS Mincho"/>
          <w:bCs w:val="0"/>
          <w:iCs/>
          <w:noProof/>
          <w:szCs w:val="24"/>
          <w:lang w:eastAsia="hu-HU"/>
        </w:rPr>
        <w:lastRenderedPageBreak/>
        <mc:AlternateContent>
          <mc:Choice Requires="wps">
            <w:drawing>
              <wp:anchor distT="0" distB="0" distL="114300" distR="114300" simplePos="0" relativeHeight="251660288" behindDoc="0" locked="0" layoutInCell="1" allowOverlap="1" wp14:anchorId="500D0467" wp14:editId="1E6EC667">
                <wp:simplePos x="0" y="0"/>
                <wp:positionH relativeFrom="column">
                  <wp:posOffset>48260</wp:posOffset>
                </wp:positionH>
                <wp:positionV relativeFrom="paragraph">
                  <wp:posOffset>358775</wp:posOffset>
                </wp:positionV>
                <wp:extent cx="5638800" cy="1235710"/>
                <wp:effectExtent l="0" t="0" r="0" b="8890"/>
                <wp:wrapTight wrapText="bothSides">
                  <wp:wrapPolygon edited="0">
                    <wp:start x="0" y="0"/>
                    <wp:lineTo x="0" y="21311"/>
                    <wp:lineTo x="21503" y="21311"/>
                    <wp:lineTo x="21503" y="0"/>
                    <wp:lineTo x="0" y="0"/>
                  </wp:wrapPolygon>
                </wp:wrapTight>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235710"/>
                        </a:xfrm>
                        <a:prstGeom prst="rect">
                          <a:avLst/>
                        </a:prstGeom>
                        <a:solidFill>
                          <a:srgbClr val="D8D8D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545EB39" w14:textId="77777777" w:rsidR="00E433FC" w:rsidRPr="000352E2" w:rsidRDefault="00E433FC" w:rsidP="00B46273">
                            <w:pPr>
                              <w:spacing w:after="0" w:line="360" w:lineRule="auto"/>
                              <w:jc w:val="both"/>
                              <w:rPr>
                                <w:rFonts w:cs="Times New Roman"/>
                                <w:b/>
                                <w:i/>
                                <w:szCs w:val="24"/>
                              </w:rPr>
                            </w:pPr>
                            <w:r w:rsidRPr="000352E2">
                              <w:rPr>
                                <w:rFonts w:cs="Times New Roman"/>
                                <w:b/>
                                <w:i/>
                                <w:szCs w:val="24"/>
                              </w:rPr>
                              <w:t>Milyen</w:t>
                            </w:r>
                            <w:r w:rsidRPr="000352E2">
                              <w:rPr>
                                <w:rFonts w:eastAsia="Times New Roman" w:cs="Times New Roman"/>
                                <w:b/>
                                <w:i/>
                                <w:szCs w:val="24"/>
                              </w:rPr>
                              <w:t xml:space="preserve"> </w:t>
                            </w:r>
                            <w:r w:rsidRPr="000352E2">
                              <w:rPr>
                                <w:rFonts w:cs="Times New Roman"/>
                                <w:b/>
                                <w:i/>
                                <w:szCs w:val="24"/>
                              </w:rPr>
                              <w:t>javítások,</w:t>
                            </w:r>
                            <w:r w:rsidRPr="000352E2">
                              <w:rPr>
                                <w:rFonts w:eastAsia="Times New Roman" w:cs="Times New Roman"/>
                                <w:b/>
                                <w:i/>
                                <w:szCs w:val="24"/>
                              </w:rPr>
                              <w:t xml:space="preserve"> </w:t>
                            </w:r>
                            <w:r w:rsidRPr="000352E2">
                              <w:rPr>
                                <w:rFonts w:cs="Times New Roman"/>
                                <w:b/>
                                <w:i/>
                                <w:szCs w:val="24"/>
                              </w:rPr>
                              <w:t>finomítások javasoltak: az</w:t>
                            </w:r>
                            <w:r w:rsidRPr="000352E2">
                              <w:rPr>
                                <w:rFonts w:eastAsia="Times New Roman" w:cs="Times New Roman"/>
                                <w:b/>
                                <w:i/>
                                <w:szCs w:val="24"/>
                              </w:rPr>
                              <w:t xml:space="preserve"> </w:t>
                            </w:r>
                            <w:r w:rsidRPr="000352E2">
                              <w:rPr>
                                <w:rFonts w:cs="Times New Roman"/>
                                <w:b/>
                                <w:i/>
                                <w:szCs w:val="24"/>
                              </w:rPr>
                              <w:t>(EMIR, egyéb kormányzati) adatgyűjtés,</w:t>
                            </w:r>
                            <w:r w:rsidRPr="000352E2">
                              <w:rPr>
                                <w:rFonts w:eastAsia="Times New Roman" w:cs="Times New Roman"/>
                                <w:b/>
                                <w:i/>
                                <w:szCs w:val="24"/>
                              </w:rPr>
                              <w:t xml:space="preserve"> </w:t>
                            </w:r>
                            <w:r w:rsidRPr="000352E2">
                              <w:rPr>
                                <w:rFonts w:cs="Times New Roman"/>
                                <w:b/>
                                <w:i/>
                                <w:szCs w:val="24"/>
                              </w:rPr>
                              <w:t>adatfeldolgozás,</w:t>
                            </w:r>
                            <w:r w:rsidRPr="000352E2">
                              <w:rPr>
                                <w:rFonts w:eastAsia="Times New Roman" w:cs="Times New Roman"/>
                                <w:b/>
                                <w:i/>
                                <w:szCs w:val="24"/>
                              </w:rPr>
                              <w:t xml:space="preserve"> </w:t>
                            </w:r>
                            <w:r w:rsidRPr="000352E2">
                              <w:rPr>
                                <w:rFonts w:cs="Times New Roman"/>
                                <w:b/>
                                <w:i/>
                                <w:szCs w:val="24"/>
                              </w:rPr>
                              <w:t>érintett</w:t>
                            </w:r>
                            <w:r w:rsidRPr="000352E2">
                              <w:rPr>
                                <w:rFonts w:eastAsia="Times New Roman" w:cs="Times New Roman"/>
                                <w:b/>
                                <w:i/>
                                <w:szCs w:val="24"/>
                              </w:rPr>
                              <w:t xml:space="preserve"> </w:t>
                            </w:r>
                            <w:r w:rsidRPr="000352E2">
                              <w:rPr>
                                <w:rFonts w:cs="Times New Roman"/>
                                <w:b/>
                                <w:i/>
                                <w:szCs w:val="24"/>
                              </w:rPr>
                              <w:t>adatbázisok</w:t>
                            </w:r>
                            <w:r w:rsidRPr="000352E2">
                              <w:rPr>
                                <w:rFonts w:eastAsia="Times New Roman" w:cs="Times New Roman"/>
                                <w:b/>
                                <w:i/>
                                <w:szCs w:val="24"/>
                              </w:rPr>
                              <w:t xml:space="preserve"> </w:t>
                            </w:r>
                            <w:r w:rsidRPr="000352E2">
                              <w:rPr>
                                <w:rFonts w:cs="Times New Roman"/>
                                <w:b/>
                                <w:i/>
                                <w:szCs w:val="24"/>
                              </w:rPr>
                              <w:t>fejlesztése</w:t>
                            </w:r>
                            <w:r w:rsidRPr="000352E2">
                              <w:rPr>
                                <w:rFonts w:eastAsia="Times New Roman" w:cs="Times New Roman"/>
                                <w:b/>
                                <w:i/>
                                <w:szCs w:val="24"/>
                              </w:rPr>
                              <w:t xml:space="preserve"> </w:t>
                            </w:r>
                            <w:r w:rsidRPr="000352E2">
                              <w:rPr>
                                <w:rFonts w:cs="Times New Roman"/>
                                <w:b/>
                                <w:i/>
                                <w:szCs w:val="24"/>
                              </w:rPr>
                              <w:t>során?</w:t>
                            </w:r>
                          </w:p>
                          <w:p w14:paraId="765DC4BE" w14:textId="77777777" w:rsidR="00E433FC" w:rsidRPr="000352E2" w:rsidRDefault="00E433FC" w:rsidP="00B46273">
                            <w:pPr>
                              <w:spacing w:after="0" w:line="360" w:lineRule="auto"/>
                              <w:jc w:val="both"/>
                              <w:rPr>
                                <w:rFonts w:cs="Times New Roman"/>
                                <w:b/>
                                <w:i/>
                                <w:szCs w:val="24"/>
                              </w:rPr>
                            </w:pPr>
                            <w:r w:rsidRPr="000352E2">
                              <w:rPr>
                                <w:rFonts w:cs="Times New Roman"/>
                                <w:b/>
                                <w:i/>
                                <w:szCs w:val="24"/>
                              </w:rPr>
                              <w:t>A</w:t>
                            </w:r>
                            <w:r w:rsidRPr="000352E2">
                              <w:rPr>
                                <w:rFonts w:eastAsia="Times New Roman" w:cs="Times New Roman"/>
                                <w:b/>
                                <w:i/>
                                <w:szCs w:val="24"/>
                              </w:rPr>
                              <w:t xml:space="preserve"> </w:t>
                            </w:r>
                            <w:r w:rsidRPr="000352E2">
                              <w:rPr>
                                <w:rFonts w:cs="Times New Roman"/>
                                <w:b/>
                                <w:i/>
                                <w:szCs w:val="24"/>
                              </w:rPr>
                              <w:t>hatásvizsgálat</w:t>
                            </w:r>
                            <w:r w:rsidRPr="000352E2">
                              <w:rPr>
                                <w:rFonts w:eastAsia="Times New Roman" w:cs="Times New Roman"/>
                                <w:b/>
                                <w:i/>
                                <w:szCs w:val="24"/>
                              </w:rPr>
                              <w:t xml:space="preserve"> </w:t>
                            </w:r>
                            <w:r w:rsidRPr="000352E2">
                              <w:rPr>
                                <w:rFonts w:cs="Times New Roman"/>
                                <w:b/>
                                <w:i/>
                                <w:szCs w:val="24"/>
                              </w:rPr>
                              <w:t>eredményei</w:t>
                            </w:r>
                            <w:r w:rsidRPr="000352E2">
                              <w:rPr>
                                <w:rFonts w:eastAsia="Times New Roman" w:cs="Times New Roman"/>
                                <w:b/>
                                <w:i/>
                                <w:szCs w:val="24"/>
                              </w:rPr>
                              <w:t xml:space="preserve"> </w:t>
                            </w:r>
                            <w:r w:rsidRPr="000352E2">
                              <w:rPr>
                                <w:rFonts w:cs="Times New Roman"/>
                                <w:b/>
                                <w:i/>
                                <w:szCs w:val="24"/>
                              </w:rPr>
                              <w:t>hogyan</w:t>
                            </w:r>
                            <w:r w:rsidRPr="000352E2">
                              <w:rPr>
                                <w:rFonts w:eastAsia="Times New Roman" w:cs="Times New Roman"/>
                                <w:b/>
                                <w:i/>
                                <w:szCs w:val="24"/>
                              </w:rPr>
                              <w:t xml:space="preserve"> </w:t>
                            </w:r>
                            <w:r w:rsidRPr="000352E2">
                              <w:rPr>
                                <w:rFonts w:cs="Times New Roman"/>
                                <w:b/>
                                <w:i/>
                                <w:szCs w:val="24"/>
                              </w:rPr>
                              <w:t>csatolhatók</w:t>
                            </w:r>
                            <w:r w:rsidRPr="000352E2">
                              <w:rPr>
                                <w:rFonts w:eastAsia="Times New Roman" w:cs="Times New Roman"/>
                                <w:b/>
                                <w:i/>
                                <w:szCs w:val="24"/>
                              </w:rPr>
                              <w:t xml:space="preserve"> </w:t>
                            </w:r>
                            <w:r w:rsidRPr="000352E2">
                              <w:rPr>
                                <w:rFonts w:cs="Times New Roman"/>
                                <w:b/>
                                <w:i/>
                                <w:szCs w:val="24"/>
                              </w:rPr>
                              <w:t>vissza</w:t>
                            </w:r>
                            <w:r w:rsidRPr="000352E2">
                              <w:rPr>
                                <w:rFonts w:eastAsia="Times New Roman" w:cs="Times New Roman"/>
                                <w:b/>
                                <w:i/>
                                <w:szCs w:val="24"/>
                              </w:rPr>
                              <w:t xml:space="preserve"> </w:t>
                            </w:r>
                            <w:r w:rsidRPr="000352E2">
                              <w:rPr>
                                <w:rFonts w:cs="Times New Roman"/>
                                <w:b/>
                                <w:i/>
                                <w:szCs w:val="24"/>
                              </w:rPr>
                              <w:t>a</w:t>
                            </w:r>
                            <w:r w:rsidRPr="000352E2">
                              <w:rPr>
                                <w:rFonts w:eastAsia="Times New Roman" w:cs="Times New Roman"/>
                                <w:b/>
                                <w:i/>
                                <w:szCs w:val="24"/>
                              </w:rPr>
                              <w:t xml:space="preserve"> </w:t>
                            </w:r>
                            <w:r w:rsidRPr="000352E2">
                              <w:rPr>
                                <w:rFonts w:cs="Times New Roman"/>
                                <w:b/>
                                <w:i/>
                                <w:szCs w:val="24"/>
                              </w:rPr>
                              <w:t>program-végrehajtás</w:t>
                            </w:r>
                            <w:r w:rsidRPr="000352E2">
                              <w:rPr>
                                <w:rFonts w:eastAsia="Times New Roman" w:cs="Times New Roman"/>
                                <w:b/>
                                <w:i/>
                                <w:szCs w:val="24"/>
                              </w:rPr>
                              <w:t xml:space="preserve"> </w:t>
                            </w:r>
                            <w:r w:rsidRPr="000352E2">
                              <w:rPr>
                                <w:rFonts w:cs="Times New Roman"/>
                                <w:b/>
                                <w:i/>
                                <w:szCs w:val="24"/>
                              </w:rPr>
                              <w:t>szintjére,</w:t>
                            </w:r>
                            <w:r w:rsidRPr="000352E2">
                              <w:rPr>
                                <w:rFonts w:eastAsia="Times New Roman" w:cs="Times New Roman"/>
                                <w:b/>
                                <w:i/>
                                <w:szCs w:val="24"/>
                              </w:rPr>
                              <w:t xml:space="preserve"> </w:t>
                            </w:r>
                            <w:r w:rsidRPr="000352E2">
                              <w:rPr>
                                <w:rFonts w:cs="Times New Roman"/>
                                <w:b/>
                                <w:i/>
                                <w:szCs w:val="24"/>
                              </w:rPr>
                              <w:t>a</w:t>
                            </w:r>
                            <w:r w:rsidRPr="000352E2">
                              <w:rPr>
                                <w:rFonts w:eastAsia="Times New Roman" w:cs="Times New Roman"/>
                                <w:b/>
                                <w:i/>
                                <w:szCs w:val="24"/>
                              </w:rPr>
                              <w:t xml:space="preserve"> </w:t>
                            </w:r>
                            <w:r w:rsidRPr="000352E2">
                              <w:rPr>
                                <w:rFonts w:cs="Times New Roman"/>
                                <w:b/>
                                <w:i/>
                                <w:szCs w:val="24"/>
                              </w:rPr>
                              <w:t>2014-2020.</w:t>
                            </w:r>
                            <w:r w:rsidRPr="000352E2">
                              <w:rPr>
                                <w:rFonts w:eastAsia="Times New Roman" w:cs="Times New Roman"/>
                                <w:b/>
                                <w:i/>
                                <w:szCs w:val="24"/>
                              </w:rPr>
                              <w:t xml:space="preserve"> </w:t>
                            </w:r>
                            <w:r w:rsidRPr="000352E2">
                              <w:rPr>
                                <w:rFonts w:cs="Times New Roman"/>
                                <w:b/>
                                <w:i/>
                                <w:szCs w:val="24"/>
                              </w:rPr>
                              <w:t>stratégiai</w:t>
                            </w:r>
                            <w:r w:rsidRPr="000352E2">
                              <w:rPr>
                                <w:rFonts w:eastAsia="Times New Roman" w:cs="Times New Roman"/>
                                <w:b/>
                                <w:i/>
                                <w:szCs w:val="24"/>
                              </w:rPr>
                              <w:t xml:space="preserve"> </w:t>
                            </w:r>
                            <w:r w:rsidRPr="000352E2">
                              <w:rPr>
                                <w:rFonts w:cs="Times New Roman"/>
                                <w:b/>
                                <w:i/>
                                <w:szCs w:val="24"/>
                              </w:rPr>
                              <w:t>időszak</w:t>
                            </w:r>
                            <w:r w:rsidRPr="000352E2">
                              <w:rPr>
                                <w:rFonts w:eastAsia="Times New Roman" w:cs="Times New Roman"/>
                                <w:b/>
                                <w:i/>
                                <w:szCs w:val="24"/>
                              </w:rPr>
                              <w:t xml:space="preserve"> </w:t>
                            </w:r>
                            <w:r w:rsidRPr="000352E2">
                              <w:rPr>
                                <w:rFonts w:cs="Times New Roman"/>
                                <w:b/>
                                <w:i/>
                                <w:szCs w:val="24"/>
                              </w:rPr>
                              <w:t>tervezésébe?</w:t>
                            </w:r>
                          </w:p>
                          <w:p w14:paraId="0651A177" w14:textId="77777777" w:rsidR="00E433FC" w:rsidRDefault="00E433F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D0467" id="Text Box 8" o:spid="_x0000_s1031" type="#_x0000_t202" style="position:absolute;left:0;text-align:left;margin-left:3.8pt;margin-top:28.25pt;width:444pt;height:9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" fillcolor="#d8d8d8" stroked="f">
                <v:textbox inset=",7.2pt,,7.2pt">
                  <w:txbxContent>
                    <w:p w14:paraId="5545EB39" w14:textId="77777777" w:rsidR="00E433FC" w:rsidRPr="000352E2" w:rsidRDefault="00E433FC" w:rsidP="00B46273">
                      <w:pPr>
                        <w:spacing w:after="0" w:line="360" w:lineRule="auto"/>
                        <w:jc w:val="both"/>
                        <w:rPr>
                          <w:rFonts w:cs="Times New Roman"/>
                          <w:b/>
                          <w:i/>
                          <w:szCs w:val="24"/>
                        </w:rPr>
                      </w:pPr>
                      <w:r w:rsidRPr="000352E2">
                        <w:rPr>
                          <w:rFonts w:cs="Times New Roman"/>
                          <w:b/>
                          <w:i/>
                          <w:szCs w:val="24"/>
                        </w:rPr>
                        <w:t>Milyen</w:t>
                      </w:r>
                      <w:r w:rsidRPr="000352E2">
                        <w:rPr>
                          <w:rFonts w:eastAsia="Times New Roman" w:cs="Times New Roman"/>
                          <w:b/>
                          <w:i/>
                          <w:szCs w:val="24"/>
                        </w:rPr>
                        <w:t xml:space="preserve"> </w:t>
                      </w:r>
                      <w:r w:rsidRPr="000352E2">
                        <w:rPr>
                          <w:rFonts w:cs="Times New Roman"/>
                          <w:b/>
                          <w:i/>
                          <w:szCs w:val="24"/>
                        </w:rPr>
                        <w:t>javítások,</w:t>
                      </w:r>
                      <w:r w:rsidRPr="000352E2">
                        <w:rPr>
                          <w:rFonts w:eastAsia="Times New Roman" w:cs="Times New Roman"/>
                          <w:b/>
                          <w:i/>
                          <w:szCs w:val="24"/>
                        </w:rPr>
                        <w:t xml:space="preserve"> </w:t>
                      </w:r>
                      <w:r w:rsidRPr="000352E2">
                        <w:rPr>
                          <w:rFonts w:cs="Times New Roman"/>
                          <w:b/>
                          <w:i/>
                          <w:szCs w:val="24"/>
                        </w:rPr>
                        <w:t>finomítások javasoltak: az</w:t>
                      </w:r>
                      <w:r w:rsidRPr="000352E2">
                        <w:rPr>
                          <w:rFonts w:eastAsia="Times New Roman" w:cs="Times New Roman"/>
                          <w:b/>
                          <w:i/>
                          <w:szCs w:val="24"/>
                        </w:rPr>
                        <w:t xml:space="preserve"> </w:t>
                      </w:r>
                      <w:r w:rsidRPr="000352E2">
                        <w:rPr>
                          <w:rFonts w:cs="Times New Roman"/>
                          <w:b/>
                          <w:i/>
                          <w:szCs w:val="24"/>
                        </w:rPr>
                        <w:t>(EMIR, egyéb kormányzati) adatgyűjtés,</w:t>
                      </w:r>
                      <w:r w:rsidRPr="000352E2">
                        <w:rPr>
                          <w:rFonts w:eastAsia="Times New Roman" w:cs="Times New Roman"/>
                          <w:b/>
                          <w:i/>
                          <w:szCs w:val="24"/>
                        </w:rPr>
                        <w:t xml:space="preserve"> </w:t>
                      </w:r>
                      <w:r w:rsidRPr="000352E2">
                        <w:rPr>
                          <w:rFonts w:cs="Times New Roman"/>
                          <w:b/>
                          <w:i/>
                          <w:szCs w:val="24"/>
                        </w:rPr>
                        <w:t>adatfeldolgozás,</w:t>
                      </w:r>
                      <w:r w:rsidRPr="000352E2">
                        <w:rPr>
                          <w:rFonts w:eastAsia="Times New Roman" w:cs="Times New Roman"/>
                          <w:b/>
                          <w:i/>
                          <w:szCs w:val="24"/>
                        </w:rPr>
                        <w:t xml:space="preserve"> </w:t>
                      </w:r>
                      <w:r w:rsidRPr="000352E2">
                        <w:rPr>
                          <w:rFonts w:cs="Times New Roman"/>
                          <w:b/>
                          <w:i/>
                          <w:szCs w:val="24"/>
                        </w:rPr>
                        <w:t>érintett</w:t>
                      </w:r>
                      <w:r w:rsidRPr="000352E2">
                        <w:rPr>
                          <w:rFonts w:eastAsia="Times New Roman" w:cs="Times New Roman"/>
                          <w:b/>
                          <w:i/>
                          <w:szCs w:val="24"/>
                        </w:rPr>
                        <w:t xml:space="preserve"> </w:t>
                      </w:r>
                      <w:r w:rsidRPr="000352E2">
                        <w:rPr>
                          <w:rFonts w:cs="Times New Roman"/>
                          <w:b/>
                          <w:i/>
                          <w:szCs w:val="24"/>
                        </w:rPr>
                        <w:t>adatbázisok</w:t>
                      </w:r>
                      <w:r w:rsidRPr="000352E2">
                        <w:rPr>
                          <w:rFonts w:eastAsia="Times New Roman" w:cs="Times New Roman"/>
                          <w:b/>
                          <w:i/>
                          <w:szCs w:val="24"/>
                        </w:rPr>
                        <w:t xml:space="preserve"> </w:t>
                      </w:r>
                      <w:r w:rsidRPr="000352E2">
                        <w:rPr>
                          <w:rFonts w:cs="Times New Roman"/>
                          <w:b/>
                          <w:i/>
                          <w:szCs w:val="24"/>
                        </w:rPr>
                        <w:t>fejlesztése</w:t>
                      </w:r>
                      <w:r w:rsidRPr="000352E2">
                        <w:rPr>
                          <w:rFonts w:eastAsia="Times New Roman" w:cs="Times New Roman"/>
                          <w:b/>
                          <w:i/>
                          <w:szCs w:val="24"/>
                        </w:rPr>
                        <w:t xml:space="preserve"> </w:t>
                      </w:r>
                      <w:r w:rsidRPr="000352E2">
                        <w:rPr>
                          <w:rFonts w:cs="Times New Roman"/>
                          <w:b/>
                          <w:i/>
                          <w:szCs w:val="24"/>
                        </w:rPr>
                        <w:t>során?</w:t>
                      </w:r>
                    </w:p>
                    <w:p w14:paraId="765DC4BE" w14:textId="77777777" w:rsidR="00E433FC" w:rsidRPr="000352E2" w:rsidRDefault="00E433FC" w:rsidP="00B46273">
                      <w:pPr>
                        <w:spacing w:after="0" w:line="360" w:lineRule="auto"/>
                        <w:jc w:val="both"/>
                        <w:rPr>
                          <w:rFonts w:cs="Times New Roman"/>
                          <w:b/>
                          <w:i/>
                          <w:szCs w:val="24"/>
                        </w:rPr>
                      </w:pPr>
                      <w:r w:rsidRPr="000352E2">
                        <w:rPr>
                          <w:rFonts w:cs="Times New Roman"/>
                          <w:b/>
                          <w:i/>
                          <w:szCs w:val="24"/>
                        </w:rPr>
                        <w:t>A</w:t>
                      </w:r>
                      <w:r w:rsidRPr="000352E2">
                        <w:rPr>
                          <w:rFonts w:eastAsia="Times New Roman" w:cs="Times New Roman"/>
                          <w:b/>
                          <w:i/>
                          <w:szCs w:val="24"/>
                        </w:rPr>
                        <w:t xml:space="preserve"> </w:t>
                      </w:r>
                      <w:r w:rsidRPr="000352E2">
                        <w:rPr>
                          <w:rFonts w:cs="Times New Roman"/>
                          <w:b/>
                          <w:i/>
                          <w:szCs w:val="24"/>
                        </w:rPr>
                        <w:t>hatásvizsgálat</w:t>
                      </w:r>
                      <w:r w:rsidRPr="000352E2">
                        <w:rPr>
                          <w:rFonts w:eastAsia="Times New Roman" w:cs="Times New Roman"/>
                          <w:b/>
                          <w:i/>
                          <w:szCs w:val="24"/>
                        </w:rPr>
                        <w:t xml:space="preserve"> </w:t>
                      </w:r>
                      <w:r w:rsidRPr="000352E2">
                        <w:rPr>
                          <w:rFonts w:cs="Times New Roman"/>
                          <w:b/>
                          <w:i/>
                          <w:szCs w:val="24"/>
                        </w:rPr>
                        <w:t>eredményei</w:t>
                      </w:r>
                      <w:r w:rsidRPr="000352E2">
                        <w:rPr>
                          <w:rFonts w:eastAsia="Times New Roman" w:cs="Times New Roman"/>
                          <w:b/>
                          <w:i/>
                          <w:szCs w:val="24"/>
                        </w:rPr>
                        <w:t xml:space="preserve"> </w:t>
                      </w:r>
                      <w:r w:rsidRPr="000352E2">
                        <w:rPr>
                          <w:rFonts w:cs="Times New Roman"/>
                          <w:b/>
                          <w:i/>
                          <w:szCs w:val="24"/>
                        </w:rPr>
                        <w:t>hogyan</w:t>
                      </w:r>
                      <w:r w:rsidRPr="000352E2">
                        <w:rPr>
                          <w:rFonts w:eastAsia="Times New Roman" w:cs="Times New Roman"/>
                          <w:b/>
                          <w:i/>
                          <w:szCs w:val="24"/>
                        </w:rPr>
                        <w:t xml:space="preserve"> </w:t>
                      </w:r>
                      <w:r w:rsidRPr="000352E2">
                        <w:rPr>
                          <w:rFonts w:cs="Times New Roman"/>
                          <w:b/>
                          <w:i/>
                          <w:szCs w:val="24"/>
                        </w:rPr>
                        <w:t>csatolhatók</w:t>
                      </w:r>
                      <w:r w:rsidRPr="000352E2">
                        <w:rPr>
                          <w:rFonts w:eastAsia="Times New Roman" w:cs="Times New Roman"/>
                          <w:b/>
                          <w:i/>
                          <w:szCs w:val="24"/>
                        </w:rPr>
                        <w:t xml:space="preserve"> </w:t>
                      </w:r>
                      <w:r w:rsidRPr="000352E2">
                        <w:rPr>
                          <w:rFonts w:cs="Times New Roman"/>
                          <w:b/>
                          <w:i/>
                          <w:szCs w:val="24"/>
                        </w:rPr>
                        <w:t>vissza</w:t>
                      </w:r>
                      <w:r w:rsidRPr="000352E2">
                        <w:rPr>
                          <w:rFonts w:eastAsia="Times New Roman" w:cs="Times New Roman"/>
                          <w:b/>
                          <w:i/>
                          <w:szCs w:val="24"/>
                        </w:rPr>
                        <w:t xml:space="preserve"> </w:t>
                      </w:r>
                      <w:r w:rsidRPr="000352E2">
                        <w:rPr>
                          <w:rFonts w:cs="Times New Roman"/>
                          <w:b/>
                          <w:i/>
                          <w:szCs w:val="24"/>
                        </w:rPr>
                        <w:t>a</w:t>
                      </w:r>
                      <w:r w:rsidRPr="000352E2">
                        <w:rPr>
                          <w:rFonts w:eastAsia="Times New Roman" w:cs="Times New Roman"/>
                          <w:b/>
                          <w:i/>
                          <w:szCs w:val="24"/>
                        </w:rPr>
                        <w:t xml:space="preserve"> </w:t>
                      </w:r>
                      <w:r w:rsidRPr="000352E2">
                        <w:rPr>
                          <w:rFonts w:cs="Times New Roman"/>
                          <w:b/>
                          <w:i/>
                          <w:szCs w:val="24"/>
                        </w:rPr>
                        <w:t>program-végrehajtás</w:t>
                      </w:r>
                      <w:r w:rsidRPr="000352E2">
                        <w:rPr>
                          <w:rFonts w:eastAsia="Times New Roman" w:cs="Times New Roman"/>
                          <w:b/>
                          <w:i/>
                          <w:szCs w:val="24"/>
                        </w:rPr>
                        <w:t xml:space="preserve"> </w:t>
                      </w:r>
                      <w:r w:rsidRPr="000352E2">
                        <w:rPr>
                          <w:rFonts w:cs="Times New Roman"/>
                          <w:b/>
                          <w:i/>
                          <w:szCs w:val="24"/>
                        </w:rPr>
                        <w:t>szintjére,</w:t>
                      </w:r>
                      <w:r w:rsidRPr="000352E2">
                        <w:rPr>
                          <w:rFonts w:eastAsia="Times New Roman" w:cs="Times New Roman"/>
                          <w:b/>
                          <w:i/>
                          <w:szCs w:val="24"/>
                        </w:rPr>
                        <w:t xml:space="preserve"> </w:t>
                      </w:r>
                      <w:r w:rsidRPr="000352E2">
                        <w:rPr>
                          <w:rFonts w:cs="Times New Roman"/>
                          <w:b/>
                          <w:i/>
                          <w:szCs w:val="24"/>
                        </w:rPr>
                        <w:t>a</w:t>
                      </w:r>
                      <w:r w:rsidRPr="000352E2">
                        <w:rPr>
                          <w:rFonts w:eastAsia="Times New Roman" w:cs="Times New Roman"/>
                          <w:b/>
                          <w:i/>
                          <w:szCs w:val="24"/>
                        </w:rPr>
                        <w:t xml:space="preserve"> </w:t>
                      </w:r>
                      <w:r w:rsidRPr="000352E2">
                        <w:rPr>
                          <w:rFonts w:cs="Times New Roman"/>
                          <w:b/>
                          <w:i/>
                          <w:szCs w:val="24"/>
                        </w:rPr>
                        <w:t>2014-2020.</w:t>
                      </w:r>
                      <w:r w:rsidRPr="000352E2">
                        <w:rPr>
                          <w:rFonts w:eastAsia="Times New Roman" w:cs="Times New Roman"/>
                          <w:b/>
                          <w:i/>
                          <w:szCs w:val="24"/>
                        </w:rPr>
                        <w:t xml:space="preserve"> </w:t>
                      </w:r>
                      <w:r w:rsidRPr="000352E2">
                        <w:rPr>
                          <w:rFonts w:cs="Times New Roman"/>
                          <w:b/>
                          <w:i/>
                          <w:szCs w:val="24"/>
                        </w:rPr>
                        <w:t>stratégiai</w:t>
                      </w:r>
                      <w:r w:rsidRPr="000352E2">
                        <w:rPr>
                          <w:rFonts w:eastAsia="Times New Roman" w:cs="Times New Roman"/>
                          <w:b/>
                          <w:i/>
                          <w:szCs w:val="24"/>
                        </w:rPr>
                        <w:t xml:space="preserve"> </w:t>
                      </w:r>
                      <w:r w:rsidRPr="000352E2">
                        <w:rPr>
                          <w:rFonts w:cs="Times New Roman"/>
                          <w:b/>
                          <w:i/>
                          <w:szCs w:val="24"/>
                        </w:rPr>
                        <w:t>időszak</w:t>
                      </w:r>
                      <w:r w:rsidRPr="000352E2">
                        <w:rPr>
                          <w:rFonts w:eastAsia="Times New Roman" w:cs="Times New Roman"/>
                          <w:b/>
                          <w:i/>
                          <w:szCs w:val="24"/>
                        </w:rPr>
                        <w:t xml:space="preserve"> </w:t>
                      </w:r>
                      <w:r w:rsidRPr="000352E2">
                        <w:rPr>
                          <w:rFonts w:cs="Times New Roman"/>
                          <w:b/>
                          <w:i/>
                          <w:szCs w:val="24"/>
                        </w:rPr>
                        <w:t>tervezésébe?</w:t>
                      </w:r>
                    </w:p>
                    <w:p w14:paraId="0651A177" w14:textId="77777777" w:rsidR="00E433FC" w:rsidRDefault="00E433FC"/>
                  </w:txbxContent>
                </v:textbox>
                <w10:wrap type="tight"/>
              </v:shape>
            </w:pict>
          </mc:Fallback>
        </mc:AlternateContent>
      </w:r>
      <w:r w:rsidR="00085B42" w:rsidRPr="00986F85">
        <w:rPr>
          <w:szCs w:val="24"/>
        </w:rPr>
        <w:t>IV</w:t>
      </w:r>
      <w:r w:rsidR="00C13522" w:rsidRPr="00986F85">
        <w:rPr>
          <w:szCs w:val="24"/>
        </w:rPr>
        <w:t xml:space="preserve">. </w:t>
      </w:r>
      <w:r w:rsidR="0076036B" w:rsidRPr="00986F85">
        <w:rPr>
          <w:szCs w:val="24"/>
        </w:rPr>
        <w:t>JAVASLATOK</w:t>
      </w:r>
      <w:bookmarkEnd w:id="58"/>
    </w:p>
    <w:p w14:paraId="04C2002B" w14:textId="77777777" w:rsidR="00B46273" w:rsidRPr="00986F85" w:rsidRDefault="00B46273" w:rsidP="00B04415">
      <w:pPr>
        <w:autoSpaceDE w:val="0"/>
        <w:autoSpaceDN w:val="0"/>
        <w:adjustRightInd w:val="0"/>
        <w:spacing w:after="0" w:line="360" w:lineRule="auto"/>
        <w:jc w:val="both"/>
        <w:rPr>
          <w:rFonts w:eastAsia="MS Mincho" w:cs="Times New Roman"/>
          <w:bCs/>
          <w:iCs/>
          <w:szCs w:val="24"/>
          <w:lang w:eastAsia="hu-HU"/>
        </w:rPr>
      </w:pPr>
    </w:p>
    <w:p w14:paraId="218D16F0" w14:textId="77777777" w:rsidR="0076036B" w:rsidRPr="00986F85" w:rsidRDefault="0076036B" w:rsidP="00B04415">
      <w:pPr>
        <w:pStyle w:val="Cmsor2"/>
        <w:spacing w:before="0" w:after="0" w:line="360" w:lineRule="auto"/>
        <w:jc w:val="both"/>
        <w:rPr>
          <w:rFonts w:ascii="Myriad Pro" w:hAnsi="Myriad Pro"/>
          <w:szCs w:val="24"/>
        </w:rPr>
      </w:pPr>
      <w:bookmarkStart w:id="59" w:name="_Toc230854325"/>
      <w:r w:rsidRPr="00986F85">
        <w:rPr>
          <w:rFonts w:ascii="Myriad Pro" w:hAnsi="Myriad Pro"/>
          <w:szCs w:val="24"/>
        </w:rPr>
        <w:t>ADMINISZTRATÍV ADATGYŰJTÉS ÉS ADATBÁZIS</w:t>
      </w:r>
      <w:r w:rsidR="00384F36" w:rsidRPr="00986F85">
        <w:rPr>
          <w:rFonts w:ascii="Myriad Pro" w:hAnsi="Myriad Pro"/>
          <w:szCs w:val="24"/>
        </w:rPr>
        <w:t>OK</w:t>
      </w:r>
      <w:bookmarkEnd w:id="59"/>
      <w:r w:rsidRPr="00986F85">
        <w:rPr>
          <w:rFonts w:ascii="Myriad Pro" w:hAnsi="Myriad Pro"/>
          <w:szCs w:val="24"/>
        </w:rPr>
        <w:t xml:space="preserve"> </w:t>
      </w:r>
    </w:p>
    <w:p w14:paraId="3CB5BA32" w14:textId="77777777" w:rsidR="00384F36" w:rsidRPr="00986F85" w:rsidRDefault="00384F36" w:rsidP="00B04415">
      <w:pPr>
        <w:pStyle w:val="Szvegtrzs"/>
        <w:spacing w:after="0" w:line="360" w:lineRule="auto"/>
        <w:ind w:left="45"/>
        <w:jc w:val="both"/>
        <w:rPr>
          <w:szCs w:val="24"/>
        </w:rPr>
      </w:pPr>
    </w:p>
    <w:p w14:paraId="22B4F52B" w14:textId="77777777" w:rsidR="006B0BBF" w:rsidRPr="00986F85" w:rsidRDefault="006B0BBF" w:rsidP="00B04415">
      <w:pPr>
        <w:pStyle w:val="Szvegtrzs"/>
        <w:numPr>
          <w:ilvl w:val="0"/>
          <w:numId w:val="34"/>
        </w:numPr>
        <w:spacing w:after="0" w:line="360" w:lineRule="auto"/>
        <w:jc w:val="both"/>
        <w:rPr>
          <w:rFonts w:cs="Times New Roman"/>
          <w:szCs w:val="24"/>
        </w:rPr>
      </w:pPr>
      <w:r w:rsidRPr="00986F85">
        <w:rPr>
          <w:rFonts w:cs="Times New Roman"/>
          <w:szCs w:val="24"/>
        </w:rPr>
        <w:t xml:space="preserve">Hivatalos együttműködési megállapodás </w:t>
      </w:r>
      <w:r w:rsidR="00841F47" w:rsidRPr="00986F85">
        <w:rPr>
          <w:rFonts w:cs="Times New Roman"/>
          <w:szCs w:val="24"/>
        </w:rPr>
        <w:t xml:space="preserve">megkötése </w:t>
      </w:r>
      <w:r w:rsidRPr="00986F85">
        <w:rPr>
          <w:rFonts w:cs="Times New Roman"/>
          <w:szCs w:val="24"/>
        </w:rPr>
        <w:t xml:space="preserve">közérdekű adatokkal rendelkező kormányzati szervekkel, a NAV-val és a NFH-val. </w:t>
      </w:r>
    </w:p>
    <w:p w14:paraId="132E46C5" w14:textId="77777777" w:rsidR="00384F36" w:rsidRPr="00986F85" w:rsidRDefault="00965F13" w:rsidP="00B04415">
      <w:pPr>
        <w:pStyle w:val="Szvegtrzs"/>
        <w:numPr>
          <w:ilvl w:val="0"/>
          <w:numId w:val="34"/>
        </w:numPr>
        <w:spacing w:after="0" w:line="360" w:lineRule="auto"/>
        <w:jc w:val="both"/>
        <w:rPr>
          <w:rFonts w:cs="Times New Roman"/>
          <w:szCs w:val="24"/>
        </w:rPr>
      </w:pPr>
      <w:r w:rsidRPr="00986F85">
        <w:rPr>
          <w:szCs w:val="24"/>
        </w:rPr>
        <w:t>V</w:t>
      </w:r>
      <w:r w:rsidR="00384F36" w:rsidRPr="00986F85">
        <w:rPr>
          <w:szCs w:val="24"/>
        </w:rPr>
        <w:t>állalati mérlegadatok bekérése helyett a NAV</w:t>
      </w:r>
      <w:r w:rsidR="007654D7" w:rsidRPr="00986F85">
        <w:rPr>
          <w:szCs w:val="24"/>
        </w:rPr>
        <w:t>-</w:t>
      </w:r>
      <w:r w:rsidR="00841F47" w:rsidRPr="00986F85">
        <w:rPr>
          <w:szCs w:val="24"/>
        </w:rPr>
        <w:t xml:space="preserve">val való együttműködés keretében </w:t>
      </w:r>
      <w:r w:rsidR="00384F36" w:rsidRPr="00986F85">
        <w:rPr>
          <w:szCs w:val="24"/>
        </w:rPr>
        <w:t xml:space="preserve">a nyertes és nem nyertes pályázók éves állományainak </w:t>
      </w:r>
      <w:r w:rsidR="00841F47" w:rsidRPr="00986F85">
        <w:rPr>
          <w:rFonts w:cs="Times New Roman"/>
          <w:szCs w:val="24"/>
        </w:rPr>
        <w:t xml:space="preserve">rendszeres </w:t>
      </w:r>
      <w:r w:rsidR="006B0BBF" w:rsidRPr="00986F85">
        <w:rPr>
          <w:rFonts w:cs="Times New Roman"/>
          <w:szCs w:val="24"/>
        </w:rPr>
        <w:t xml:space="preserve">időközönkénti való összekapcsolása. (pl. programperiódust  megelőzően, közbenső és </w:t>
      </w:r>
      <w:r w:rsidR="006B0BBF" w:rsidRPr="00986F85">
        <w:rPr>
          <w:rFonts w:cs="Times New Roman"/>
          <w:i/>
          <w:szCs w:val="24"/>
        </w:rPr>
        <w:t xml:space="preserve">ex post </w:t>
      </w:r>
      <w:r w:rsidR="006B0BBF" w:rsidRPr="00986F85">
        <w:rPr>
          <w:rFonts w:cs="Times New Roman"/>
          <w:szCs w:val="24"/>
        </w:rPr>
        <w:t>vizsgálatok időzítéséhez igazítva).</w:t>
      </w:r>
    </w:p>
    <w:p w14:paraId="715DA65D" w14:textId="77777777" w:rsidR="00841F47" w:rsidRPr="00986F85" w:rsidRDefault="00841F47" w:rsidP="00841F47">
      <w:pPr>
        <w:pStyle w:val="Szvegtrzs"/>
        <w:numPr>
          <w:ilvl w:val="0"/>
          <w:numId w:val="34"/>
        </w:numPr>
        <w:spacing w:after="0" w:line="360" w:lineRule="auto"/>
        <w:jc w:val="both"/>
        <w:rPr>
          <w:rFonts w:cs="Times New Roman"/>
          <w:szCs w:val="24"/>
        </w:rPr>
      </w:pPr>
      <w:r w:rsidRPr="00986F85">
        <w:rPr>
          <w:rFonts w:cs="Times New Roman"/>
          <w:szCs w:val="24"/>
        </w:rPr>
        <w:t>A pályázati adminisztráció részéve tenni olyan nyilatkozat önkéntes megtételét, mellyel az érintett vállalkozás hozzájárul adatainak kutatási célú felhasználásához.</w:t>
      </w:r>
    </w:p>
    <w:p w14:paraId="30C443D5" w14:textId="77777777" w:rsidR="00384F36" w:rsidRPr="00986F85" w:rsidRDefault="006B0BBF" w:rsidP="00B04415">
      <w:pPr>
        <w:pStyle w:val="Szvegtrzs"/>
        <w:numPr>
          <w:ilvl w:val="0"/>
          <w:numId w:val="34"/>
        </w:numPr>
        <w:spacing w:after="0" w:line="360" w:lineRule="auto"/>
        <w:jc w:val="both"/>
        <w:rPr>
          <w:rFonts w:cs="Times New Roman"/>
          <w:szCs w:val="24"/>
        </w:rPr>
      </w:pPr>
      <w:r w:rsidRPr="00986F85">
        <w:rPr>
          <w:rFonts w:cs="Times New Roman"/>
          <w:szCs w:val="24"/>
        </w:rPr>
        <w:t xml:space="preserve">EMIR: </w:t>
      </w:r>
      <w:r w:rsidR="00965F13" w:rsidRPr="00986F85">
        <w:rPr>
          <w:rFonts w:cs="Times New Roman"/>
          <w:szCs w:val="24"/>
        </w:rPr>
        <w:t>F</w:t>
      </w:r>
      <w:r w:rsidR="00384F36" w:rsidRPr="00986F85">
        <w:rPr>
          <w:rFonts w:cs="Times New Roman"/>
          <w:szCs w:val="24"/>
        </w:rPr>
        <w:t>oglalkoztatotti adatok korrekciója vállalati eredmény-beszámolókból származó adatokkal</w:t>
      </w:r>
      <w:r w:rsidRPr="00986F85">
        <w:rPr>
          <w:rFonts w:cs="Times New Roman"/>
          <w:szCs w:val="24"/>
        </w:rPr>
        <w:t>.</w:t>
      </w:r>
    </w:p>
    <w:p w14:paraId="746B1A91" w14:textId="77777777" w:rsidR="006B0BBF" w:rsidRPr="00986F85" w:rsidRDefault="006B0BBF" w:rsidP="00B04415">
      <w:pPr>
        <w:pStyle w:val="Szvegtrzs"/>
        <w:numPr>
          <w:ilvl w:val="0"/>
          <w:numId w:val="34"/>
        </w:numPr>
        <w:spacing w:after="0" w:line="360" w:lineRule="auto"/>
        <w:jc w:val="both"/>
        <w:rPr>
          <w:rFonts w:cs="Times New Roman"/>
          <w:szCs w:val="24"/>
        </w:rPr>
      </w:pPr>
      <w:r w:rsidRPr="00986F85">
        <w:rPr>
          <w:rFonts w:cs="Times New Roman"/>
          <w:szCs w:val="24"/>
        </w:rPr>
        <w:t xml:space="preserve">EMIR: új </w:t>
      </w:r>
      <w:r w:rsidR="00384F36" w:rsidRPr="00986F85">
        <w:rPr>
          <w:rFonts w:cs="Times New Roman"/>
          <w:szCs w:val="24"/>
        </w:rPr>
        <w:t>TEÁOR</w:t>
      </w:r>
      <w:r w:rsidR="004274AC" w:rsidRPr="00986F85">
        <w:rPr>
          <w:rFonts w:cs="Times New Roman"/>
          <w:szCs w:val="24"/>
        </w:rPr>
        <w:t>/2008</w:t>
      </w:r>
      <w:r w:rsidR="00384F36" w:rsidRPr="00986F85">
        <w:rPr>
          <w:rFonts w:cs="Times New Roman"/>
          <w:szCs w:val="24"/>
        </w:rPr>
        <w:t xml:space="preserve"> következetes átvezetése </w:t>
      </w:r>
    </w:p>
    <w:p w14:paraId="4BE724DC" w14:textId="77777777" w:rsidR="00384F36" w:rsidRPr="00986F85" w:rsidRDefault="00965F13" w:rsidP="00B04415">
      <w:pPr>
        <w:pStyle w:val="Szvegtrzs"/>
        <w:numPr>
          <w:ilvl w:val="0"/>
          <w:numId w:val="34"/>
        </w:numPr>
        <w:spacing w:after="0" w:line="360" w:lineRule="auto"/>
        <w:jc w:val="both"/>
        <w:rPr>
          <w:rFonts w:cs="Times New Roman"/>
          <w:szCs w:val="24"/>
        </w:rPr>
      </w:pPr>
      <w:r w:rsidRPr="00986F85">
        <w:rPr>
          <w:rFonts w:cs="Times New Roman"/>
          <w:szCs w:val="24"/>
        </w:rPr>
        <w:t>R</w:t>
      </w:r>
      <w:r w:rsidR="003D6FDC" w:rsidRPr="00986F85">
        <w:rPr>
          <w:rFonts w:cs="Times New Roman"/>
          <w:szCs w:val="24"/>
        </w:rPr>
        <w:t xml:space="preserve">endszeres </w:t>
      </w:r>
      <w:r w:rsidRPr="00986F85">
        <w:rPr>
          <w:rFonts w:cs="Times New Roman"/>
          <w:szCs w:val="24"/>
        </w:rPr>
        <w:t xml:space="preserve">időközönként végzett </w:t>
      </w:r>
      <w:r w:rsidR="003D6FDC" w:rsidRPr="00986F85">
        <w:rPr>
          <w:rFonts w:cs="Times New Roman"/>
          <w:szCs w:val="24"/>
        </w:rPr>
        <w:t xml:space="preserve">adattisztítás és </w:t>
      </w:r>
      <w:r w:rsidR="006C624B" w:rsidRPr="00986F85">
        <w:rPr>
          <w:rFonts w:cs="Times New Roman"/>
          <w:szCs w:val="24"/>
        </w:rPr>
        <w:t>-</w:t>
      </w:r>
      <w:r w:rsidR="003D6FDC" w:rsidRPr="00986F85">
        <w:rPr>
          <w:rFonts w:cs="Times New Roman"/>
          <w:szCs w:val="24"/>
        </w:rPr>
        <w:t>ellenőrzés</w:t>
      </w:r>
      <w:r w:rsidRPr="00986F85">
        <w:rPr>
          <w:rFonts w:cs="Times New Roman"/>
          <w:szCs w:val="24"/>
        </w:rPr>
        <w:t xml:space="preserve"> az EMIR teljes adatállományában. </w:t>
      </w:r>
    </w:p>
    <w:p w14:paraId="7D7DF33F" w14:textId="77777777" w:rsidR="00965F13" w:rsidRPr="00986F85" w:rsidRDefault="00965F13" w:rsidP="00B04415">
      <w:pPr>
        <w:pStyle w:val="Szvegtrzs"/>
        <w:numPr>
          <w:ilvl w:val="0"/>
          <w:numId w:val="34"/>
        </w:numPr>
        <w:spacing w:after="0" w:line="360" w:lineRule="auto"/>
        <w:jc w:val="both"/>
        <w:rPr>
          <w:rFonts w:cs="Times New Roman"/>
          <w:szCs w:val="24"/>
        </w:rPr>
      </w:pPr>
      <w:r w:rsidRPr="00986F85">
        <w:rPr>
          <w:rFonts w:cs="Times New Roman"/>
          <w:szCs w:val="24"/>
        </w:rPr>
        <w:t xml:space="preserve">Rendszeres konzultáció hazai szakértőkkel és kutatókkal az EMIR adatok újrahasznosíthatósága és az adatminőség javítása – kiemelten figyelembe véve program-értékelési/ hatásvizsgálati szempontokat. </w:t>
      </w:r>
    </w:p>
    <w:p w14:paraId="63E9A43B" w14:textId="77777777" w:rsidR="00384F36" w:rsidRPr="00986F85" w:rsidRDefault="00384F36" w:rsidP="00B04415">
      <w:pPr>
        <w:pStyle w:val="Szvegtrzs"/>
        <w:spacing w:after="0" w:line="360" w:lineRule="auto"/>
        <w:ind w:left="45"/>
        <w:jc w:val="both"/>
        <w:rPr>
          <w:szCs w:val="24"/>
        </w:rPr>
      </w:pPr>
    </w:p>
    <w:p w14:paraId="154E5E74" w14:textId="77777777" w:rsidR="0076036B" w:rsidRPr="00986F85" w:rsidRDefault="0076036B" w:rsidP="00B04415">
      <w:pPr>
        <w:pStyle w:val="Cmsor2"/>
        <w:spacing w:before="0" w:after="0" w:line="360" w:lineRule="auto"/>
        <w:jc w:val="both"/>
        <w:rPr>
          <w:rFonts w:ascii="Myriad Pro" w:hAnsi="Myriad Pro"/>
          <w:szCs w:val="24"/>
        </w:rPr>
      </w:pPr>
      <w:bookmarkStart w:id="60" w:name="_Toc230854326"/>
      <w:r w:rsidRPr="00986F85">
        <w:rPr>
          <w:rFonts w:ascii="Myriad Pro" w:hAnsi="Myriad Pro"/>
          <w:szCs w:val="24"/>
        </w:rPr>
        <w:t>SZAKPOLITIKAI TERVEZÉS</w:t>
      </w:r>
      <w:bookmarkEnd w:id="60"/>
    </w:p>
    <w:p w14:paraId="7A8A34A5" w14:textId="77777777" w:rsidR="003D6FDC" w:rsidRPr="00986F85" w:rsidRDefault="00220810" w:rsidP="00B04415">
      <w:pPr>
        <w:pStyle w:val="Szvegtrzs"/>
        <w:numPr>
          <w:ilvl w:val="0"/>
          <w:numId w:val="34"/>
        </w:numPr>
        <w:spacing w:after="0" w:line="360" w:lineRule="auto"/>
        <w:jc w:val="both"/>
        <w:rPr>
          <w:rFonts w:cs="Times New Roman"/>
          <w:szCs w:val="24"/>
        </w:rPr>
      </w:pPr>
      <w:r w:rsidRPr="00986F85">
        <w:rPr>
          <w:rFonts w:cs="Times New Roman"/>
          <w:szCs w:val="24"/>
        </w:rPr>
        <w:t>A következő programperiódus megkezdését követően is hasznos információkkal</w:t>
      </w:r>
      <w:r w:rsidR="00841F47" w:rsidRPr="00986F85">
        <w:rPr>
          <w:rFonts w:cs="Times New Roman"/>
          <w:szCs w:val="24"/>
        </w:rPr>
        <w:t xml:space="preserve"> szolgálna</w:t>
      </w:r>
      <w:r w:rsidRPr="00986F85">
        <w:rPr>
          <w:rFonts w:cs="Times New Roman"/>
          <w:szCs w:val="24"/>
        </w:rPr>
        <w:t xml:space="preserve"> a GOP 2.1.1. intézkedés átfogó ex post hatásviszgálata, melyet az intézkedés lezárását (2015) követően érdemes elkezdeni. </w:t>
      </w:r>
    </w:p>
    <w:p w14:paraId="23129A1A" w14:textId="77777777" w:rsidR="00220810" w:rsidRPr="00986F85" w:rsidRDefault="00220810" w:rsidP="00B04415">
      <w:pPr>
        <w:pStyle w:val="Szvegtrzs"/>
        <w:numPr>
          <w:ilvl w:val="0"/>
          <w:numId w:val="34"/>
        </w:numPr>
        <w:spacing w:after="0" w:line="360" w:lineRule="auto"/>
        <w:jc w:val="both"/>
        <w:rPr>
          <w:rFonts w:cs="Times New Roman"/>
          <w:szCs w:val="24"/>
        </w:rPr>
      </w:pPr>
      <w:r w:rsidRPr="00986F85">
        <w:rPr>
          <w:rFonts w:cs="Times New Roman"/>
          <w:szCs w:val="24"/>
        </w:rPr>
        <w:lastRenderedPageBreak/>
        <w:t>A GOP utódprogram jobb célzása szempontjából fontos lenne a hazai KKV-szektor szegmentálása, a vállalati mérlegadatadokra támaszkodó teljes körű elemzés egy, minden szempontból (</w:t>
      </w:r>
      <w:r w:rsidR="00841F47" w:rsidRPr="00986F85">
        <w:rPr>
          <w:rFonts w:cs="Times New Roman"/>
          <w:szCs w:val="24"/>
        </w:rPr>
        <w:t xml:space="preserve">tehát </w:t>
      </w:r>
      <w:r w:rsidRPr="00986F85">
        <w:rPr>
          <w:rFonts w:cs="Times New Roman"/>
          <w:szCs w:val="24"/>
        </w:rPr>
        <w:t>ágazati, területi, foglalkoztatotti létszám</w:t>
      </w:r>
      <w:r w:rsidR="00841F47" w:rsidRPr="00986F85">
        <w:rPr>
          <w:rFonts w:cs="Times New Roman"/>
          <w:szCs w:val="24"/>
        </w:rPr>
        <w:t>, vállalait teljesítménymutatók</w:t>
      </w:r>
      <w:r w:rsidRPr="00986F85">
        <w:rPr>
          <w:rFonts w:cs="Times New Roman"/>
          <w:szCs w:val="24"/>
        </w:rPr>
        <w:t xml:space="preserve"> alapján</w:t>
      </w:r>
      <w:r w:rsidR="006C624B" w:rsidRPr="00986F85">
        <w:rPr>
          <w:rFonts w:cs="Times New Roman"/>
          <w:szCs w:val="24"/>
        </w:rPr>
        <w:t>)</w:t>
      </w:r>
      <w:r w:rsidRPr="00986F85">
        <w:rPr>
          <w:rFonts w:cs="Times New Roman"/>
          <w:szCs w:val="24"/>
        </w:rPr>
        <w:t xml:space="preserve"> reprezentatív</w:t>
      </w:r>
      <w:r w:rsidR="00841F47" w:rsidRPr="00986F85">
        <w:rPr>
          <w:rFonts w:cs="Times New Roman"/>
          <w:szCs w:val="24"/>
        </w:rPr>
        <w:t>, vállalati</w:t>
      </w:r>
      <w:r w:rsidRPr="00986F85">
        <w:rPr>
          <w:rFonts w:cs="Times New Roman"/>
          <w:szCs w:val="24"/>
        </w:rPr>
        <w:t xml:space="preserve"> mintán.</w:t>
      </w:r>
    </w:p>
    <w:p w14:paraId="1BAE8A2D" w14:textId="77777777" w:rsidR="005A76A3" w:rsidRPr="00986F85" w:rsidRDefault="005E3DC8" w:rsidP="005A76A3">
      <w:pPr>
        <w:pStyle w:val="Szvegtrzs"/>
        <w:numPr>
          <w:ilvl w:val="0"/>
          <w:numId w:val="34"/>
        </w:numPr>
        <w:spacing w:after="0" w:line="360" w:lineRule="auto"/>
        <w:jc w:val="both"/>
        <w:rPr>
          <w:rFonts w:cs="Times New Roman"/>
          <w:szCs w:val="24"/>
        </w:rPr>
      </w:pPr>
      <w:r w:rsidRPr="00986F85">
        <w:rPr>
          <w:rFonts w:cs="Times New Roman"/>
          <w:szCs w:val="24"/>
        </w:rPr>
        <w:t xml:space="preserve">Jóllehet a jelen vizsgálat </w:t>
      </w:r>
      <w:r w:rsidR="008A47B5" w:rsidRPr="00986F85">
        <w:rPr>
          <w:rFonts w:cs="Times New Roman"/>
          <w:szCs w:val="24"/>
        </w:rPr>
        <w:t xml:space="preserve">adathiány miatt </w:t>
      </w:r>
      <w:r w:rsidRPr="00986F85">
        <w:rPr>
          <w:rFonts w:cs="Times New Roman"/>
          <w:szCs w:val="24"/>
        </w:rPr>
        <w:t xml:space="preserve">nem </w:t>
      </w:r>
      <w:r w:rsidR="008A47B5" w:rsidRPr="00986F85">
        <w:rPr>
          <w:rFonts w:cs="Times New Roman"/>
          <w:szCs w:val="24"/>
        </w:rPr>
        <w:t xml:space="preserve">tudta megerősíteni </w:t>
      </w:r>
      <w:r w:rsidRPr="00986F85">
        <w:rPr>
          <w:rFonts w:cs="Times New Roman"/>
          <w:szCs w:val="24"/>
        </w:rPr>
        <w:t xml:space="preserve">a korábbi elemzések azon megállapítását, hogy jelentős önszelekció figyelhető meg a pályázó cégek körében, érdemes volna a szelekciós vizsgálatot a közeljövőben 2006-ot megelőző időszakra vonatkozó vállalati mérlegadatokat is tartalmazó adatbázissal megismételni. Az a sejtés ugyanis, hogy a folyó programperiódusban is az eleve gyorsabban növekedő vállalkozások kapnak támogatást, a program társadalmi költségeinek halmozódását jelenti. Ez esetben </w:t>
      </w:r>
      <w:r w:rsidR="007C4A84" w:rsidRPr="00986F85">
        <w:rPr>
          <w:rFonts w:cs="Times New Roman"/>
          <w:szCs w:val="24"/>
        </w:rPr>
        <w:t xml:space="preserve">vagy </w:t>
      </w:r>
      <w:r w:rsidRPr="00986F85">
        <w:rPr>
          <w:rFonts w:cs="Times New Roman"/>
          <w:szCs w:val="24"/>
        </w:rPr>
        <w:t xml:space="preserve">a kihelyezett források </w:t>
      </w:r>
      <w:r w:rsidR="007C4A84" w:rsidRPr="00986F85">
        <w:rPr>
          <w:rFonts w:cs="Times New Roman"/>
          <w:szCs w:val="24"/>
        </w:rPr>
        <w:t xml:space="preserve">alternatív </w:t>
      </w:r>
      <w:r w:rsidRPr="00986F85">
        <w:rPr>
          <w:rFonts w:cs="Times New Roman"/>
          <w:szCs w:val="24"/>
        </w:rPr>
        <w:t>felhasználása</w:t>
      </w:r>
      <w:r w:rsidR="006C624B" w:rsidRPr="00986F85">
        <w:rPr>
          <w:rFonts w:cs="Times New Roman"/>
          <w:szCs w:val="24"/>
        </w:rPr>
        <w:t xml:space="preserve"> (pl. visszatérítendő támogatások vagy infrastruktúra-fejlesztés)</w:t>
      </w:r>
      <w:r w:rsidRPr="00986F85">
        <w:rPr>
          <w:rFonts w:cs="Times New Roman"/>
          <w:szCs w:val="24"/>
        </w:rPr>
        <w:t xml:space="preserve"> </w:t>
      </w:r>
      <w:r w:rsidR="007C4A84" w:rsidRPr="00986F85">
        <w:rPr>
          <w:rFonts w:cs="Times New Roman"/>
          <w:szCs w:val="24"/>
        </w:rPr>
        <w:t xml:space="preserve">nagyobb hozamot (magasabb megtérülést) hozhatna, vagy </w:t>
      </w:r>
      <w:r w:rsidR="002064A5" w:rsidRPr="00986F85">
        <w:rPr>
          <w:rFonts w:cs="Times New Roman"/>
          <w:szCs w:val="24"/>
        </w:rPr>
        <w:t xml:space="preserve">ugyanilyen vállalati növekedés más beavatkozással (pl. szabályozási környezet egyszerűsítése) is ösztönözhető lenne. </w:t>
      </w:r>
      <w:r w:rsidR="005A76A3" w:rsidRPr="00986F85">
        <w:rPr>
          <w:rFonts w:cs="Times New Roman"/>
          <w:szCs w:val="24"/>
        </w:rPr>
        <w:t xml:space="preserve"> </w:t>
      </w:r>
      <w:r w:rsidR="0069446E" w:rsidRPr="00986F85">
        <w:rPr>
          <w:rFonts w:cs="Times New Roman"/>
          <w:szCs w:val="24"/>
        </w:rPr>
        <w:t>Hasznos lenne az alternatív, pl. aktív munkaerőpiaci és/ vagy szabályozási környezet egyszerűsítésére irányuló beavatkozások társadalmi költség/ haszon mutatóival való összehasonlítás.</w:t>
      </w:r>
    </w:p>
    <w:p w14:paraId="11F792B4" w14:textId="77777777" w:rsidR="005A76A3" w:rsidRPr="00986F85" w:rsidRDefault="001D759E" w:rsidP="005A76A3">
      <w:pPr>
        <w:pStyle w:val="Szvegtrzs"/>
        <w:numPr>
          <w:ilvl w:val="0"/>
          <w:numId w:val="34"/>
        </w:numPr>
        <w:spacing w:after="0" w:line="360" w:lineRule="auto"/>
        <w:jc w:val="both"/>
        <w:rPr>
          <w:rFonts w:cs="Times New Roman"/>
          <w:szCs w:val="24"/>
        </w:rPr>
      </w:pPr>
      <w:r w:rsidRPr="00986F85">
        <w:rPr>
          <w:rFonts w:cs="Times New Roman"/>
          <w:szCs w:val="24"/>
        </w:rPr>
        <w:t xml:space="preserve">Mindenképp további, jövőbeni </w:t>
      </w:r>
      <w:r w:rsidR="005A76A3" w:rsidRPr="00986F85">
        <w:rPr>
          <w:rFonts w:cs="Times New Roman"/>
          <w:szCs w:val="24"/>
        </w:rPr>
        <w:t>vizsgálatokat érdemelne:</w:t>
      </w:r>
    </w:p>
    <w:p w14:paraId="61C3B943" w14:textId="77777777" w:rsidR="00CD4914" w:rsidRPr="00986F85" w:rsidRDefault="00CD4914" w:rsidP="00910A34">
      <w:pPr>
        <w:pStyle w:val="Szvegtrzs"/>
        <w:numPr>
          <w:ilvl w:val="0"/>
          <w:numId w:val="40"/>
        </w:numPr>
        <w:spacing w:after="0" w:line="360" w:lineRule="auto"/>
        <w:jc w:val="both"/>
        <w:rPr>
          <w:rFonts w:cs="Times New Roman"/>
          <w:szCs w:val="24"/>
        </w:rPr>
      </w:pPr>
      <w:r w:rsidRPr="00986F85">
        <w:rPr>
          <w:rFonts w:cs="Times New Roman"/>
          <w:szCs w:val="24"/>
        </w:rPr>
        <w:t>a dinamikus hatások elemzése</w:t>
      </w:r>
    </w:p>
    <w:p w14:paraId="2CA7302F" w14:textId="77777777" w:rsidR="005A76A3" w:rsidRPr="00986F85" w:rsidRDefault="005A76A3" w:rsidP="00910A34">
      <w:pPr>
        <w:pStyle w:val="Szvegtrzs"/>
        <w:numPr>
          <w:ilvl w:val="0"/>
          <w:numId w:val="40"/>
        </w:numPr>
        <w:spacing w:after="0" w:line="360" w:lineRule="auto"/>
        <w:jc w:val="both"/>
        <w:rPr>
          <w:rFonts w:cs="Times New Roman"/>
          <w:szCs w:val="24"/>
        </w:rPr>
      </w:pPr>
      <w:r w:rsidRPr="00986F85">
        <w:rPr>
          <w:rFonts w:cs="Times New Roman"/>
          <w:szCs w:val="24"/>
        </w:rPr>
        <w:t>a termelékenység</w:t>
      </w:r>
      <w:r w:rsidR="00CD4914" w:rsidRPr="00986F85">
        <w:rPr>
          <w:rFonts w:cs="Times New Roman"/>
          <w:szCs w:val="24"/>
        </w:rPr>
        <w:t>i hatások becslése</w:t>
      </w:r>
      <w:r w:rsidRPr="00986F85">
        <w:rPr>
          <w:rFonts w:cs="Times New Roman"/>
          <w:szCs w:val="24"/>
        </w:rPr>
        <w:t>,</w:t>
      </w:r>
    </w:p>
    <w:p w14:paraId="24F043AF" w14:textId="77777777" w:rsidR="005A76A3" w:rsidRPr="00986F85" w:rsidRDefault="005A76A3" w:rsidP="00910A34">
      <w:pPr>
        <w:pStyle w:val="Szvegtrzs"/>
        <w:numPr>
          <w:ilvl w:val="0"/>
          <w:numId w:val="40"/>
        </w:numPr>
        <w:spacing w:after="0" w:line="360" w:lineRule="auto"/>
        <w:jc w:val="both"/>
        <w:rPr>
          <w:rFonts w:cs="Times New Roman"/>
          <w:szCs w:val="24"/>
        </w:rPr>
      </w:pPr>
      <w:r w:rsidRPr="00986F85">
        <w:rPr>
          <w:rFonts w:cs="Times New Roman"/>
          <w:szCs w:val="24"/>
        </w:rPr>
        <w:t>a beavatkozás alternatív költségeinek feltárása – azaz annak elemzése, hogy e támogatások keretében elköltött adóforint milyen foglalkoztatási többlettel járna, amennyiben más kormányzati program forrásául szolgálna (pl. aktív munkaerőpiaci eszközök finanszírozására)</w:t>
      </w:r>
    </w:p>
    <w:p w14:paraId="3061446D" w14:textId="77777777" w:rsidR="00263116" w:rsidRPr="00986F85" w:rsidRDefault="005A76A3" w:rsidP="00910A34">
      <w:pPr>
        <w:pStyle w:val="Szvegtrzs"/>
        <w:numPr>
          <w:ilvl w:val="0"/>
          <w:numId w:val="40"/>
        </w:numPr>
        <w:spacing w:after="0" w:line="360" w:lineRule="auto"/>
        <w:jc w:val="both"/>
        <w:rPr>
          <w:rFonts w:cs="Times New Roman"/>
          <w:szCs w:val="24"/>
        </w:rPr>
      </w:pPr>
      <w:r w:rsidRPr="00986F85">
        <w:rPr>
          <w:rFonts w:cs="Times New Roman"/>
          <w:szCs w:val="24"/>
        </w:rPr>
        <w:t xml:space="preserve">a 2008. évi gazdasági </w:t>
      </w:r>
      <w:r w:rsidR="00263116" w:rsidRPr="00986F85">
        <w:rPr>
          <w:rFonts w:cs="Times New Roman"/>
          <w:szCs w:val="24"/>
        </w:rPr>
        <w:t>válság hatásai</w:t>
      </w:r>
      <w:r w:rsidRPr="00986F85">
        <w:rPr>
          <w:rFonts w:cs="Times New Roman"/>
          <w:szCs w:val="24"/>
        </w:rPr>
        <w:t>nak, kiemelten a kapcsolódó területi és iparági hatások</w:t>
      </w:r>
      <w:r w:rsidR="00263116" w:rsidRPr="00986F85">
        <w:rPr>
          <w:rFonts w:cs="Times New Roman"/>
          <w:szCs w:val="24"/>
        </w:rPr>
        <w:t xml:space="preserve"> </w:t>
      </w:r>
      <w:r w:rsidRPr="00986F85">
        <w:rPr>
          <w:rFonts w:cs="Times New Roman"/>
          <w:szCs w:val="24"/>
        </w:rPr>
        <w:t xml:space="preserve">becslése </w:t>
      </w:r>
      <w:r w:rsidR="00263116" w:rsidRPr="00986F85">
        <w:rPr>
          <w:rFonts w:cs="Times New Roman"/>
          <w:szCs w:val="24"/>
        </w:rPr>
        <w:t>(legrosszabbul teljesítő kistérségekben található vállalkozások teljesítményének változása, 2008-2009, 2006-2011)</w:t>
      </w:r>
      <w:r w:rsidR="00CD4914" w:rsidRPr="00986F85">
        <w:rPr>
          <w:rFonts w:cs="Times New Roman"/>
          <w:szCs w:val="24"/>
        </w:rPr>
        <w:t>, illetve</w:t>
      </w:r>
    </w:p>
    <w:p w14:paraId="1E8AD7C0" w14:textId="77777777" w:rsidR="00CD4914" w:rsidRPr="00986F85" w:rsidRDefault="00CD4914" w:rsidP="00910A34">
      <w:pPr>
        <w:pStyle w:val="Szvegtrzs"/>
        <w:numPr>
          <w:ilvl w:val="0"/>
          <w:numId w:val="40"/>
        </w:numPr>
        <w:spacing w:after="0" w:line="360" w:lineRule="auto"/>
        <w:jc w:val="both"/>
        <w:rPr>
          <w:rFonts w:cs="Times New Roman"/>
          <w:szCs w:val="24"/>
        </w:rPr>
      </w:pPr>
      <w:r w:rsidRPr="00986F85">
        <w:rPr>
          <w:rFonts w:cs="Times New Roman"/>
          <w:szCs w:val="24"/>
        </w:rPr>
        <w:t xml:space="preserve">mininum 2015 tájékán a teljes nyertes sokaságra megismételt, a programidőszakot jóval meghaladó (lehetőleg 2002-ig visszanyúló) historikus mérlegadatokat is figyelembe vevő </w:t>
      </w:r>
      <w:r w:rsidRPr="00986F85">
        <w:rPr>
          <w:rFonts w:cs="Times New Roman"/>
          <w:i/>
          <w:szCs w:val="24"/>
        </w:rPr>
        <w:t xml:space="preserve">ex post </w:t>
      </w:r>
      <w:r w:rsidRPr="00986F85">
        <w:rPr>
          <w:rFonts w:cs="Times New Roman"/>
          <w:szCs w:val="24"/>
        </w:rPr>
        <w:t>hatások becslése</w:t>
      </w:r>
      <w:r w:rsidR="006C624B" w:rsidRPr="00986F85">
        <w:rPr>
          <w:rFonts w:cs="Times New Roman"/>
          <w:szCs w:val="24"/>
        </w:rPr>
        <w:t>,</w:t>
      </w:r>
    </w:p>
    <w:p w14:paraId="4F83A589" w14:textId="77777777" w:rsidR="00F249B6" w:rsidRPr="00986F85" w:rsidRDefault="00F249B6" w:rsidP="00910A34">
      <w:pPr>
        <w:pStyle w:val="Szvegtrzs"/>
        <w:numPr>
          <w:ilvl w:val="0"/>
          <w:numId w:val="40"/>
        </w:numPr>
        <w:spacing w:after="0" w:line="360" w:lineRule="auto"/>
        <w:jc w:val="both"/>
        <w:rPr>
          <w:rFonts w:cs="Times New Roman"/>
          <w:szCs w:val="24"/>
        </w:rPr>
      </w:pPr>
      <w:r w:rsidRPr="00986F85">
        <w:rPr>
          <w:rFonts w:cs="Times New Roman"/>
          <w:szCs w:val="24"/>
        </w:rPr>
        <w:lastRenderedPageBreak/>
        <w:t>a hasonló programok más tagországokbeli, most készülő hatásvizsgálatainak összegyűjtése, és a magyar tapasztalatokkal való összevetése,</w:t>
      </w:r>
    </w:p>
    <w:p w14:paraId="087248DF" w14:textId="77777777" w:rsidR="006C624B" w:rsidRPr="00986F85" w:rsidRDefault="006C624B" w:rsidP="00910A34">
      <w:pPr>
        <w:pStyle w:val="Szvegtrzs"/>
        <w:numPr>
          <w:ilvl w:val="0"/>
          <w:numId w:val="40"/>
        </w:numPr>
        <w:spacing w:after="0" w:line="360" w:lineRule="auto"/>
        <w:jc w:val="both"/>
        <w:rPr>
          <w:rFonts w:cs="Times New Roman"/>
          <w:szCs w:val="24"/>
        </w:rPr>
      </w:pPr>
      <w:r w:rsidRPr="00986F85">
        <w:rPr>
          <w:rFonts w:cs="Times New Roman"/>
          <w:szCs w:val="24"/>
        </w:rPr>
        <w:t>a program társadalmi elosztási (pl. Gini-koefficiensre gyakorolt) hatásainak mikroszimuláció segítségével való megbecslése.</w:t>
      </w:r>
    </w:p>
    <w:p w14:paraId="23624D28" w14:textId="77777777" w:rsidR="00220810" w:rsidRPr="00986F85" w:rsidRDefault="00220810" w:rsidP="00B04415">
      <w:pPr>
        <w:pStyle w:val="Szvegtrzs"/>
        <w:spacing w:after="0" w:line="360" w:lineRule="auto"/>
        <w:ind w:left="45"/>
        <w:jc w:val="both"/>
        <w:rPr>
          <w:rFonts w:cs="Times New Roman"/>
          <w:szCs w:val="24"/>
        </w:rPr>
      </w:pPr>
    </w:p>
    <w:p w14:paraId="0D36CF93" w14:textId="77777777" w:rsidR="0076036B" w:rsidRPr="00986F85" w:rsidRDefault="0076036B" w:rsidP="00B04415">
      <w:pPr>
        <w:pStyle w:val="Cmsor2"/>
        <w:spacing w:before="0" w:after="0" w:line="360" w:lineRule="auto"/>
        <w:jc w:val="both"/>
        <w:rPr>
          <w:rFonts w:ascii="Myriad Pro" w:hAnsi="Myriad Pro"/>
          <w:szCs w:val="24"/>
        </w:rPr>
      </w:pPr>
      <w:bookmarkStart w:id="61" w:name="_Toc230854327"/>
      <w:r w:rsidRPr="00986F85">
        <w:rPr>
          <w:rFonts w:ascii="Myriad Pro" w:hAnsi="Myriad Pro"/>
          <w:szCs w:val="24"/>
        </w:rPr>
        <w:t>VÉGREHAJTÁS</w:t>
      </w:r>
      <w:bookmarkEnd w:id="61"/>
    </w:p>
    <w:p w14:paraId="0AC5FE4A" w14:textId="77777777" w:rsidR="00DF75B9" w:rsidRPr="00986F85" w:rsidRDefault="00220810" w:rsidP="00B04415">
      <w:pPr>
        <w:pStyle w:val="Szvegtrzs"/>
        <w:numPr>
          <w:ilvl w:val="0"/>
          <w:numId w:val="34"/>
        </w:numPr>
        <w:spacing w:after="0" w:line="360" w:lineRule="auto"/>
        <w:jc w:val="both"/>
        <w:rPr>
          <w:rFonts w:cs="Times New Roman"/>
          <w:szCs w:val="24"/>
        </w:rPr>
      </w:pPr>
      <w:r w:rsidRPr="00986F85">
        <w:rPr>
          <w:rFonts w:cs="Times New Roman"/>
          <w:szCs w:val="24"/>
        </w:rPr>
        <w:t>A hazai, kormányzati adatbázisok átjárhatóságának és a kormányzati szervek közötti adatcsere</w:t>
      </w:r>
      <w:r w:rsidR="00DF75B9" w:rsidRPr="00986F85">
        <w:rPr>
          <w:rFonts w:cs="Times New Roman"/>
          <w:szCs w:val="24"/>
        </w:rPr>
        <w:t xml:space="preserve"> szigorú szabályozásának oldása, ehhez hozzájárulásukat adó OP pályázók, vállalakozások körében (lásd betekintés a vállalati szintű mérlegadatokba, OÉP és TB adminisztrációba, stb.), pályázati adminisztratív terhek csökkentése.</w:t>
      </w:r>
    </w:p>
    <w:p w14:paraId="68B92616" w14:textId="77777777" w:rsidR="009E2CB5" w:rsidRPr="00986F85" w:rsidRDefault="00DF75B9" w:rsidP="009E2CB5">
      <w:pPr>
        <w:pStyle w:val="Szvegtrzs"/>
        <w:numPr>
          <w:ilvl w:val="0"/>
          <w:numId w:val="34"/>
        </w:numPr>
        <w:spacing w:after="0" w:line="360" w:lineRule="auto"/>
        <w:jc w:val="both"/>
        <w:rPr>
          <w:rFonts w:cs="Times New Roman"/>
          <w:szCs w:val="24"/>
        </w:rPr>
      </w:pPr>
      <w:r w:rsidRPr="00986F85">
        <w:rPr>
          <w:rFonts w:cs="Times New Roman"/>
          <w:szCs w:val="24"/>
        </w:rPr>
        <w:t xml:space="preserve">A jelenlegi jelentéstételi kötelezettségek átvilágítása és akár más kormányzati szervek által birtokolt információkkal való egyszerűsítése, kedvezményezetteket érintő adminisztratív terhek csökkentése. </w:t>
      </w:r>
    </w:p>
    <w:p w14:paraId="21F70597" w14:textId="77777777" w:rsidR="009E2CB5" w:rsidRPr="00986F85" w:rsidRDefault="009E2CB5" w:rsidP="009E2CB5">
      <w:pPr>
        <w:pStyle w:val="Szvegtrzs"/>
        <w:spacing w:after="0" w:line="360" w:lineRule="auto"/>
        <w:ind w:left="45"/>
        <w:jc w:val="both"/>
        <w:rPr>
          <w:rFonts w:cs="Times New Roman"/>
          <w:szCs w:val="24"/>
        </w:rPr>
      </w:pPr>
    </w:p>
    <w:p w14:paraId="1C9E4567" w14:textId="77777777" w:rsidR="009E2CB5" w:rsidRPr="00986F85" w:rsidRDefault="009E2CB5" w:rsidP="009E2CB5">
      <w:pPr>
        <w:pStyle w:val="Szvegtrzs"/>
        <w:spacing w:after="0" w:line="360" w:lineRule="auto"/>
        <w:ind w:left="45"/>
        <w:jc w:val="both"/>
        <w:rPr>
          <w:rFonts w:cs="Times New Roman"/>
          <w:szCs w:val="24"/>
        </w:rPr>
      </w:pPr>
    </w:p>
    <w:p w14:paraId="7ED94832" w14:textId="77777777" w:rsidR="009E2CB5" w:rsidRPr="00986F85" w:rsidRDefault="009E2CB5" w:rsidP="009E2CB5">
      <w:pPr>
        <w:pStyle w:val="Szvegtrzs"/>
        <w:spacing w:after="0" w:line="360" w:lineRule="auto"/>
        <w:ind w:left="45"/>
        <w:jc w:val="both"/>
        <w:rPr>
          <w:rFonts w:cs="Times New Roman"/>
          <w:szCs w:val="24"/>
        </w:rPr>
      </w:pPr>
    </w:p>
    <w:p w14:paraId="70B3A6D0" w14:textId="77777777" w:rsidR="009E2CB5" w:rsidRPr="00986F85" w:rsidRDefault="009E2CB5" w:rsidP="009E2CB5">
      <w:pPr>
        <w:pStyle w:val="Szvegtrzs"/>
        <w:spacing w:after="0" w:line="360" w:lineRule="auto"/>
        <w:ind w:left="45"/>
        <w:jc w:val="both"/>
        <w:rPr>
          <w:rFonts w:cs="Times New Roman"/>
          <w:szCs w:val="24"/>
        </w:rPr>
      </w:pPr>
    </w:p>
    <w:p w14:paraId="3713751F" w14:textId="77777777" w:rsidR="00C13522" w:rsidRPr="00986F85" w:rsidRDefault="003D6FDC" w:rsidP="009E2CB5">
      <w:pPr>
        <w:pStyle w:val="Szvegtrzs"/>
        <w:spacing w:after="0" w:line="360" w:lineRule="auto"/>
        <w:ind w:left="45"/>
        <w:jc w:val="both"/>
        <w:rPr>
          <w:rFonts w:cs="Times New Roman"/>
          <w:szCs w:val="24"/>
        </w:rPr>
      </w:pPr>
      <w:r w:rsidRPr="00986F85">
        <w:rPr>
          <w:rFonts w:cs="Times New Roman"/>
          <w:szCs w:val="24"/>
        </w:rPr>
        <w:t xml:space="preserve"> </w:t>
      </w:r>
    </w:p>
    <w:p w14:paraId="0080EDF9" w14:textId="77777777" w:rsidR="00807432" w:rsidRPr="00986F85" w:rsidRDefault="00807432" w:rsidP="00A75383">
      <w:pPr>
        <w:pStyle w:val="Cmsor1"/>
        <w:sectPr w:rsidR="00807432" w:rsidRPr="00986F85">
          <w:pgSz w:w="11906" w:h="16838"/>
          <w:pgMar w:top="1417" w:right="1417" w:bottom="1417" w:left="1417" w:header="720" w:footer="720" w:gutter="0"/>
          <w:cols w:space="720"/>
          <w:docGrid w:linePitch="360"/>
        </w:sectPr>
      </w:pPr>
    </w:p>
    <w:p w14:paraId="6D361669" w14:textId="77777777" w:rsidR="00A75383" w:rsidRPr="00986F85" w:rsidRDefault="00A75383" w:rsidP="00A75383">
      <w:pPr>
        <w:pStyle w:val="Cmsor1"/>
      </w:pPr>
      <w:bookmarkStart w:id="62" w:name="_Toc230854328"/>
      <w:r w:rsidRPr="00986F85">
        <w:lastRenderedPageBreak/>
        <w:t>HIVATKOZÁSJEGYZÉK</w:t>
      </w:r>
      <w:bookmarkEnd w:id="62"/>
      <w:r w:rsidRPr="00986F85">
        <w:t xml:space="preserve"> </w:t>
      </w:r>
    </w:p>
    <w:p w14:paraId="4F06B9BF" w14:textId="77777777" w:rsidR="00A75383" w:rsidRPr="00986F85" w:rsidRDefault="00A75383" w:rsidP="00A75383">
      <w:pPr>
        <w:spacing w:after="0" w:line="360" w:lineRule="auto"/>
        <w:jc w:val="both"/>
        <w:rPr>
          <w:rFonts w:cs="Times New Roman"/>
          <w:szCs w:val="24"/>
        </w:rPr>
      </w:pPr>
      <w:r w:rsidRPr="00986F85">
        <w:rPr>
          <w:szCs w:val="24"/>
        </w:rPr>
        <w:t>Agenda et al - Agenda,</w:t>
      </w:r>
      <w:r w:rsidRPr="00986F85">
        <w:rPr>
          <w:rFonts w:eastAsia="Times New Roman"/>
          <w:szCs w:val="24"/>
        </w:rPr>
        <w:t xml:space="preserve"> </w:t>
      </w:r>
      <w:r w:rsidRPr="00986F85">
        <w:rPr>
          <w:szCs w:val="24"/>
        </w:rPr>
        <w:t>Expanzió,</w:t>
      </w:r>
      <w:r w:rsidRPr="00986F85">
        <w:rPr>
          <w:rFonts w:eastAsia="Times New Roman"/>
          <w:szCs w:val="24"/>
        </w:rPr>
        <w:t xml:space="preserve"> </w:t>
      </w:r>
      <w:r w:rsidRPr="00986F85">
        <w:rPr>
          <w:szCs w:val="24"/>
        </w:rPr>
        <w:t>MTA-KTI</w:t>
      </w:r>
      <w:r w:rsidRPr="00986F85">
        <w:rPr>
          <w:rFonts w:eastAsia="Times New Roman"/>
          <w:szCs w:val="24"/>
        </w:rPr>
        <w:t xml:space="preserve"> </w:t>
      </w:r>
      <w:r w:rsidRPr="00986F85">
        <w:rPr>
          <w:szCs w:val="24"/>
        </w:rPr>
        <w:t>(2010):</w:t>
      </w:r>
      <w:r w:rsidRPr="00986F85">
        <w:rPr>
          <w:rFonts w:eastAsia="Times New Roman"/>
          <w:szCs w:val="24"/>
        </w:rPr>
        <w:t xml:space="preserve"> </w:t>
      </w:r>
      <w:r w:rsidRPr="00986F85">
        <w:rPr>
          <w:szCs w:val="24"/>
        </w:rPr>
        <w:t>KKV-k</w:t>
      </w:r>
      <w:r w:rsidRPr="00986F85">
        <w:rPr>
          <w:rFonts w:eastAsia="Times New Roman"/>
          <w:szCs w:val="24"/>
        </w:rPr>
        <w:t xml:space="preserve"> </w:t>
      </w:r>
      <w:r w:rsidRPr="00986F85">
        <w:rPr>
          <w:szCs w:val="24"/>
        </w:rPr>
        <w:t>technológia</w:t>
      </w:r>
      <w:r w:rsidRPr="00986F85">
        <w:rPr>
          <w:rFonts w:eastAsia="Times New Roman"/>
          <w:szCs w:val="24"/>
        </w:rPr>
        <w:t xml:space="preserve"> </w:t>
      </w:r>
      <w:r w:rsidRPr="00986F85">
        <w:rPr>
          <w:szCs w:val="24"/>
        </w:rPr>
        <w:t>fejlesztési</w:t>
      </w:r>
      <w:r w:rsidRPr="00986F85">
        <w:rPr>
          <w:rFonts w:eastAsia="Times New Roman"/>
          <w:szCs w:val="24"/>
        </w:rPr>
        <w:t xml:space="preserve"> </w:t>
      </w:r>
      <w:r w:rsidRPr="00986F85">
        <w:rPr>
          <w:szCs w:val="24"/>
        </w:rPr>
        <w:t>célú</w:t>
      </w:r>
      <w:r w:rsidRPr="00986F85">
        <w:rPr>
          <w:rFonts w:eastAsia="Times New Roman"/>
          <w:szCs w:val="24"/>
        </w:rPr>
        <w:t xml:space="preserve"> </w:t>
      </w:r>
      <w:r w:rsidRPr="00986F85">
        <w:rPr>
          <w:szCs w:val="24"/>
        </w:rPr>
        <w:t>beruházás</w:t>
      </w:r>
      <w:r w:rsidRPr="00986F85">
        <w:rPr>
          <w:rFonts w:eastAsia="Times New Roman"/>
          <w:szCs w:val="24"/>
        </w:rPr>
        <w:t xml:space="preserve"> </w:t>
      </w:r>
      <w:r w:rsidRPr="00986F85">
        <w:rPr>
          <w:szCs w:val="24"/>
        </w:rPr>
        <w:t>támogatási</w:t>
      </w:r>
      <w:r w:rsidRPr="00986F85">
        <w:rPr>
          <w:rFonts w:eastAsia="Times New Roman"/>
          <w:szCs w:val="24"/>
        </w:rPr>
        <w:t xml:space="preserve"> </w:t>
      </w:r>
      <w:r w:rsidRPr="00986F85">
        <w:rPr>
          <w:szCs w:val="24"/>
        </w:rPr>
        <w:t>alintézkedés</w:t>
      </w:r>
      <w:r w:rsidRPr="00986F85">
        <w:rPr>
          <w:rFonts w:eastAsia="Times New Roman"/>
          <w:szCs w:val="24"/>
        </w:rPr>
        <w:t xml:space="preserve"> </w:t>
      </w:r>
      <w:r w:rsidRPr="00986F85">
        <w:rPr>
          <w:szCs w:val="24"/>
        </w:rPr>
        <w:t>(GVOP</w:t>
      </w:r>
      <w:r w:rsidRPr="00986F85">
        <w:rPr>
          <w:rFonts w:eastAsia="Times New Roman"/>
          <w:szCs w:val="24"/>
        </w:rPr>
        <w:t xml:space="preserve"> </w:t>
      </w:r>
      <w:r w:rsidRPr="00986F85">
        <w:rPr>
          <w:szCs w:val="24"/>
        </w:rPr>
        <w:t>2.1.1.)</w:t>
      </w:r>
      <w:r w:rsidRPr="00986F85">
        <w:rPr>
          <w:rFonts w:eastAsia="Times New Roman"/>
          <w:szCs w:val="24"/>
        </w:rPr>
        <w:t xml:space="preserve"> </w:t>
      </w:r>
      <w:r w:rsidRPr="00986F85">
        <w:rPr>
          <w:szCs w:val="24"/>
        </w:rPr>
        <w:t xml:space="preserve">értékelése </w:t>
      </w:r>
    </w:p>
    <w:p w14:paraId="5010C6A7" w14:textId="77777777" w:rsidR="00821EFF" w:rsidRPr="00986F85" w:rsidRDefault="00821EFF" w:rsidP="00A75383">
      <w:pPr>
        <w:spacing w:after="0" w:line="360" w:lineRule="auto"/>
        <w:jc w:val="both"/>
        <w:rPr>
          <w:rFonts w:cs="Times New Roman"/>
          <w:szCs w:val="24"/>
        </w:rPr>
      </w:pPr>
    </w:p>
    <w:p w14:paraId="2EA1CE95" w14:textId="77777777" w:rsidR="00A75383" w:rsidRPr="00986F85" w:rsidRDefault="00A75383" w:rsidP="00A75383">
      <w:pPr>
        <w:spacing w:after="0" w:line="360" w:lineRule="auto"/>
        <w:jc w:val="both"/>
        <w:rPr>
          <w:rFonts w:cs="Times New Roman"/>
          <w:szCs w:val="24"/>
        </w:rPr>
      </w:pPr>
      <w:r w:rsidRPr="00986F85">
        <w:rPr>
          <w:rFonts w:cs="Times New Roman"/>
          <w:szCs w:val="24"/>
        </w:rPr>
        <w:t>Békés G. és Muraközy Balázs (</w:t>
      </w:r>
      <w:r w:rsidRPr="00986F85">
        <w:rPr>
          <w:szCs w:val="24"/>
        </w:rPr>
        <w:t>2013): Magyar gazellák: gyors növekedésű _vállalatok jellemzői és kialakulásuk elemzése Magyarországon</w:t>
      </w:r>
      <w:r w:rsidRPr="00986F85">
        <w:rPr>
          <w:rFonts w:cs="Times New Roman"/>
          <w:szCs w:val="24"/>
        </w:rPr>
        <w:t xml:space="preserve">, </w:t>
      </w:r>
      <w:r w:rsidRPr="00986F85">
        <w:rPr>
          <w:szCs w:val="24"/>
        </w:rPr>
        <w:t>2011 Szeptember, MTA KTI TÁMOP Műhelytanulmányok</w:t>
      </w:r>
    </w:p>
    <w:p w14:paraId="107F02C6" w14:textId="77777777" w:rsidR="00821EFF" w:rsidRPr="00986F85" w:rsidRDefault="00821EFF" w:rsidP="00A75383">
      <w:pPr>
        <w:spacing w:after="0" w:line="360" w:lineRule="auto"/>
        <w:jc w:val="both"/>
        <w:rPr>
          <w:rFonts w:cs="Times New Roman"/>
          <w:szCs w:val="24"/>
        </w:rPr>
      </w:pPr>
    </w:p>
    <w:p w14:paraId="739A14D5" w14:textId="77777777" w:rsidR="00A75383" w:rsidRPr="00986F85" w:rsidRDefault="00A75383" w:rsidP="00A75383">
      <w:pPr>
        <w:spacing w:after="0" w:line="360" w:lineRule="auto"/>
        <w:jc w:val="both"/>
        <w:rPr>
          <w:rFonts w:cs="Times New Roman"/>
          <w:szCs w:val="24"/>
        </w:rPr>
      </w:pPr>
      <w:r w:rsidRPr="00986F85">
        <w:rPr>
          <w:szCs w:val="24"/>
        </w:rPr>
        <w:t xml:space="preserve">Békés G et al (2012): </w:t>
      </w:r>
      <w:r w:rsidRPr="00986F85">
        <w:rPr>
          <w:rFonts w:cs="Times New Roman"/>
          <w:szCs w:val="24"/>
        </w:rPr>
        <w:t xml:space="preserve"> </w:t>
      </w:r>
      <w:r w:rsidRPr="00986F85">
        <w:rPr>
          <w:szCs w:val="24"/>
        </w:rPr>
        <w:t>Still standing:</w:t>
      </w:r>
      <w:r w:rsidRPr="00986F85">
        <w:rPr>
          <w:rFonts w:cs="Times New Roman"/>
          <w:szCs w:val="24"/>
        </w:rPr>
        <w:t xml:space="preserve"> </w:t>
      </w:r>
      <w:r w:rsidRPr="00986F85">
        <w:rPr>
          <w:szCs w:val="24"/>
        </w:rPr>
        <w:t>how European firms</w:t>
      </w:r>
      <w:r w:rsidRPr="00986F85">
        <w:rPr>
          <w:rFonts w:cs="Times New Roman"/>
          <w:szCs w:val="24"/>
        </w:rPr>
        <w:t xml:space="preserve"> </w:t>
      </w:r>
      <w:r w:rsidRPr="00986F85">
        <w:rPr>
          <w:szCs w:val="24"/>
        </w:rPr>
        <w:t>weathered the crisis</w:t>
      </w:r>
      <w:r w:rsidRPr="00986F85">
        <w:rPr>
          <w:rFonts w:cs="Times New Roman"/>
          <w:szCs w:val="24"/>
        </w:rPr>
        <w:t xml:space="preserve"> </w:t>
      </w:r>
      <w:r w:rsidRPr="00986F85">
        <w:rPr>
          <w:szCs w:val="24"/>
        </w:rPr>
        <w:t>The third EFIGE policy report</w:t>
      </w:r>
      <w:r w:rsidRPr="00986F85">
        <w:rPr>
          <w:rFonts w:cs="Times New Roman"/>
          <w:szCs w:val="24"/>
        </w:rPr>
        <w:t xml:space="preserve">. Bruegel Blueprint 15. </w:t>
      </w:r>
    </w:p>
    <w:p w14:paraId="791E2457" w14:textId="77777777" w:rsidR="00821EFF" w:rsidRPr="00986F85" w:rsidRDefault="00821EFF" w:rsidP="00A75383">
      <w:pPr>
        <w:spacing w:after="0" w:line="360" w:lineRule="auto"/>
        <w:jc w:val="both"/>
        <w:rPr>
          <w:rFonts w:cs="Times New Roman"/>
          <w:szCs w:val="24"/>
        </w:rPr>
      </w:pPr>
    </w:p>
    <w:p w14:paraId="14650C47" w14:textId="77777777" w:rsidR="00A75383" w:rsidRPr="00986F85" w:rsidRDefault="00A75383" w:rsidP="00A75383">
      <w:pPr>
        <w:spacing w:after="0" w:line="360" w:lineRule="auto"/>
        <w:jc w:val="both"/>
        <w:rPr>
          <w:szCs w:val="24"/>
        </w:rPr>
      </w:pPr>
      <w:r w:rsidRPr="00986F85">
        <w:rPr>
          <w:szCs w:val="24"/>
        </w:rPr>
        <w:t>Béres Attila</w:t>
      </w:r>
      <w:r w:rsidRPr="00986F85">
        <w:rPr>
          <w:rFonts w:eastAsia="Liberation Serif"/>
          <w:szCs w:val="24"/>
        </w:rPr>
        <w:t xml:space="preserve"> </w:t>
      </w:r>
      <w:r w:rsidRPr="00986F85">
        <w:rPr>
          <w:szCs w:val="24"/>
        </w:rPr>
        <w:t>(2008):</w:t>
      </w:r>
      <w:r w:rsidRPr="00986F85">
        <w:rPr>
          <w:rFonts w:eastAsia="Liberation Serif"/>
          <w:szCs w:val="24"/>
        </w:rPr>
        <w:t xml:space="preserve"> </w:t>
      </w:r>
      <w:r w:rsidRPr="00986F85">
        <w:rPr>
          <w:szCs w:val="24"/>
        </w:rPr>
        <w:t>A</w:t>
      </w:r>
      <w:r w:rsidRPr="00986F85">
        <w:rPr>
          <w:rFonts w:eastAsia="Liberation Serif"/>
          <w:szCs w:val="24"/>
        </w:rPr>
        <w:t xml:space="preserve"> </w:t>
      </w:r>
      <w:r w:rsidRPr="00986F85">
        <w:rPr>
          <w:szCs w:val="24"/>
        </w:rPr>
        <w:t>Nemzeti</w:t>
      </w:r>
      <w:r w:rsidRPr="00986F85">
        <w:rPr>
          <w:rFonts w:eastAsia="Liberation Serif"/>
          <w:szCs w:val="24"/>
        </w:rPr>
        <w:t xml:space="preserve"> </w:t>
      </w:r>
      <w:r w:rsidRPr="00986F85">
        <w:rPr>
          <w:szCs w:val="24"/>
        </w:rPr>
        <w:t>Fejlesztési</w:t>
      </w:r>
      <w:r w:rsidRPr="00986F85">
        <w:rPr>
          <w:rFonts w:eastAsia="Liberation Serif"/>
          <w:szCs w:val="24"/>
        </w:rPr>
        <w:t xml:space="preserve"> </w:t>
      </w:r>
      <w:r w:rsidRPr="00986F85">
        <w:rPr>
          <w:szCs w:val="24"/>
        </w:rPr>
        <w:t>Terv</w:t>
      </w:r>
      <w:r w:rsidRPr="00986F85">
        <w:rPr>
          <w:rFonts w:eastAsia="Liberation Serif"/>
          <w:szCs w:val="24"/>
        </w:rPr>
        <w:t xml:space="preserve"> </w:t>
      </w:r>
      <w:r w:rsidRPr="00986F85">
        <w:rPr>
          <w:szCs w:val="24"/>
        </w:rPr>
        <w:t>keretében</w:t>
      </w:r>
      <w:r w:rsidRPr="00986F85">
        <w:rPr>
          <w:rFonts w:eastAsia="Liberation Serif"/>
          <w:szCs w:val="24"/>
        </w:rPr>
        <w:t xml:space="preserve"> </w:t>
      </w:r>
      <w:r w:rsidRPr="00986F85">
        <w:rPr>
          <w:szCs w:val="24"/>
        </w:rPr>
        <w:t>a</w:t>
      </w:r>
      <w:r w:rsidRPr="00986F85">
        <w:rPr>
          <w:rFonts w:eastAsia="Liberation Serif"/>
          <w:szCs w:val="24"/>
        </w:rPr>
        <w:t xml:space="preserve"> </w:t>
      </w:r>
      <w:r w:rsidRPr="00986F85">
        <w:rPr>
          <w:szCs w:val="24"/>
        </w:rPr>
        <w:t>KKV-k</w:t>
      </w:r>
      <w:r w:rsidRPr="00986F85">
        <w:rPr>
          <w:rFonts w:eastAsia="Liberation Serif"/>
          <w:szCs w:val="24"/>
        </w:rPr>
        <w:t xml:space="preserve"> </w:t>
      </w:r>
      <w:r w:rsidRPr="00986F85">
        <w:rPr>
          <w:szCs w:val="24"/>
        </w:rPr>
        <w:t>számára</w:t>
      </w:r>
      <w:r w:rsidRPr="00986F85">
        <w:rPr>
          <w:rFonts w:eastAsia="Liberation Serif"/>
          <w:szCs w:val="24"/>
        </w:rPr>
        <w:t xml:space="preserve"> </w:t>
      </w:r>
      <w:r w:rsidRPr="00986F85">
        <w:rPr>
          <w:szCs w:val="24"/>
        </w:rPr>
        <w:t>megítélt</w:t>
      </w:r>
      <w:r w:rsidRPr="00986F85">
        <w:rPr>
          <w:rFonts w:eastAsia="Liberation Serif"/>
          <w:szCs w:val="24"/>
        </w:rPr>
        <w:t xml:space="preserve"> </w:t>
      </w:r>
      <w:r w:rsidRPr="00986F85">
        <w:rPr>
          <w:szCs w:val="24"/>
        </w:rPr>
        <w:t>technológiafejlesztési</w:t>
      </w:r>
      <w:r w:rsidRPr="00986F85">
        <w:rPr>
          <w:rFonts w:eastAsia="Liberation Serif"/>
          <w:szCs w:val="24"/>
        </w:rPr>
        <w:t xml:space="preserve"> </w:t>
      </w:r>
      <w:r w:rsidRPr="00986F85">
        <w:rPr>
          <w:szCs w:val="24"/>
        </w:rPr>
        <w:t>támogatásoknak</w:t>
      </w:r>
      <w:r w:rsidRPr="00986F85">
        <w:rPr>
          <w:rFonts w:eastAsia="Liberation Serif"/>
          <w:szCs w:val="24"/>
        </w:rPr>
        <w:t xml:space="preserve"> </w:t>
      </w:r>
      <w:r w:rsidRPr="00986F85">
        <w:rPr>
          <w:szCs w:val="24"/>
        </w:rPr>
        <w:t>a</w:t>
      </w:r>
      <w:r w:rsidRPr="00986F85">
        <w:rPr>
          <w:rFonts w:eastAsia="Liberation Serif"/>
          <w:szCs w:val="24"/>
        </w:rPr>
        <w:t xml:space="preserve"> </w:t>
      </w:r>
      <w:r w:rsidRPr="00986F85">
        <w:rPr>
          <w:szCs w:val="24"/>
        </w:rPr>
        <w:t>vállalkozások</w:t>
      </w:r>
      <w:r w:rsidRPr="00986F85">
        <w:rPr>
          <w:rFonts w:eastAsia="Liberation Serif"/>
          <w:szCs w:val="24"/>
        </w:rPr>
        <w:t xml:space="preserve"> </w:t>
      </w:r>
      <w:r w:rsidRPr="00986F85">
        <w:rPr>
          <w:szCs w:val="24"/>
        </w:rPr>
        <w:t>beruházásaira</w:t>
      </w:r>
      <w:r w:rsidRPr="00986F85">
        <w:rPr>
          <w:rFonts w:eastAsia="Liberation Serif"/>
          <w:szCs w:val="24"/>
        </w:rPr>
        <w:t xml:space="preserve"> </w:t>
      </w:r>
      <w:r w:rsidRPr="00986F85">
        <w:rPr>
          <w:szCs w:val="24"/>
        </w:rPr>
        <w:t>és</w:t>
      </w:r>
      <w:r w:rsidRPr="00986F85">
        <w:rPr>
          <w:rFonts w:eastAsia="Liberation Serif"/>
          <w:szCs w:val="24"/>
        </w:rPr>
        <w:t xml:space="preserve"> </w:t>
      </w:r>
      <w:r w:rsidRPr="00986F85">
        <w:rPr>
          <w:szCs w:val="24"/>
        </w:rPr>
        <w:t>növekedésére</w:t>
      </w:r>
      <w:r w:rsidRPr="00986F85">
        <w:rPr>
          <w:rFonts w:eastAsia="Liberation Serif"/>
          <w:szCs w:val="24"/>
        </w:rPr>
        <w:t xml:space="preserve"> </w:t>
      </w:r>
      <w:r w:rsidRPr="00986F85">
        <w:rPr>
          <w:szCs w:val="24"/>
        </w:rPr>
        <w:t>gyakorolt</w:t>
      </w:r>
      <w:r w:rsidRPr="00986F85">
        <w:rPr>
          <w:rFonts w:eastAsia="Liberation Serif"/>
          <w:szCs w:val="24"/>
        </w:rPr>
        <w:t xml:space="preserve"> </w:t>
      </w:r>
      <w:r w:rsidRPr="00986F85">
        <w:rPr>
          <w:szCs w:val="24"/>
        </w:rPr>
        <w:t>hatásának</w:t>
      </w:r>
      <w:r w:rsidRPr="00986F85">
        <w:rPr>
          <w:rFonts w:eastAsia="Liberation Serif"/>
          <w:szCs w:val="24"/>
        </w:rPr>
        <w:t xml:space="preserve"> </w:t>
      </w:r>
      <w:r w:rsidRPr="00986F85">
        <w:rPr>
          <w:szCs w:val="24"/>
        </w:rPr>
        <w:t>elemzése</w:t>
      </w:r>
      <w:r w:rsidRPr="00986F85">
        <w:rPr>
          <w:rFonts w:eastAsia="Liberation Serif"/>
          <w:szCs w:val="24"/>
        </w:rPr>
        <w:t xml:space="preserve"> </w:t>
      </w:r>
      <w:r w:rsidRPr="00986F85">
        <w:rPr>
          <w:szCs w:val="24"/>
        </w:rPr>
        <w:t>(GVOP</w:t>
      </w:r>
      <w:r w:rsidRPr="00986F85">
        <w:rPr>
          <w:rFonts w:eastAsia="Liberation Serif"/>
          <w:szCs w:val="24"/>
        </w:rPr>
        <w:t xml:space="preserve"> </w:t>
      </w:r>
      <w:r w:rsidRPr="00986F85">
        <w:rPr>
          <w:szCs w:val="24"/>
        </w:rPr>
        <w:t xml:space="preserve">2.1.1) </w:t>
      </w:r>
    </w:p>
    <w:p w14:paraId="0394BE36" w14:textId="77777777" w:rsidR="00821EFF" w:rsidRPr="00986F85" w:rsidRDefault="00821EFF" w:rsidP="00A75383">
      <w:pPr>
        <w:spacing w:after="0" w:line="360" w:lineRule="auto"/>
        <w:jc w:val="both"/>
        <w:rPr>
          <w:rFonts w:cs="Times New Roman"/>
          <w:szCs w:val="24"/>
        </w:rPr>
      </w:pPr>
    </w:p>
    <w:p w14:paraId="7C51DCDA" w14:textId="77777777" w:rsidR="00A75383" w:rsidRPr="00986F85" w:rsidRDefault="00A75383" w:rsidP="00A75383">
      <w:pPr>
        <w:spacing w:after="0" w:line="360" w:lineRule="auto"/>
        <w:jc w:val="both"/>
        <w:rPr>
          <w:rFonts w:cs="Times New Roman"/>
          <w:szCs w:val="24"/>
        </w:rPr>
      </w:pPr>
      <w:r w:rsidRPr="00986F85">
        <w:rPr>
          <w:rFonts w:cs="Times New Roman"/>
          <w:szCs w:val="24"/>
        </w:rPr>
        <w:t>BI</w:t>
      </w:r>
      <w:r w:rsidRPr="00986F85">
        <w:rPr>
          <w:rFonts w:eastAsia="Times New Roman" w:cs="Times New Roman"/>
          <w:szCs w:val="24"/>
        </w:rPr>
        <w:t xml:space="preserve"> </w:t>
      </w:r>
      <w:r w:rsidRPr="00986F85">
        <w:rPr>
          <w:rFonts w:cs="Times New Roman"/>
          <w:szCs w:val="24"/>
        </w:rPr>
        <w:t>2010c.</w:t>
      </w:r>
      <w:r w:rsidRPr="00986F85">
        <w:rPr>
          <w:rFonts w:eastAsia="Times New Roman" w:cs="Times New Roman"/>
          <w:szCs w:val="24"/>
        </w:rPr>
        <w:t xml:space="preserve"> </w:t>
      </w:r>
      <w:r w:rsidRPr="00986F85">
        <w:rPr>
          <w:rFonts w:cs="Times New Roman"/>
          <w:szCs w:val="24"/>
        </w:rPr>
        <w:t>Adminisztratív</w:t>
      </w:r>
      <w:r w:rsidRPr="00986F85">
        <w:rPr>
          <w:rFonts w:eastAsia="Times New Roman" w:cs="Times New Roman"/>
          <w:szCs w:val="24"/>
        </w:rPr>
        <w:t xml:space="preserve"> </w:t>
      </w:r>
      <w:r w:rsidRPr="00986F85">
        <w:rPr>
          <w:rFonts w:cs="Times New Roman"/>
          <w:szCs w:val="24"/>
        </w:rPr>
        <w:t>terhek</w:t>
      </w:r>
      <w:r w:rsidRPr="00986F85">
        <w:rPr>
          <w:rFonts w:eastAsia="Times New Roman" w:cs="Times New Roman"/>
          <w:szCs w:val="24"/>
        </w:rPr>
        <w:t xml:space="preserve"> </w:t>
      </w:r>
      <w:r w:rsidRPr="00986F85">
        <w:rPr>
          <w:rFonts w:cs="Times New Roman"/>
          <w:szCs w:val="24"/>
        </w:rPr>
        <w:t>Magyarországon</w:t>
      </w:r>
      <w:r w:rsidRPr="00986F85">
        <w:rPr>
          <w:rFonts w:eastAsia="Times New Roman" w:cs="Times New Roman"/>
          <w:szCs w:val="24"/>
        </w:rPr>
        <w:t xml:space="preserve"> – </w:t>
      </w:r>
      <w:r w:rsidRPr="00986F85">
        <w:rPr>
          <w:rFonts w:cs="Times New Roman"/>
          <w:szCs w:val="24"/>
        </w:rPr>
        <w:t>szektorális</w:t>
      </w:r>
      <w:r w:rsidRPr="00986F85">
        <w:rPr>
          <w:rFonts w:eastAsia="Times New Roman" w:cs="Times New Roman"/>
          <w:szCs w:val="24"/>
        </w:rPr>
        <w:t xml:space="preserve"> </w:t>
      </w:r>
      <w:r w:rsidRPr="00986F85">
        <w:rPr>
          <w:rFonts w:cs="Times New Roman"/>
          <w:szCs w:val="24"/>
        </w:rPr>
        <w:t>és</w:t>
      </w:r>
      <w:r w:rsidRPr="00986F85">
        <w:rPr>
          <w:rFonts w:eastAsia="Times New Roman" w:cs="Times New Roman"/>
          <w:szCs w:val="24"/>
        </w:rPr>
        <w:t xml:space="preserve"> </w:t>
      </w:r>
      <w:r w:rsidRPr="00986F85">
        <w:rPr>
          <w:rFonts w:cs="Times New Roman"/>
          <w:szCs w:val="24"/>
        </w:rPr>
        <w:t>vállalat-méret</w:t>
      </w:r>
      <w:r w:rsidRPr="00986F85">
        <w:rPr>
          <w:rFonts w:eastAsia="Times New Roman" w:cs="Times New Roman"/>
          <w:szCs w:val="24"/>
        </w:rPr>
        <w:t xml:space="preserve"> </w:t>
      </w:r>
      <w:r w:rsidRPr="00986F85">
        <w:rPr>
          <w:rFonts w:cs="Times New Roman"/>
          <w:szCs w:val="24"/>
        </w:rPr>
        <w:t>szerinti</w:t>
      </w:r>
      <w:r w:rsidRPr="00986F85">
        <w:rPr>
          <w:rFonts w:eastAsia="Times New Roman" w:cs="Times New Roman"/>
          <w:szCs w:val="24"/>
        </w:rPr>
        <w:t xml:space="preserve"> </w:t>
      </w:r>
      <w:r w:rsidRPr="00986F85">
        <w:rPr>
          <w:rFonts w:cs="Times New Roman"/>
          <w:szCs w:val="24"/>
        </w:rPr>
        <w:t>specifikus</w:t>
      </w:r>
      <w:r w:rsidRPr="00986F85">
        <w:rPr>
          <w:rFonts w:eastAsia="Times New Roman" w:cs="Times New Roman"/>
          <w:szCs w:val="24"/>
        </w:rPr>
        <w:t xml:space="preserve"> </w:t>
      </w:r>
      <w:r w:rsidRPr="00986F85">
        <w:rPr>
          <w:rFonts w:cs="Times New Roman"/>
          <w:szCs w:val="24"/>
        </w:rPr>
        <w:t>elemzés.</w:t>
      </w:r>
      <w:r w:rsidRPr="00986F85">
        <w:rPr>
          <w:rFonts w:eastAsia="Times New Roman" w:cs="Times New Roman"/>
          <w:szCs w:val="24"/>
        </w:rPr>
        <w:t xml:space="preserve"> </w:t>
      </w:r>
      <w:r w:rsidRPr="00986F85">
        <w:rPr>
          <w:rFonts w:cs="Times New Roman"/>
          <w:szCs w:val="24"/>
        </w:rPr>
        <w:t>Budapest</w:t>
      </w:r>
      <w:r w:rsidRPr="00986F85">
        <w:rPr>
          <w:rFonts w:eastAsia="Times New Roman" w:cs="Times New Roman"/>
          <w:szCs w:val="24"/>
        </w:rPr>
        <w:t xml:space="preserve"> </w:t>
      </w:r>
      <w:r w:rsidRPr="00986F85">
        <w:rPr>
          <w:rFonts w:cs="Times New Roman"/>
          <w:szCs w:val="24"/>
        </w:rPr>
        <w:t>Szakpolitikai</w:t>
      </w:r>
      <w:r w:rsidRPr="00986F85">
        <w:rPr>
          <w:rFonts w:eastAsia="Times New Roman" w:cs="Times New Roman"/>
          <w:szCs w:val="24"/>
        </w:rPr>
        <w:t xml:space="preserve"> </w:t>
      </w:r>
      <w:r w:rsidRPr="00986F85">
        <w:rPr>
          <w:rFonts w:cs="Times New Roman"/>
          <w:szCs w:val="24"/>
        </w:rPr>
        <w:t>Elemző</w:t>
      </w:r>
      <w:r w:rsidRPr="00986F85">
        <w:rPr>
          <w:rFonts w:eastAsia="Times New Roman" w:cs="Times New Roman"/>
          <w:szCs w:val="24"/>
        </w:rPr>
        <w:t xml:space="preserve"> </w:t>
      </w:r>
      <w:r w:rsidRPr="00986F85">
        <w:rPr>
          <w:rFonts w:cs="Times New Roman"/>
          <w:szCs w:val="24"/>
        </w:rPr>
        <w:t>Intézet.</w:t>
      </w:r>
    </w:p>
    <w:p w14:paraId="6B92A316" w14:textId="77777777" w:rsidR="00821EFF" w:rsidRPr="00986F85" w:rsidRDefault="00821EFF" w:rsidP="00A75383">
      <w:pPr>
        <w:spacing w:after="0" w:line="360" w:lineRule="auto"/>
        <w:jc w:val="both"/>
        <w:rPr>
          <w:rFonts w:cs="Times New Roman"/>
          <w:szCs w:val="24"/>
        </w:rPr>
      </w:pPr>
    </w:p>
    <w:p w14:paraId="738761A0" w14:textId="77777777" w:rsidR="00A75383" w:rsidRPr="00986F85" w:rsidRDefault="00A75383" w:rsidP="00A75383">
      <w:pPr>
        <w:spacing w:after="0" w:line="360" w:lineRule="auto"/>
        <w:jc w:val="both"/>
        <w:rPr>
          <w:rFonts w:cs="Times New Roman"/>
          <w:szCs w:val="24"/>
        </w:rPr>
      </w:pPr>
      <w:r w:rsidRPr="00986F85">
        <w:rPr>
          <w:rFonts w:cs="Times New Roman"/>
          <w:szCs w:val="24"/>
        </w:rPr>
        <w:t>BI-IFUA</w:t>
      </w:r>
      <w:r w:rsidRPr="00986F85">
        <w:rPr>
          <w:rFonts w:eastAsia="Times New Roman" w:cs="Times New Roman"/>
          <w:szCs w:val="24"/>
        </w:rPr>
        <w:t xml:space="preserve"> </w:t>
      </w:r>
      <w:r w:rsidRPr="00986F85">
        <w:rPr>
          <w:rFonts w:cs="Times New Roman"/>
          <w:szCs w:val="24"/>
        </w:rPr>
        <w:t>2010D. GOP közbenső értékelése. mimeo</w:t>
      </w:r>
    </w:p>
    <w:p w14:paraId="2BB920DA" w14:textId="77777777" w:rsidR="00821EFF" w:rsidRPr="00986F85" w:rsidRDefault="00821EFF" w:rsidP="00A75383">
      <w:pPr>
        <w:spacing w:after="0" w:line="360" w:lineRule="auto"/>
        <w:jc w:val="both"/>
        <w:rPr>
          <w:rFonts w:cs="Times New Roman"/>
          <w:szCs w:val="24"/>
        </w:rPr>
      </w:pPr>
    </w:p>
    <w:p w14:paraId="782E0A0F" w14:textId="77777777" w:rsidR="00A75383" w:rsidRPr="00986F85" w:rsidRDefault="00A75383" w:rsidP="00A75383">
      <w:pPr>
        <w:spacing w:after="0" w:line="360" w:lineRule="auto"/>
        <w:jc w:val="both"/>
        <w:rPr>
          <w:rFonts w:cs="Times New Roman"/>
          <w:szCs w:val="24"/>
        </w:rPr>
      </w:pPr>
      <w:r w:rsidRPr="00986F85">
        <w:rPr>
          <w:rFonts w:cs="Times New Roman"/>
          <w:szCs w:val="24"/>
        </w:rPr>
        <w:t>Crump, R. K., V. J. Hotz, G. W. Imbens, O. A. Mitnik (2009): Dealing with limited overlap in estimation of average treatment effects. Biometrika 96(1), 187-199.</w:t>
      </w:r>
    </w:p>
    <w:p w14:paraId="1944CA80" w14:textId="77777777" w:rsidR="00821EFF" w:rsidRPr="00986F85" w:rsidRDefault="00821EFF" w:rsidP="00A75383">
      <w:pPr>
        <w:spacing w:after="0" w:line="360" w:lineRule="auto"/>
        <w:jc w:val="both"/>
        <w:rPr>
          <w:rFonts w:cs="Times New Roman"/>
          <w:szCs w:val="24"/>
        </w:rPr>
      </w:pPr>
    </w:p>
    <w:p w14:paraId="7F195D73" w14:textId="77777777" w:rsidR="0049367C" w:rsidRPr="00986F85" w:rsidRDefault="0049367C" w:rsidP="00821EFF">
      <w:pPr>
        <w:spacing w:after="0" w:line="360" w:lineRule="auto"/>
        <w:jc w:val="both"/>
        <w:rPr>
          <w:rFonts w:cs="Times New Roman"/>
          <w:szCs w:val="24"/>
        </w:rPr>
      </w:pPr>
      <w:r w:rsidRPr="00986F85">
        <w:rPr>
          <w:rFonts w:cs="Times New Roman"/>
          <w:szCs w:val="24"/>
        </w:rPr>
        <w:t>Dehejia, R.H. és S. Wahba (1999): Casual Effects in nonexperimental studies: reevaluating the evaluation of training programs. Journal of American Statistical Association 94, 1053-62.</w:t>
      </w:r>
    </w:p>
    <w:p w14:paraId="0B22F386" w14:textId="77777777" w:rsidR="0049367C" w:rsidRPr="00986F85" w:rsidRDefault="0049367C" w:rsidP="00821EFF">
      <w:pPr>
        <w:spacing w:after="0" w:line="360" w:lineRule="auto"/>
        <w:jc w:val="both"/>
        <w:rPr>
          <w:rFonts w:cs="Times New Roman"/>
          <w:szCs w:val="24"/>
        </w:rPr>
      </w:pPr>
    </w:p>
    <w:p w14:paraId="56E52123" w14:textId="77777777" w:rsidR="00821EFF" w:rsidRPr="00986F85" w:rsidRDefault="00821EFF" w:rsidP="00821EFF">
      <w:pPr>
        <w:spacing w:after="0" w:line="360" w:lineRule="auto"/>
        <w:jc w:val="both"/>
        <w:rPr>
          <w:rFonts w:cs="Times New Roman"/>
          <w:szCs w:val="24"/>
        </w:rPr>
      </w:pPr>
      <w:r w:rsidRPr="00986F85">
        <w:rPr>
          <w:rFonts w:cs="Times New Roman"/>
          <w:szCs w:val="24"/>
        </w:rPr>
        <w:t xml:space="preserve">Dixon, H, Griffiths D., Lawson L. (2004): Exploring Tradable and Non-Tradable Inflation in Consumer Prices,  Inflation Measures Division, Statistics New Zealand. </w:t>
      </w:r>
    </w:p>
    <w:p w14:paraId="2F35242B" w14:textId="77777777" w:rsidR="00821EFF" w:rsidRPr="00986F85" w:rsidRDefault="00821EFF" w:rsidP="00A75383">
      <w:pPr>
        <w:spacing w:after="0" w:line="360" w:lineRule="auto"/>
        <w:jc w:val="both"/>
        <w:rPr>
          <w:rFonts w:cs="Times New Roman"/>
          <w:szCs w:val="24"/>
        </w:rPr>
      </w:pPr>
    </w:p>
    <w:p w14:paraId="24B9410B" w14:textId="77777777" w:rsidR="00A75383" w:rsidRPr="00986F85" w:rsidRDefault="00A75383" w:rsidP="00A75383">
      <w:pPr>
        <w:spacing w:after="0" w:line="360" w:lineRule="auto"/>
        <w:jc w:val="both"/>
        <w:rPr>
          <w:i/>
          <w:szCs w:val="24"/>
        </w:rPr>
      </w:pPr>
      <w:r w:rsidRPr="00986F85">
        <w:rPr>
          <w:rFonts w:cs="Times New Roman"/>
          <w:szCs w:val="24"/>
        </w:rPr>
        <w:lastRenderedPageBreak/>
        <w:t>Hudomiet-Kézdi, 2011</w:t>
      </w:r>
      <w:r w:rsidRPr="00986F85">
        <w:rPr>
          <w:szCs w:val="24"/>
        </w:rPr>
        <w:t xml:space="preserve">: Hatásvizsgálatok módszertana. </w:t>
      </w:r>
      <w:r w:rsidRPr="00986F85">
        <w:rPr>
          <w:i/>
          <w:szCs w:val="24"/>
        </w:rPr>
        <w:t>Kézirat</w:t>
      </w:r>
    </w:p>
    <w:p w14:paraId="7200F80B" w14:textId="77777777" w:rsidR="0049367C" w:rsidRPr="00986F85" w:rsidRDefault="0049367C" w:rsidP="00A75383">
      <w:pPr>
        <w:spacing w:after="0" w:line="360" w:lineRule="auto"/>
        <w:jc w:val="both"/>
        <w:rPr>
          <w:i/>
          <w:szCs w:val="24"/>
        </w:rPr>
      </w:pPr>
    </w:p>
    <w:p w14:paraId="2A38AEEA" w14:textId="77777777" w:rsidR="0049367C" w:rsidRPr="00986F85" w:rsidRDefault="0049367C" w:rsidP="00A75383">
      <w:pPr>
        <w:spacing w:after="0" w:line="360" w:lineRule="auto"/>
        <w:jc w:val="both"/>
        <w:rPr>
          <w:szCs w:val="24"/>
        </w:rPr>
      </w:pPr>
      <w:r w:rsidRPr="00986F85">
        <w:rPr>
          <w:szCs w:val="24"/>
        </w:rPr>
        <w:t>Kézdi, G. (2011): A programok hatásvizsgálatának módszertana. Munkaerőpiaci Tükör 2011., 54-71., MTA KTI, Budapest.</w:t>
      </w:r>
    </w:p>
    <w:p w14:paraId="5B9B16A8" w14:textId="77777777" w:rsidR="00821EFF" w:rsidRPr="00986F85" w:rsidRDefault="00821EFF" w:rsidP="00A75383">
      <w:pPr>
        <w:spacing w:after="0" w:line="360" w:lineRule="auto"/>
        <w:jc w:val="both"/>
        <w:rPr>
          <w:rFonts w:cs="Times New Roman"/>
          <w:szCs w:val="24"/>
        </w:rPr>
      </w:pPr>
    </w:p>
    <w:p w14:paraId="67C10817" w14:textId="77777777" w:rsidR="00A75383" w:rsidRPr="00986F85" w:rsidRDefault="00A75383" w:rsidP="00A75383">
      <w:pPr>
        <w:spacing w:after="0" w:line="360" w:lineRule="auto"/>
        <w:jc w:val="both"/>
        <w:rPr>
          <w:i/>
          <w:szCs w:val="24"/>
        </w:rPr>
      </w:pPr>
      <w:r w:rsidRPr="00986F85">
        <w:rPr>
          <w:szCs w:val="24"/>
        </w:rPr>
        <w:t>KPMG</w:t>
      </w:r>
      <w:r w:rsidRPr="00986F85">
        <w:rPr>
          <w:rFonts w:eastAsia="Liberation Serif"/>
          <w:szCs w:val="24"/>
        </w:rPr>
        <w:t xml:space="preserve"> </w:t>
      </w:r>
      <w:r w:rsidRPr="00986F85">
        <w:rPr>
          <w:szCs w:val="24"/>
        </w:rPr>
        <w:t>(2006):</w:t>
      </w:r>
      <w:r w:rsidRPr="00986F85">
        <w:rPr>
          <w:rFonts w:eastAsia="Liberation Serif"/>
          <w:szCs w:val="24"/>
        </w:rPr>
        <w:t xml:space="preserve"> </w:t>
      </w:r>
      <w:r w:rsidRPr="00986F85">
        <w:rPr>
          <w:szCs w:val="24"/>
        </w:rPr>
        <w:t>A</w:t>
      </w:r>
      <w:r w:rsidRPr="00986F85">
        <w:rPr>
          <w:rFonts w:eastAsia="Liberation Serif"/>
          <w:szCs w:val="24"/>
        </w:rPr>
        <w:t xml:space="preserve"> </w:t>
      </w:r>
      <w:r w:rsidRPr="00986F85">
        <w:rPr>
          <w:szCs w:val="24"/>
        </w:rPr>
        <w:t>Gazdasági</w:t>
      </w:r>
      <w:r w:rsidRPr="00986F85">
        <w:rPr>
          <w:rFonts w:eastAsia="Liberation Serif"/>
          <w:szCs w:val="24"/>
        </w:rPr>
        <w:t xml:space="preserve"> </w:t>
      </w:r>
      <w:r w:rsidRPr="00986F85">
        <w:rPr>
          <w:szCs w:val="24"/>
        </w:rPr>
        <w:t>Versenyképesség</w:t>
      </w:r>
      <w:r w:rsidRPr="00986F85">
        <w:rPr>
          <w:rFonts w:eastAsia="Liberation Serif"/>
          <w:szCs w:val="24"/>
        </w:rPr>
        <w:t xml:space="preserve"> </w:t>
      </w:r>
      <w:r w:rsidRPr="00986F85">
        <w:rPr>
          <w:szCs w:val="24"/>
        </w:rPr>
        <w:t>Operatív</w:t>
      </w:r>
      <w:r w:rsidRPr="00986F85">
        <w:rPr>
          <w:rFonts w:eastAsia="Liberation Serif"/>
          <w:szCs w:val="24"/>
        </w:rPr>
        <w:t xml:space="preserve"> </w:t>
      </w:r>
      <w:r w:rsidRPr="00986F85">
        <w:rPr>
          <w:szCs w:val="24"/>
        </w:rPr>
        <w:t>Program</w:t>
      </w:r>
      <w:r w:rsidRPr="00986F85">
        <w:rPr>
          <w:rFonts w:eastAsia="Liberation Serif"/>
          <w:szCs w:val="24"/>
        </w:rPr>
        <w:t xml:space="preserve"> </w:t>
      </w:r>
      <w:r w:rsidRPr="00986F85">
        <w:rPr>
          <w:szCs w:val="24"/>
        </w:rPr>
        <w:t>közbenső</w:t>
      </w:r>
      <w:r w:rsidRPr="00986F85">
        <w:rPr>
          <w:rFonts w:eastAsia="Liberation Serif"/>
          <w:szCs w:val="24"/>
        </w:rPr>
        <w:t xml:space="preserve"> </w:t>
      </w:r>
      <w:r w:rsidRPr="00986F85">
        <w:rPr>
          <w:szCs w:val="24"/>
        </w:rPr>
        <w:t>értékelése</w:t>
      </w:r>
    </w:p>
    <w:p w14:paraId="73604B1F" w14:textId="77777777" w:rsidR="00821EFF" w:rsidRPr="00986F85" w:rsidRDefault="00A75383" w:rsidP="00A75383">
      <w:pPr>
        <w:snapToGrid w:val="0"/>
        <w:spacing w:after="0" w:line="360" w:lineRule="auto"/>
        <w:jc w:val="both"/>
        <w:rPr>
          <w:rFonts w:cs="Times New Roman"/>
          <w:szCs w:val="24"/>
        </w:rPr>
      </w:pPr>
      <w:r w:rsidRPr="00986F85">
        <w:rPr>
          <w:szCs w:val="24"/>
        </w:rPr>
        <w:t>Kullman</w:t>
      </w:r>
      <w:r w:rsidRPr="00986F85">
        <w:rPr>
          <w:rFonts w:eastAsia="Liberation Serif"/>
          <w:szCs w:val="24"/>
        </w:rPr>
        <w:t xml:space="preserve"> </w:t>
      </w:r>
      <w:r w:rsidRPr="00986F85">
        <w:rPr>
          <w:szCs w:val="24"/>
        </w:rPr>
        <w:t>Ádám</w:t>
      </w:r>
      <w:r w:rsidRPr="00986F85">
        <w:rPr>
          <w:rFonts w:eastAsia="Liberation Serif"/>
          <w:szCs w:val="24"/>
        </w:rPr>
        <w:t xml:space="preserve"> </w:t>
      </w:r>
      <w:r w:rsidRPr="00986F85">
        <w:rPr>
          <w:szCs w:val="24"/>
        </w:rPr>
        <w:t>(2007):</w:t>
      </w:r>
      <w:r w:rsidRPr="00986F85">
        <w:rPr>
          <w:rFonts w:eastAsia="Liberation Serif"/>
          <w:szCs w:val="24"/>
        </w:rPr>
        <w:t xml:space="preserve"> </w:t>
      </w:r>
      <w:r w:rsidRPr="00986F85">
        <w:rPr>
          <w:szCs w:val="24"/>
        </w:rPr>
        <w:t>A</w:t>
      </w:r>
      <w:r w:rsidRPr="00986F85">
        <w:rPr>
          <w:rFonts w:eastAsia="Liberation Serif"/>
          <w:szCs w:val="24"/>
        </w:rPr>
        <w:t xml:space="preserve"> </w:t>
      </w:r>
      <w:r w:rsidRPr="00986F85">
        <w:rPr>
          <w:szCs w:val="24"/>
        </w:rPr>
        <w:t>Nemzeti</w:t>
      </w:r>
      <w:r w:rsidRPr="00986F85">
        <w:rPr>
          <w:rFonts w:eastAsia="Liberation Serif"/>
          <w:szCs w:val="24"/>
        </w:rPr>
        <w:t xml:space="preserve"> </w:t>
      </w:r>
      <w:r w:rsidRPr="00986F85">
        <w:rPr>
          <w:szCs w:val="24"/>
        </w:rPr>
        <w:t>Fejlesztési</w:t>
      </w:r>
      <w:r w:rsidRPr="00986F85">
        <w:rPr>
          <w:rFonts w:eastAsia="Liberation Serif"/>
          <w:szCs w:val="24"/>
        </w:rPr>
        <w:t xml:space="preserve"> </w:t>
      </w:r>
      <w:r w:rsidRPr="00986F85">
        <w:rPr>
          <w:szCs w:val="24"/>
        </w:rPr>
        <w:t>Tervről</w:t>
      </w:r>
      <w:r w:rsidRPr="00986F85">
        <w:rPr>
          <w:rFonts w:eastAsia="Liberation Serif"/>
          <w:szCs w:val="24"/>
        </w:rPr>
        <w:t xml:space="preserve"> </w:t>
      </w:r>
      <w:r w:rsidRPr="00986F85">
        <w:rPr>
          <w:szCs w:val="24"/>
        </w:rPr>
        <w:t>publikált</w:t>
      </w:r>
      <w:r w:rsidRPr="00986F85">
        <w:rPr>
          <w:rFonts w:eastAsia="Liberation Serif"/>
          <w:szCs w:val="24"/>
        </w:rPr>
        <w:t xml:space="preserve"> </w:t>
      </w:r>
      <w:r w:rsidRPr="00986F85">
        <w:rPr>
          <w:szCs w:val="24"/>
        </w:rPr>
        <w:t>elemzések</w:t>
      </w:r>
      <w:r w:rsidR="009007AF" w:rsidRPr="00986F85">
        <w:rPr>
          <w:rFonts w:cs="Times New Roman"/>
          <w:szCs w:val="24"/>
        </w:rPr>
        <w:t>.</w:t>
      </w:r>
      <w:r w:rsidR="00821EFF" w:rsidRPr="00986F85">
        <w:rPr>
          <w:rFonts w:cs="Times New Roman"/>
          <w:szCs w:val="24"/>
        </w:rPr>
        <w:t xml:space="preserve"> </w:t>
      </w:r>
    </w:p>
    <w:p w14:paraId="502ECC43" w14:textId="77777777" w:rsidR="00821EFF" w:rsidRPr="00986F85" w:rsidRDefault="00821EFF" w:rsidP="00A75383">
      <w:pPr>
        <w:snapToGrid w:val="0"/>
        <w:spacing w:after="0" w:line="360" w:lineRule="auto"/>
        <w:jc w:val="both"/>
        <w:rPr>
          <w:rFonts w:cs="Times New Roman"/>
          <w:szCs w:val="24"/>
        </w:rPr>
      </w:pPr>
    </w:p>
    <w:p w14:paraId="2E5F04AD" w14:textId="77777777" w:rsidR="0049367C" w:rsidRPr="00986F85" w:rsidRDefault="0049367C" w:rsidP="00A75383">
      <w:pPr>
        <w:snapToGrid w:val="0"/>
        <w:spacing w:after="0" w:line="360" w:lineRule="auto"/>
        <w:jc w:val="both"/>
      </w:pPr>
      <w:r w:rsidRPr="00986F85">
        <w:t>Rosenbaum P. és R. Rubin (1983): The central role of the propensity score in observational studies for causal effects. Biometrika 70, 41-55.</w:t>
      </w:r>
    </w:p>
    <w:p w14:paraId="0E432EA0" w14:textId="77777777" w:rsidR="0049367C" w:rsidRPr="00986F85" w:rsidRDefault="0049367C" w:rsidP="00A75383">
      <w:pPr>
        <w:snapToGrid w:val="0"/>
        <w:spacing w:after="0" w:line="360" w:lineRule="auto"/>
        <w:jc w:val="both"/>
      </w:pPr>
    </w:p>
    <w:p w14:paraId="4260786E" w14:textId="77777777" w:rsidR="009007AF" w:rsidRPr="00986F85" w:rsidRDefault="009007AF" w:rsidP="00A75383">
      <w:pPr>
        <w:snapToGrid w:val="0"/>
        <w:spacing w:after="0" w:line="360" w:lineRule="auto"/>
        <w:jc w:val="both"/>
        <w:rPr>
          <w:rFonts w:cs="Times New Roman"/>
          <w:szCs w:val="24"/>
        </w:rPr>
      </w:pPr>
      <w:r w:rsidRPr="00986F85">
        <w:t>Shadish, W.R. Cook, T.D. and Campbell, D.T., 2002. Experimental and Quasi Experimental Designs for Generalized Causal Inference. Boston: Houghton-Mifflin.</w:t>
      </w:r>
    </w:p>
    <w:p w14:paraId="09F8F8AB" w14:textId="77777777" w:rsidR="00A75383" w:rsidRPr="00986F85" w:rsidRDefault="00A75383" w:rsidP="009E2CB5">
      <w:pPr>
        <w:pStyle w:val="Cmsor1"/>
        <w:sectPr w:rsidR="00A75383" w:rsidRPr="00986F85">
          <w:pgSz w:w="11906" w:h="16838"/>
          <w:pgMar w:top="1417" w:right="1417" w:bottom="1417" w:left="1417" w:header="720" w:footer="720" w:gutter="0"/>
          <w:cols w:space="720"/>
          <w:docGrid w:linePitch="360"/>
        </w:sectPr>
      </w:pPr>
    </w:p>
    <w:p w14:paraId="2F687065" w14:textId="77777777" w:rsidR="0049367C" w:rsidRPr="00986F85" w:rsidRDefault="0049367C" w:rsidP="009E2CB5">
      <w:pPr>
        <w:pStyle w:val="Cmsor1"/>
      </w:pPr>
    </w:p>
    <w:p w14:paraId="54AC95FA" w14:textId="77777777" w:rsidR="006E285B" w:rsidRPr="00986F85" w:rsidRDefault="006E285B" w:rsidP="009E2CB5">
      <w:pPr>
        <w:pStyle w:val="Cmsor1"/>
      </w:pPr>
      <w:bookmarkStart w:id="63" w:name="_Toc230854329"/>
      <w:r w:rsidRPr="00986F85">
        <w:t>MELLÉKLETEK</w:t>
      </w:r>
      <w:bookmarkEnd w:id="63"/>
    </w:p>
    <w:p w14:paraId="7C027600" w14:textId="77777777" w:rsidR="0049367C" w:rsidRPr="00986F85" w:rsidRDefault="0049367C" w:rsidP="00C93ED3">
      <w:pPr>
        <w:pStyle w:val="Cmsor2"/>
        <w:spacing w:before="0" w:after="0" w:line="360" w:lineRule="auto"/>
        <w:jc w:val="both"/>
        <w:rPr>
          <w:rFonts w:ascii="Myriad Pro" w:hAnsi="Myriad Pro"/>
          <w:szCs w:val="24"/>
        </w:rPr>
      </w:pPr>
    </w:p>
    <w:p w14:paraId="0575EA92" w14:textId="77777777" w:rsidR="00C93ED3" w:rsidRPr="00986F85" w:rsidRDefault="001671C7" w:rsidP="00C93ED3">
      <w:pPr>
        <w:pStyle w:val="Cmsor2"/>
        <w:spacing w:before="0" w:after="0" w:line="360" w:lineRule="auto"/>
        <w:jc w:val="both"/>
        <w:rPr>
          <w:rFonts w:ascii="Myriad Pro" w:hAnsi="Myriad Pro"/>
          <w:szCs w:val="24"/>
        </w:rPr>
      </w:pPr>
      <w:bookmarkStart w:id="64" w:name="_Toc230854330"/>
      <w:r w:rsidRPr="00986F85">
        <w:rPr>
          <w:rFonts w:ascii="Myriad Pro" w:hAnsi="Myriad Pro"/>
          <w:szCs w:val="24"/>
        </w:rPr>
        <w:t xml:space="preserve">I. </w:t>
      </w:r>
      <w:r w:rsidR="00C93ED3" w:rsidRPr="00986F85">
        <w:rPr>
          <w:rFonts w:ascii="Myriad Pro" w:hAnsi="Myriad Pro"/>
          <w:szCs w:val="24"/>
        </w:rPr>
        <w:t>MÓDSZERTANI MELLÉKLET</w:t>
      </w:r>
      <w:bookmarkEnd w:id="64"/>
    </w:p>
    <w:p w14:paraId="17B48D3A" w14:textId="77777777" w:rsidR="00EC3504" w:rsidRPr="00986F85" w:rsidRDefault="009D6B9A" w:rsidP="00EC3504">
      <w:pPr>
        <w:rPr>
          <w:b/>
        </w:rPr>
      </w:pPr>
      <w:r w:rsidRPr="00986F85">
        <w:rPr>
          <w:rFonts w:cs="Times New Roman"/>
          <w:b/>
        </w:rPr>
        <w:t xml:space="preserve">I.1. </w:t>
      </w:r>
      <w:r w:rsidR="00F8280A" w:rsidRPr="00986F85">
        <w:rPr>
          <w:rFonts w:cs="Times New Roman"/>
          <w:b/>
        </w:rPr>
        <w:t xml:space="preserve">NAV vállalati mérlegadatbázis </w:t>
      </w:r>
      <w:r w:rsidRPr="00986F85">
        <w:rPr>
          <w:rFonts w:cs="Times New Roman"/>
          <w:b/>
        </w:rPr>
        <w:t>tisztítása</w:t>
      </w:r>
    </w:p>
    <w:p w14:paraId="049AA7AA" w14:textId="77777777" w:rsidR="002078CD" w:rsidRPr="00986F85" w:rsidRDefault="00F8280A" w:rsidP="00EC3504">
      <w:pPr>
        <w:jc w:val="both"/>
        <w:rPr>
          <w:rFonts w:cs="Times New Roman"/>
        </w:rPr>
      </w:pPr>
      <w:r w:rsidRPr="00986F85">
        <w:rPr>
          <w:rFonts w:cs="Times New Roman"/>
        </w:rPr>
        <w:t xml:space="preserve">A vállalati mérlegadatok elemzését megelezően a következő adattisztítási lépéseket tettük meg: </w:t>
      </w:r>
    </w:p>
    <w:p w14:paraId="3C1EE413" w14:textId="77777777" w:rsidR="002078CD" w:rsidRPr="00986F85" w:rsidRDefault="00EC3504" w:rsidP="00BF0E18">
      <w:pPr>
        <w:pStyle w:val="Listaszerbekezds"/>
        <w:numPr>
          <w:ilvl w:val="0"/>
          <w:numId w:val="45"/>
        </w:numPr>
        <w:jc w:val="both"/>
        <w:rPr>
          <w:rFonts w:cs="Times New Roman"/>
        </w:rPr>
      </w:pPr>
      <w:r w:rsidRPr="00986F85">
        <w:t>Kidob</w:t>
      </w:r>
      <w:r w:rsidR="00F8280A" w:rsidRPr="00986F85">
        <w:t>tu</w:t>
      </w:r>
      <w:r w:rsidRPr="00986F85">
        <w:t>k azokat, akiknek</w:t>
      </w:r>
      <w:r w:rsidR="00F8280A" w:rsidRPr="00986F85">
        <w:t>:</w:t>
      </w:r>
      <w:r w:rsidRPr="00986F85">
        <w:t xml:space="preserve"> nincs TEÁOR-ja (vagy 0), nincs alapítási éve (vagy 0),  illetve kistérségkódja</w:t>
      </w:r>
      <w:r w:rsidR="00F8280A" w:rsidRPr="00986F85">
        <w:t>, illetve akiknek,</w:t>
      </w:r>
      <w:r w:rsidRPr="00986F85">
        <w:t>legalább egy évben jelentősen kiugró érték az értékesítése és/vagy az eredménye.</w:t>
      </w:r>
      <w:r w:rsidR="002078CD" w:rsidRPr="00986F85">
        <w:t xml:space="preserve"> </w:t>
      </w:r>
    </w:p>
    <w:p w14:paraId="0820730A" w14:textId="77777777" w:rsidR="002078CD" w:rsidRPr="00986F85" w:rsidRDefault="00EC3504" w:rsidP="00BF0E18">
      <w:pPr>
        <w:pStyle w:val="Listaszerbekezds"/>
        <w:numPr>
          <w:ilvl w:val="0"/>
          <w:numId w:val="45"/>
        </w:numPr>
        <w:jc w:val="both"/>
        <w:rPr>
          <w:rFonts w:cs="Times New Roman"/>
        </w:rPr>
      </w:pPr>
      <w:r w:rsidRPr="00986F85">
        <w:rPr>
          <w:rFonts w:cs="Times New Roman"/>
        </w:rPr>
        <w:t>A hiányzó adatokat átkódol</w:t>
      </w:r>
      <w:r w:rsidR="00F8280A" w:rsidRPr="00986F85">
        <w:rPr>
          <w:rFonts w:cs="Times New Roman"/>
        </w:rPr>
        <w:t>t</w:t>
      </w:r>
      <w:r w:rsidRPr="00986F85">
        <w:rPr>
          <w:rFonts w:cs="Times New Roman"/>
        </w:rPr>
        <w:t xml:space="preserve">uk 0-vá a következő mérleg-és eredménykimutatás tételeknél: ebita, foglalkoztatottak száma, nettó árevétel, export árbevétel, hosszú lejáratú kötelezettségek, rövid lejáratú kötelezettségek, immateriális javak, tárgyi eszközök, készlet, követeés, értékpapír, pénzügyi eszközök, eszközök összesen, jegyzett tőke, jegyzett tőke állami része, jegyzett tőke magán része, anyag költség, anyag jellegű rádordítások összesen, személyi jellegű ráfordítások összesen, eremény, fizetett kamat vállalatoknak, fizetett kamat </w:t>
      </w:r>
    </w:p>
    <w:p w14:paraId="5FE9FAB5" w14:textId="77777777" w:rsidR="00EC3504" w:rsidRPr="00986F85" w:rsidRDefault="00F8280A" w:rsidP="00BF0E18">
      <w:pPr>
        <w:pStyle w:val="Listaszerbekezds"/>
        <w:numPr>
          <w:ilvl w:val="0"/>
          <w:numId w:val="45"/>
        </w:numPr>
        <w:jc w:val="both"/>
        <w:rPr>
          <w:rFonts w:cs="Times New Roman"/>
        </w:rPr>
      </w:pPr>
      <w:r w:rsidRPr="00986F85">
        <w:rPr>
          <w:rFonts w:cs="Times New Roman"/>
        </w:rPr>
        <w:t>Tovább</w:t>
      </w:r>
      <w:r w:rsidR="002078CD" w:rsidRPr="00986F85">
        <w:rPr>
          <w:rFonts w:cs="Times New Roman"/>
        </w:rPr>
        <w:t>á</w:t>
      </w:r>
      <w:r w:rsidRPr="00986F85">
        <w:rPr>
          <w:rFonts w:cs="Times New Roman"/>
        </w:rPr>
        <w:t>, k</w:t>
      </w:r>
      <w:r w:rsidR="00EC3504" w:rsidRPr="00986F85">
        <w:t>idob</w:t>
      </w:r>
      <w:r w:rsidRPr="00986F85">
        <w:rPr>
          <w:rFonts w:cs="Times New Roman"/>
        </w:rPr>
        <w:t>t</w:t>
      </w:r>
      <w:r w:rsidR="00EC3504" w:rsidRPr="00986F85">
        <w:t>uk azokat, akiknek a következő 13 változójuk akármelyik évben kivétel nélkül mind hiányzik: Immateriális javak, tárgyi eszkö</w:t>
      </w:r>
      <w:r w:rsidR="00EC3504" w:rsidRPr="00986F85">
        <w:rPr>
          <w:rStyle w:val="il"/>
        </w:rPr>
        <w:t>z</w:t>
      </w:r>
      <w:r w:rsidR="00EC3504" w:rsidRPr="00986F85">
        <w:t>ök, készletek, értékpapír, jegyzett tőke állami része, jegyzett tőke magán része, hosszú lejáratú kötelezettségek, export árbevétel, anyag költség személyi jellegű ráfordítások összesen, fizetendő kamat vállalatoknak, fizetendő kamat magámszemélyeknek, aktivált saját teljesítmények</w:t>
      </w:r>
      <w:r w:rsidRPr="00986F85">
        <w:rPr>
          <w:rFonts w:cs="Times New Roman"/>
        </w:rPr>
        <w:t>.</w:t>
      </w:r>
    </w:p>
    <w:p w14:paraId="2E43D4CF" w14:textId="77777777" w:rsidR="00E0148D" w:rsidRPr="00986F85" w:rsidRDefault="00DC15A8" w:rsidP="00B04415">
      <w:pPr>
        <w:spacing w:after="0" w:line="360" w:lineRule="auto"/>
        <w:jc w:val="both"/>
        <w:outlineLvl w:val="0"/>
        <w:rPr>
          <w:rFonts w:eastAsia="Times New Roman" w:cs="Times New Roman"/>
          <w:bCs/>
          <w:szCs w:val="24"/>
        </w:rPr>
      </w:pPr>
      <w:r w:rsidRPr="00986F85">
        <w:rPr>
          <w:rFonts w:eastAsia="Times New Roman" w:cs="Times New Roman"/>
          <w:bCs/>
          <w:szCs w:val="24"/>
        </w:rPr>
        <w:t>A végül rendelkezésünkre álló adatokat</w:t>
      </w:r>
      <w:r w:rsidR="00032697" w:rsidRPr="00986F85">
        <w:rPr>
          <w:rFonts w:eastAsia="Times New Roman" w:cs="Times New Roman"/>
          <w:bCs/>
          <w:szCs w:val="24"/>
        </w:rPr>
        <w:t xml:space="preserve"> listázza az alábbi táblázat.</w:t>
      </w:r>
    </w:p>
    <w:p w14:paraId="7B47E7FB" w14:textId="77777777" w:rsidR="006972C5" w:rsidRPr="00986F85" w:rsidRDefault="00EF048B" w:rsidP="00B04415">
      <w:pPr>
        <w:spacing w:after="0" w:line="360" w:lineRule="auto"/>
        <w:jc w:val="both"/>
        <w:outlineLvl w:val="0"/>
        <w:rPr>
          <w:rFonts w:eastAsia="Times New Roman" w:cs="Times New Roman"/>
          <w:b/>
          <w:bCs/>
          <w:szCs w:val="24"/>
        </w:rPr>
      </w:pPr>
      <w:r w:rsidRPr="00986F85">
        <w:rPr>
          <w:rFonts w:eastAsia="Times New Roman" w:cs="Times New Roman"/>
          <w:b/>
          <w:bCs/>
          <w:szCs w:val="24"/>
        </w:rPr>
        <w:t>1</w:t>
      </w:r>
      <w:r w:rsidR="00F51B30" w:rsidRPr="00986F85">
        <w:rPr>
          <w:rFonts w:eastAsia="Times New Roman" w:cs="Times New Roman"/>
          <w:b/>
          <w:bCs/>
          <w:szCs w:val="24"/>
        </w:rPr>
        <w:t xml:space="preserve">. táblázat - </w:t>
      </w:r>
      <w:r w:rsidR="006972C5" w:rsidRPr="00986F85">
        <w:rPr>
          <w:rFonts w:eastAsia="Times New Roman" w:cs="Times New Roman"/>
          <w:b/>
          <w:bCs/>
          <w:szCs w:val="24"/>
        </w:rPr>
        <w:t xml:space="preserve">Vállalati mérlegadatok elérhetősége </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7"/>
        <w:gridCol w:w="1417"/>
        <w:gridCol w:w="1276"/>
        <w:gridCol w:w="1276"/>
      </w:tblGrid>
      <w:tr w:rsidR="00D752AA" w:rsidRPr="00986F85" w14:paraId="3E153637" w14:textId="77777777" w:rsidTr="00112C69">
        <w:trPr>
          <w:trHeight w:hRule="exact" w:val="468"/>
          <w:tblHeader/>
        </w:trPr>
        <w:tc>
          <w:tcPr>
            <w:tcW w:w="4977" w:type="dxa"/>
            <w:shd w:val="clear" w:color="auto" w:fill="B10000"/>
            <w:noWrap/>
            <w:vAlign w:val="center"/>
          </w:tcPr>
          <w:p w14:paraId="109B7FC6" w14:textId="77777777" w:rsidR="00D752AA" w:rsidRPr="00986F85" w:rsidRDefault="00D752AA" w:rsidP="00112C69">
            <w:pPr>
              <w:spacing w:after="0" w:line="360" w:lineRule="auto"/>
              <w:jc w:val="center"/>
              <w:rPr>
                <w:rFonts w:cs="Times New Roman"/>
                <w:bCs/>
                <w:sz w:val="20"/>
                <w:szCs w:val="20"/>
              </w:rPr>
            </w:pPr>
            <w:r w:rsidRPr="00986F85">
              <w:rPr>
                <w:rFonts w:cs="Times New Roman"/>
                <w:bCs/>
                <w:sz w:val="20"/>
                <w:szCs w:val="20"/>
              </w:rPr>
              <w:t>Kért adatbázis</w:t>
            </w:r>
          </w:p>
        </w:tc>
        <w:tc>
          <w:tcPr>
            <w:tcW w:w="1417" w:type="dxa"/>
            <w:shd w:val="clear" w:color="auto" w:fill="B10000"/>
            <w:vAlign w:val="center"/>
          </w:tcPr>
          <w:p w14:paraId="38817E83" w14:textId="77777777" w:rsidR="00D752AA" w:rsidRPr="00986F85" w:rsidRDefault="00D752AA" w:rsidP="00112C69">
            <w:pPr>
              <w:spacing w:after="0" w:line="360" w:lineRule="auto"/>
              <w:jc w:val="center"/>
              <w:rPr>
                <w:rFonts w:cs="Times New Roman"/>
                <w:bCs/>
                <w:sz w:val="20"/>
                <w:szCs w:val="20"/>
              </w:rPr>
            </w:pPr>
            <w:r w:rsidRPr="00986F85">
              <w:rPr>
                <w:rFonts w:cs="Times New Roman"/>
                <w:bCs/>
                <w:sz w:val="20"/>
                <w:szCs w:val="20"/>
              </w:rPr>
              <w:t>Kód</w:t>
            </w:r>
          </w:p>
        </w:tc>
        <w:tc>
          <w:tcPr>
            <w:tcW w:w="2552" w:type="dxa"/>
            <w:gridSpan w:val="2"/>
            <w:shd w:val="clear" w:color="auto" w:fill="B10000"/>
            <w:vAlign w:val="center"/>
          </w:tcPr>
          <w:p w14:paraId="5ADF282D" w14:textId="77777777" w:rsidR="00D752AA" w:rsidRPr="00986F85" w:rsidRDefault="00D752AA" w:rsidP="00112C69">
            <w:pPr>
              <w:spacing w:after="0" w:line="360" w:lineRule="auto"/>
              <w:jc w:val="center"/>
              <w:rPr>
                <w:bCs/>
                <w:i/>
                <w:sz w:val="20"/>
                <w:szCs w:val="20"/>
              </w:rPr>
            </w:pPr>
            <w:r w:rsidRPr="00986F85">
              <w:rPr>
                <w:rFonts w:cs="Times New Roman"/>
                <w:bCs/>
                <w:i/>
                <w:sz w:val="20"/>
                <w:szCs w:val="20"/>
              </w:rPr>
              <w:t>Tényleges adatbázis</w:t>
            </w:r>
          </w:p>
        </w:tc>
      </w:tr>
      <w:tr w:rsidR="006972C5" w:rsidRPr="00986F85" w14:paraId="109ED7F0" w14:textId="77777777" w:rsidTr="00112C69">
        <w:trPr>
          <w:trHeight w:hRule="exact" w:val="574"/>
          <w:tblHeader/>
        </w:trPr>
        <w:tc>
          <w:tcPr>
            <w:tcW w:w="4977" w:type="dxa"/>
            <w:shd w:val="clear" w:color="auto" w:fill="auto"/>
            <w:noWrap/>
            <w:vAlign w:val="center"/>
          </w:tcPr>
          <w:p w14:paraId="4ECDBD16" w14:textId="77777777" w:rsidR="006972C5" w:rsidRPr="00986F85" w:rsidRDefault="006972C5" w:rsidP="00112C69">
            <w:pPr>
              <w:spacing w:after="0" w:line="360" w:lineRule="auto"/>
              <w:rPr>
                <w:bCs/>
                <w:sz w:val="20"/>
                <w:szCs w:val="20"/>
              </w:rPr>
            </w:pPr>
          </w:p>
        </w:tc>
        <w:tc>
          <w:tcPr>
            <w:tcW w:w="1417" w:type="dxa"/>
            <w:vAlign w:val="center"/>
          </w:tcPr>
          <w:p w14:paraId="45DBDE6B" w14:textId="77777777" w:rsidR="006972C5" w:rsidRPr="00986F85" w:rsidRDefault="006972C5" w:rsidP="00112C69">
            <w:pPr>
              <w:spacing w:after="0" w:line="360" w:lineRule="auto"/>
              <w:jc w:val="center"/>
              <w:rPr>
                <w:bCs/>
                <w:sz w:val="20"/>
                <w:szCs w:val="20"/>
              </w:rPr>
            </w:pPr>
          </w:p>
        </w:tc>
        <w:tc>
          <w:tcPr>
            <w:tcW w:w="1276" w:type="dxa"/>
            <w:shd w:val="clear" w:color="auto" w:fill="D9D9D9"/>
            <w:vAlign w:val="center"/>
          </w:tcPr>
          <w:p w14:paraId="1EF07827" w14:textId="77777777" w:rsidR="006972C5" w:rsidRPr="00986F85" w:rsidRDefault="006972C5" w:rsidP="00112C69">
            <w:pPr>
              <w:spacing w:after="0" w:line="360" w:lineRule="auto"/>
              <w:jc w:val="center"/>
              <w:rPr>
                <w:bCs/>
                <w:i/>
                <w:sz w:val="20"/>
                <w:szCs w:val="20"/>
              </w:rPr>
            </w:pPr>
            <w:r w:rsidRPr="00986F85">
              <w:rPr>
                <w:bCs/>
                <w:i/>
                <w:sz w:val="20"/>
                <w:szCs w:val="20"/>
              </w:rPr>
              <w:t>Igen/nem</w:t>
            </w:r>
          </w:p>
        </w:tc>
        <w:tc>
          <w:tcPr>
            <w:tcW w:w="1276" w:type="dxa"/>
            <w:shd w:val="clear" w:color="auto" w:fill="D9D9D9"/>
            <w:vAlign w:val="center"/>
          </w:tcPr>
          <w:p w14:paraId="0A3E3C60" w14:textId="77777777" w:rsidR="006972C5" w:rsidRPr="00986F85" w:rsidRDefault="006972C5" w:rsidP="00112C69">
            <w:pPr>
              <w:spacing w:after="0" w:line="360" w:lineRule="auto"/>
              <w:jc w:val="center"/>
              <w:rPr>
                <w:bCs/>
                <w:i/>
                <w:sz w:val="20"/>
                <w:szCs w:val="20"/>
              </w:rPr>
            </w:pPr>
            <w:r w:rsidRPr="00986F85">
              <w:rPr>
                <w:bCs/>
                <w:i/>
                <w:sz w:val="20"/>
                <w:szCs w:val="20"/>
              </w:rPr>
              <w:t>Kritikus hiány</w:t>
            </w:r>
          </w:p>
        </w:tc>
      </w:tr>
      <w:tr w:rsidR="006972C5" w:rsidRPr="00986F85" w14:paraId="52562633" w14:textId="77777777" w:rsidTr="00112C69">
        <w:trPr>
          <w:trHeight w:hRule="exact" w:val="227"/>
          <w:tblHeader/>
        </w:trPr>
        <w:tc>
          <w:tcPr>
            <w:tcW w:w="4977" w:type="dxa"/>
            <w:shd w:val="clear" w:color="auto" w:fill="auto"/>
            <w:noWrap/>
            <w:vAlign w:val="center"/>
          </w:tcPr>
          <w:p w14:paraId="38CEDA58" w14:textId="77777777" w:rsidR="006972C5" w:rsidRPr="00986F85" w:rsidRDefault="006972C5" w:rsidP="00112C69">
            <w:pPr>
              <w:spacing w:after="0" w:line="360" w:lineRule="auto"/>
              <w:rPr>
                <w:bCs/>
                <w:sz w:val="20"/>
                <w:szCs w:val="20"/>
              </w:rPr>
            </w:pPr>
            <w:r w:rsidRPr="00986F85">
              <w:rPr>
                <w:bCs/>
                <w:sz w:val="20"/>
                <w:szCs w:val="20"/>
              </w:rPr>
              <w:t>Vállalati azonosító (mesterséges sorszám a vállalatok évek közötti kötéséhez)</w:t>
            </w:r>
          </w:p>
        </w:tc>
        <w:tc>
          <w:tcPr>
            <w:tcW w:w="1417" w:type="dxa"/>
            <w:vAlign w:val="center"/>
          </w:tcPr>
          <w:p w14:paraId="729B38BC" w14:textId="77777777" w:rsidR="006972C5" w:rsidRPr="00986F85" w:rsidRDefault="006972C5" w:rsidP="00112C69">
            <w:pPr>
              <w:spacing w:after="0" w:line="360" w:lineRule="auto"/>
              <w:jc w:val="center"/>
              <w:rPr>
                <w:bCs/>
                <w:sz w:val="20"/>
                <w:szCs w:val="20"/>
              </w:rPr>
            </w:pPr>
          </w:p>
        </w:tc>
        <w:tc>
          <w:tcPr>
            <w:tcW w:w="1276" w:type="dxa"/>
            <w:shd w:val="clear" w:color="auto" w:fill="D9D9D9"/>
            <w:vAlign w:val="center"/>
          </w:tcPr>
          <w:p w14:paraId="47DC6B2C" w14:textId="77777777" w:rsidR="006972C5" w:rsidRPr="00986F85" w:rsidRDefault="006972C5" w:rsidP="00112C69">
            <w:pPr>
              <w:spacing w:after="0" w:line="360" w:lineRule="auto"/>
              <w:jc w:val="center"/>
              <w:rPr>
                <w:bCs/>
                <w:sz w:val="20"/>
                <w:szCs w:val="20"/>
              </w:rPr>
            </w:pPr>
            <w:r w:rsidRPr="00986F85">
              <w:rPr>
                <w:bCs/>
                <w:sz w:val="20"/>
                <w:szCs w:val="20"/>
              </w:rPr>
              <w:t>igen</w:t>
            </w:r>
          </w:p>
        </w:tc>
        <w:tc>
          <w:tcPr>
            <w:tcW w:w="1276" w:type="dxa"/>
            <w:shd w:val="clear" w:color="auto" w:fill="D9D9D9"/>
            <w:vAlign w:val="center"/>
          </w:tcPr>
          <w:p w14:paraId="6E085FF5" w14:textId="77777777" w:rsidR="006972C5" w:rsidRPr="00986F85" w:rsidRDefault="006972C5" w:rsidP="00112C69">
            <w:pPr>
              <w:spacing w:after="0" w:line="360" w:lineRule="auto"/>
              <w:jc w:val="center"/>
              <w:rPr>
                <w:bCs/>
                <w:sz w:val="20"/>
                <w:szCs w:val="20"/>
              </w:rPr>
            </w:pPr>
            <w:r w:rsidRPr="00986F85">
              <w:rPr>
                <w:bCs/>
                <w:sz w:val="20"/>
                <w:szCs w:val="20"/>
              </w:rPr>
              <w:t>nincs</w:t>
            </w:r>
          </w:p>
        </w:tc>
      </w:tr>
      <w:tr w:rsidR="006972C5" w:rsidRPr="00986F85" w14:paraId="6C4CFC0D" w14:textId="77777777" w:rsidTr="00112C69">
        <w:trPr>
          <w:trHeight w:hRule="exact" w:val="227"/>
          <w:tblHeader/>
        </w:trPr>
        <w:tc>
          <w:tcPr>
            <w:tcW w:w="4977" w:type="dxa"/>
            <w:shd w:val="clear" w:color="auto" w:fill="auto"/>
            <w:noWrap/>
            <w:vAlign w:val="center"/>
          </w:tcPr>
          <w:p w14:paraId="4E045775" w14:textId="77777777" w:rsidR="006972C5" w:rsidRPr="00986F85" w:rsidRDefault="006972C5" w:rsidP="00112C69">
            <w:pPr>
              <w:spacing w:after="0" w:line="360" w:lineRule="auto"/>
              <w:rPr>
                <w:bCs/>
                <w:sz w:val="20"/>
                <w:szCs w:val="20"/>
              </w:rPr>
            </w:pPr>
            <w:r w:rsidRPr="00986F85">
              <w:rPr>
                <w:bCs/>
                <w:sz w:val="20"/>
                <w:szCs w:val="20"/>
              </w:rPr>
              <w:t>A társasági adóbevallás éve</w:t>
            </w:r>
          </w:p>
        </w:tc>
        <w:tc>
          <w:tcPr>
            <w:tcW w:w="1417" w:type="dxa"/>
            <w:vAlign w:val="center"/>
          </w:tcPr>
          <w:p w14:paraId="179BF0AF" w14:textId="77777777" w:rsidR="006972C5" w:rsidRPr="00986F85" w:rsidRDefault="006972C5" w:rsidP="00112C69">
            <w:pPr>
              <w:spacing w:after="0" w:line="360" w:lineRule="auto"/>
              <w:jc w:val="center"/>
              <w:rPr>
                <w:bCs/>
                <w:sz w:val="20"/>
                <w:szCs w:val="20"/>
              </w:rPr>
            </w:pPr>
          </w:p>
        </w:tc>
        <w:tc>
          <w:tcPr>
            <w:tcW w:w="1276" w:type="dxa"/>
            <w:shd w:val="clear" w:color="auto" w:fill="D9D9D9"/>
            <w:vAlign w:val="center"/>
          </w:tcPr>
          <w:p w14:paraId="546D207F" w14:textId="77777777" w:rsidR="006972C5" w:rsidRPr="00986F85" w:rsidRDefault="006972C5" w:rsidP="00112C69">
            <w:pPr>
              <w:spacing w:after="0" w:line="360" w:lineRule="auto"/>
              <w:jc w:val="center"/>
              <w:rPr>
                <w:bCs/>
                <w:sz w:val="20"/>
                <w:szCs w:val="20"/>
              </w:rPr>
            </w:pPr>
            <w:r w:rsidRPr="00986F85">
              <w:rPr>
                <w:bCs/>
                <w:sz w:val="20"/>
                <w:szCs w:val="20"/>
              </w:rPr>
              <w:t>igen</w:t>
            </w:r>
          </w:p>
        </w:tc>
        <w:tc>
          <w:tcPr>
            <w:tcW w:w="1276" w:type="dxa"/>
            <w:shd w:val="clear" w:color="auto" w:fill="D9D9D9"/>
            <w:vAlign w:val="center"/>
          </w:tcPr>
          <w:p w14:paraId="79848771" w14:textId="77777777" w:rsidR="006972C5" w:rsidRPr="00986F85" w:rsidRDefault="006972C5" w:rsidP="00112C69">
            <w:pPr>
              <w:spacing w:after="0" w:line="360" w:lineRule="auto"/>
              <w:jc w:val="center"/>
              <w:rPr>
                <w:bCs/>
                <w:sz w:val="20"/>
                <w:szCs w:val="20"/>
              </w:rPr>
            </w:pPr>
            <w:r w:rsidRPr="00986F85">
              <w:rPr>
                <w:bCs/>
                <w:sz w:val="20"/>
                <w:szCs w:val="20"/>
              </w:rPr>
              <w:t>nincs</w:t>
            </w:r>
          </w:p>
        </w:tc>
      </w:tr>
      <w:tr w:rsidR="006972C5" w:rsidRPr="00986F85" w14:paraId="1518CC82" w14:textId="77777777" w:rsidTr="00112C69">
        <w:trPr>
          <w:trHeight w:hRule="exact" w:val="227"/>
          <w:tblHeader/>
        </w:trPr>
        <w:tc>
          <w:tcPr>
            <w:tcW w:w="4977" w:type="dxa"/>
            <w:shd w:val="clear" w:color="auto" w:fill="auto"/>
            <w:noWrap/>
            <w:vAlign w:val="center"/>
          </w:tcPr>
          <w:p w14:paraId="606E5E41" w14:textId="77777777" w:rsidR="006972C5" w:rsidRPr="00986F85" w:rsidRDefault="006972C5" w:rsidP="00112C69">
            <w:pPr>
              <w:spacing w:after="0" w:line="360" w:lineRule="auto"/>
              <w:rPr>
                <w:sz w:val="20"/>
                <w:szCs w:val="20"/>
              </w:rPr>
            </w:pPr>
            <w:r w:rsidRPr="00986F85">
              <w:rPr>
                <w:sz w:val="20"/>
                <w:szCs w:val="20"/>
              </w:rPr>
              <w:t>TEÁOR kód (2 számjegyű)</w:t>
            </w:r>
          </w:p>
        </w:tc>
        <w:tc>
          <w:tcPr>
            <w:tcW w:w="1417" w:type="dxa"/>
            <w:vAlign w:val="center"/>
          </w:tcPr>
          <w:p w14:paraId="0522D43C" w14:textId="77777777" w:rsidR="006972C5" w:rsidRPr="00986F85" w:rsidRDefault="006972C5" w:rsidP="00112C69">
            <w:pPr>
              <w:spacing w:after="0" w:line="360" w:lineRule="auto"/>
              <w:jc w:val="center"/>
              <w:rPr>
                <w:sz w:val="20"/>
                <w:szCs w:val="20"/>
              </w:rPr>
            </w:pPr>
          </w:p>
        </w:tc>
        <w:tc>
          <w:tcPr>
            <w:tcW w:w="1276" w:type="dxa"/>
            <w:shd w:val="clear" w:color="auto" w:fill="D9D9D9"/>
            <w:vAlign w:val="center"/>
          </w:tcPr>
          <w:p w14:paraId="2434B580" w14:textId="77777777" w:rsidR="006972C5" w:rsidRPr="00986F85" w:rsidRDefault="006972C5" w:rsidP="00112C69">
            <w:pPr>
              <w:spacing w:after="0" w:line="360" w:lineRule="auto"/>
              <w:jc w:val="center"/>
              <w:rPr>
                <w:sz w:val="20"/>
                <w:szCs w:val="20"/>
              </w:rPr>
            </w:pPr>
            <w:r w:rsidRPr="00986F85">
              <w:rPr>
                <w:sz w:val="20"/>
                <w:szCs w:val="20"/>
              </w:rPr>
              <w:t>igen</w:t>
            </w:r>
          </w:p>
        </w:tc>
        <w:tc>
          <w:tcPr>
            <w:tcW w:w="1276" w:type="dxa"/>
            <w:shd w:val="clear" w:color="auto" w:fill="D9D9D9"/>
            <w:vAlign w:val="center"/>
          </w:tcPr>
          <w:p w14:paraId="1523AFB7" w14:textId="77777777" w:rsidR="006972C5" w:rsidRPr="00986F85" w:rsidRDefault="006972C5" w:rsidP="00112C69">
            <w:pPr>
              <w:spacing w:after="0" w:line="360" w:lineRule="auto"/>
              <w:jc w:val="center"/>
              <w:rPr>
                <w:sz w:val="20"/>
                <w:szCs w:val="20"/>
              </w:rPr>
            </w:pPr>
            <w:r w:rsidRPr="00986F85">
              <w:rPr>
                <w:sz w:val="20"/>
                <w:szCs w:val="20"/>
              </w:rPr>
              <w:t>nincs</w:t>
            </w:r>
          </w:p>
        </w:tc>
      </w:tr>
      <w:tr w:rsidR="006972C5" w:rsidRPr="00986F85" w14:paraId="2CEF80DA" w14:textId="77777777" w:rsidTr="00112C69">
        <w:trPr>
          <w:trHeight w:hRule="exact" w:val="227"/>
          <w:tblHeader/>
        </w:trPr>
        <w:tc>
          <w:tcPr>
            <w:tcW w:w="4977" w:type="dxa"/>
            <w:shd w:val="clear" w:color="auto" w:fill="auto"/>
            <w:noWrap/>
            <w:vAlign w:val="center"/>
          </w:tcPr>
          <w:p w14:paraId="736A6693" w14:textId="77777777" w:rsidR="006972C5" w:rsidRPr="00986F85" w:rsidRDefault="006972C5" w:rsidP="00112C69">
            <w:pPr>
              <w:spacing w:after="0" w:line="360" w:lineRule="auto"/>
              <w:rPr>
                <w:sz w:val="20"/>
                <w:szCs w:val="20"/>
              </w:rPr>
            </w:pPr>
            <w:r w:rsidRPr="00986F85">
              <w:rPr>
                <w:sz w:val="20"/>
                <w:szCs w:val="20"/>
              </w:rPr>
              <w:t>Gazdálkodási forma</w:t>
            </w:r>
          </w:p>
        </w:tc>
        <w:tc>
          <w:tcPr>
            <w:tcW w:w="1417" w:type="dxa"/>
            <w:vAlign w:val="center"/>
          </w:tcPr>
          <w:p w14:paraId="53EDFCF4" w14:textId="77777777" w:rsidR="006972C5" w:rsidRPr="00986F85" w:rsidRDefault="006972C5" w:rsidP="00112C69">
            <w:pPr>
              <w:spacing w:after="0" w:line="360" w:lineRule="auto"/>
              <w:jc w:val="center"/>
              <w:rPr>
                <w:sz w:val="20"/>
                <w:szCs w:val="20"/>
              </w:rPr>
            </w:pPr>
          </w:p>
        </w:tc>
        <w:tc>
          <w:tcPr>
            <w:tcW w:w="1276" w:type="dxa"/>
            <w:shd w:val="clear" w:color="auto" w:fill="D9D9D9"/>
            <w:vAlign w:val="center"/>
          </w:tcPr>
          <w:p w14:paraId="6C0DF7AD" w14:textId="77777777" w:rsidR="006972C5" w:rsidRPr="00986F85" w:rsidRDefault="006972C5" w:rsidP="00112C69">
            <w:pPr>
              <w:spacing w:after="0" w:line="360" w:lineRule="auto"/>
              <w:jc w:val="center"/>
              <w:rPr>
                <w:sz w:val="20"/>
                <w:szCs w:val="20"/>
              </w:rPr>
            </w:pPr>
            <w:r w:rsidRPr="00986F85">
              <w:rPr>
                <w:sz w:val="20"/>
                <w:szCs w:val="20"/>
              </w:rPr>
              <w:t>igen</w:t>
            </w:r>
          </w:p>
        </w:tc>
        <w:tc>
          <w:tcPr>
            <w:tcW w:w="1276" w:type="dxa"/>
            <w:shd w:val="clear" w:color="auto" w:fill="D9D9D9"/>
            <w:vAlign w:val="center"/>
          </w:tcPr>
          <w:p w14:paraId="6EE39C49" w14:textId="77777777" w:rsidR="006972C5" w:rsidRPr="00986F85" w:rsidRDefault="006972C5" w:rsidP="00112C69">
            <w:pPr>
              <w:spacing w:after="0" w:line="360" w:lineRule="auto"/>
              <w:jc w:val="center"/>
              <w:rPr>
                <w:sz w:val="20"/>
                <w:szCs w:val="20"/>
              </w:rPr>
            </w:pPr>
            <w:r w:rsidRPr="00986F85">
              <w:rPr>
                <w:sz w:val="20"/>
                <w:szCs w:val="20"/>
              </w:rPr>
              <w:t>nincs</w:t>
            </w:r>
          </w:p>
        </w:tc>
      </w:tr>
      <w:tr w:rsidR="006972C5" w:rsidRPr="00986F85" w14:paraId="1B9A5A3B" w14:textId="77777777" w:rsidTr="00112C69">
        <w:trPr>
          <w:trHeight w:hRule="exact" w:val="227"/>
          <w:tblHeader/>
        </w:trPr>
        <w:tc>
          <w:tcPr>
            <w:tcW w:w="4977" w:type="dxa"/>
            <w:shd w:val="clear" w:color="auto" w:fill="auto"/>
            <w:noWrap/>
            <w:vAlign w:val="center"/>
          </w:tcPr>
          <w:p w14:paraId="7B2EE70F" w14:textId="77777777" w:rsidR="006972C5" w:rsidRPr="00986F85" w:rsidRDefault="006972C5" w:rsidP="00112C69">
            <w:pPr>
              <w:spacing w:after="0" w:line="360" w:lineRule="auto"/>
              <w:rPr>
                <w:sz w:val="20"/>
                <w:szCs w:val="20"/>
              </w:rPr>
            </w:pPr>
            <w:r w:rsidRPr="00986F85">
              <w:rPr>
                <w:sz w:val="20"/>
                <w:szCs w:val="20"/>
              </w:rPr>
              <w:t>Alapítás éve</w:t>
            </w:r>
          </w:p>
        </w:tc>
        <w:tc>
          <w:tcPr>
            <w:tcW w:w="1417" w:type="dxa"/>
            <w:vAlign w:val="center"/>
          </w:tcPr>
          <w:p w14:paraId="51632FAC" w14:textId="77777777" w:rsidR="006972C5" w:rsidRPr="00986F85" w:rsidRDefault="006972C5" w:rsidP="00112C69">
            <w:pPr>
              <w:spacing w:after="0" w:line="360" w:lineRule="auto"/>
              <w:jc w:val="center"/>
              <w:rPr>
                <w:sz w:val="20"/>
                <w:szCs w:val="20"/>
              </w:rPr>
            </w:pPr>
          </w:p>
        </w:tc>
        <w:tc>
          <w:tcPr>
            <w:tcW w:w="1276" w:type="dxa"/>
            <w:shd w:val="clear" w:color="auto" w:fill="D9D9D9"/>
            <w:vAlign w:val="center"/>
          </w:tcPr>
          <w:p w14:paraId="6528B1D3" w14:textId="77777777" w:rsidR="006972C5" w:rsidRPr="00986F85" w:rsidRDefault="006972C5" w:rsidP="00112C69">
            <w:pPr>
              <w:spacing w:after="0" w:line="360" w:lineRule="auto"/>
              <w:jc w:val="center"/>
              <w:rPr>
                <w:sz w:val="20"/>
                <w:szCs w:val="20"/>
              </w:rPr>
            </w:pPr>
            <w:r w:rsidRPr="00986F85">
              <w:rPr>
                <w:sz w:val="20"/>
                <w:szCs w:val="20"/>
              </w:rPr>
              <w:t>igen</w:t>
            </w:r>
          </w:p>
        </w:tc>
        <w:tc>
          <w:tcPr>
            <w:tcW w:w="1276" w:type="dxa"/>
            <w:shd w:val="clear" w:color="auto" w:fill="D9D9D9"/>
            <w:vAlign w:val="center"/>
          </w:tcPr>
          <w:p w14:paraId="653ACB69" w14:textId="77777777" w:rsidR="006972C5" w:rsidRPr="00986F85" w:rsidRDefault="006972C5" w:rsidP="00112C69">
            <w:pPr>
              <w:spacing w:after="0" w:line="360" w:lineRule="auto"/>
              <w:jc w:val="center"/>
              <w:rPr>
                <w:sz w:val="20"/>
                <w:szCs w:val="20"/>
              </w:rPr>
            </w:pPr>
            <w:r w:rsidRPr="00986F85">
              <w:rPr>
                <w:sz w:val="20"/>
                <w:szCs w:val="20"/>
              </w:rPr>
              <w:t>nincs</w:t>
            </w:r>
          </w:p>
        </w:tc>
      </w:tr>
      <w:tr w:rsidR="006972C5" w:rsidRPr="00986F85" w14:paraId="4CE9BD7E" w14:textId="77777777" w:rsidTr="00112C69">
        <w:trPr>
          <w:trHeight w:hRule="exact" w:val="227"/>
          <w:tblHeader/>
        </w:trPr>
        <w:tc>
          <w:tcPr>
            <w:tcW w:w="4977" w:type="dxa"/>
            <w:shd w:val="clear" w:color="auto" w:fill="auto"/>
            <w:noWrap/>
            <w:vAlign w:val="center"/>
          </w:tcPr>
          <w:p w14:paraId="0B84502B" w14:textId="77777777" w:rsidR="006972C5" w:rsidRPr="00986F85" w:rsidRDefault="006972C5" w:rsidP="00112C69">
            <w:pPr>
              <w:spacing w:after="0" w:line="360" w:lineRule="auto"/>
              <w:rPr>
                <w:sz w:val="20"/>
                <w:szCs w:val="20"/>
              </w:rPr>
            </w:pPr>
            <w:r w:rsidRPr="00986F85">
              <w:rPr>
                <w:sz w:val="20"/>
                <w:szCs w:val="20"/>
              </w:rPr>
              <w:t>Kistérség kódja</w:t>
            </w:r>
          </w:p>
        </w:tc>
        <w:tc>
          <w:tcPr>
            <w:tcW w:w="1417" w:type="dxa"/>
            <w:vAlign w:val="center"/>
          </w:tcPr>
          <w:p w14:paraId="6E044714" w14:textId="77777777" w:rsidR="006972C5" w:rsidRPr="00986F85" w:rsidRDefault="006972C5" w:rsidP="00112C69">
            <w:pPr>
              <w:spacing w:after="0" w:line="360" w:lineRule="auto"/>
              <w:jc w:val="center"/>
              <w:rPr>
                <w:sz w:val="20"/>
                <w:szCs w:val="20"/>
              </w:rPr>
            </w:pPr>
          </w:p>
        </w:tc>
        <w:tc>
          <w:tcPr>
            <w:tcW w:w="1276" w:type="dxa"/>
            <w:shd w:val="clear" w:color="auto" w:fill="D9D9D9"/>
            <w:vAlign w:val="center"/>
          </w:tcPr>
          <w:p w14:paraId="3527B2B7" w14:textId="77777777" w:rsidR="006972C5" w:rsidRPr="00986F85" w:rsidRDefault="006972C5" w:rsidP="00112C69">
            <w:pPr>
              <w:spacing w:after="0" w:line="360" w:lineRule="auto"/>
              <w:jc w:val="center"/>
              <w:rPr>
                <w:sz w:val="20"/>
                <w:szCs w:val="20"/>
              </w:rPr>
            </w:pPr>
            <w:r w:rsidRPr="00986F85">
              <w:rPr>
                <w:sz w:val="20"/>
                <w:szCs w:val="20"/>
              </w:rPr>
              <w:t>igen</w:t>
            </w:r>
          </w:p>
        </w:tc>
        <w:tc>
          <w:tcPr>
            <w:tcW w:w="1276" w:type="dxa"/>
            <w:shd w:val="clear" w:color="auto" w:fill="D9D9D9"/>
            <w:vAlign w:val="center"/>
          </w:tcPr>
          <w:p w14:paraId="4EFFF869" w14:textId="77777777" w:rsidR="006972C5" w:rsidRPr="00986F85" w:rsidRDefault="006972C5" w:rsidP="00112C69">
            <w:pPr>
              <w:spacing w:after="0" w:line="360" w:lineRule="auto"/>
              <w:jc w:val="center"/>
              <w:rPr>
                <w:sz w:val="20"/>
                <w:szCs w:val="20"/>
              </w:rPr>
            </w:pPr>
            <w:r w:rsidRPr="00986F85">
              <w:rPr>
                <w:sz w:val="20"/>
                <w:szCs w:val="20"/>
              </w:rPr>
              <w:t>nincs</w:t>
            </w:r>
          </w:p>
        </w:tc>
      </w:tr>
      <w:tr w:rsidR="006972C5" w:rsidRPr="00986F85" w14:paraId="756F30EF" w14:textId="77777777" w:rsidTr="00112C69">
        <w:trPr>
          <w:trHeight w:hRule="exact" w:val="227"/>
          <w:tblHeader/>
        </w:trPr>
        <w:tc>
          <w:tcPr>
            <w:tcW w:w="4977" w:type="dxa"/>
            <w:shd w:val="clear" w:color="auto" w:fill="auto"/>
            <w:noWrap/>
            <w:vAlign w:val="center"/>
          </w:tcPr>
          <w:p w14:paraId="3E177373" w14:textId="77777777" w:rsidR="006972C5" w:rsidRPr="00986F85" w:rsidRDefault="006972C5" w:rsidP="00112C69">
            <w:pPr>
              <w:spacing w:after="0" w:line="360" w:lineRule="auto"/>
              <w:rPr>
                <w:bCs/>
                <w:sz w:val="20"/>
                <w:szCs w:val="20"/>
              </w:rPr>
            </w:pPr>
            <w:r w:rsidRPr="00986F85">
              <w:rPr>
                <w:bCs/>
                <w:sz w:val="20"/>
                <w:szCs w:val="20"/>
              </w:rPr>
              <w:t>Foglalkoztatottak száma</w:t>
            </w:r>
          </w:p>
        </w:tc>
        <w:tc>
          <w:tcPr>
            <w:tcW w:w="1417" w:type="dxa"/>
            <w:vAlign w:val="center"/>
          </w:tcPr>
          <w:p w14:paraId="24B4D31A" w14:textId="77777777" w:rsidR="006972C5" w:rsidRPr="00986F85" w:rsidRDefault="006972C5" w:rsidP="00112C69">
            <w:pPr>
              <w:spacing w:after="0" w:line="360" w:lineRule="auto"/>
              <w:jc w:val="center"/>
              <w:rPr>
                <w:bCs/>
                <w:sz w:val="20"/>
                <w:szCs w:val="20"/>
              </w:rPr>
            </w:pPr>
            <w:r w:rsidRPr="00986F85">
              <w:rPr>
                <w:bCs/>
                <w:sz w:val="20"/>
                <w:szCs w:val="20"/>
              </w:rPr>
              <w:t>1129-A-02-02/14</w:t>
            </w:r>
          </w:p>
        </w:tc>
        <w:tc>
          <w:tcPr>
            <w:tcW w:w="1276" w:type="dxa"/>
            <w:shd w:val="clear" w:color="auto" w:fill="D9D9D9"/>
            <w:vAlign w:val="center"/>
          </w:tcPr>
          <w:p w14:paraId="48135B7F" w14:textId="77777777" w:rsidR="006972C5" w:rsidRPr="00986F85" w:rsidRDefault="006972C5" w:rsidP="00112C69">
            <w:pPr>
              <w:spacing w:after="0" w:line="360" w:lineRule="auto"/>
              <w:jc w:val="center"/>
              <w:rPr>
                <w:bCs/>
                <w:sz w:val="20"/>
                <w:szCs w:val="20"/>
              </w:rPr>
            </w:pPr>
            <w:r w:rsidRPr="00986F85">
              <w:rPr>
                <w:bCs/>
                <w:sz w:val="20"/>
                <w:szCs w:val="20"/>
              </w:rPr>
              <w:t>igen</w:t>
            </w:r>
          </w:p>
        </w:tc>
        <w:tc>
          <w:tcPr>
            <w:tcW w:w="1276" w:type="dxa"/>
            <w:shd w:val="clear" w:color="auto" w:fill="D9D9D9"/>
            <w:vAlign w:val="center"/>
          </w:tcPr>
          <w:p w14:paraId="29A9E2D1" w14:textId="77777777" w:rsidR="006972C5" w:rsidRPr="00986F85" w:rsidRDefault="006972C5" w:rsidP="00112C69">
            <w:pPr>
              <w:spacing w:after="0" w:line="360" w:lineRule="auto"/>
              <w:jc w:val="center"/>
              <w:rPr>
                <w:bCs/>
                <w:sz w:val="20"/>
                <w:szCs w:val="20"/>
              </w:rPr>
            </w:pPr>
            <w:r w:rsidRPr="00986F85">
              <w:rPr>
                <w:bCs/>
                <w:sz w:val="20"/>
                <w:szCs w:val="20"/>
              </w:rPr>
              <w:t>nincs</w:t>
            </w:r>
          </w:p>
        </w:tc>
      </w:tr>
      <w:tr w:rsidR="006972C5" w:rsidRPr="00986F85" w14:paraId="5CC6D377" w14:textId="77777777" w:rsidTr="00112C69">
        <w:trPr>
          <w:trHeight w:hRule="exact" w:val="227"/>
          <w:tblHeader/>
        </w:trPr>
        <w:tc>
          <w:tcPr>
            <w:tcW w:w="4977" w:type="dxa"/>
            <w:shd w:val="clear" w:color="auto" w:fill="auto"/>
            <w:noWrap/>
            <w:vAlign w:val="center"/>
          </w:tcPr>
          <w:p w14:paraId="45B525D4" w14:textId="77777777" w:rsidR="006972C5" w:rsidRPr="00986F85" w:rsidRDefault="006972C5" w:rsidP="00112C69">
            <w:pPr>
              <w:spacing w:after="0" w:line="360" w:lineRule="auto"/>
              <w:rPr>
                <w:b/>
                <w:bCs/>
                <w:sz w:val="20"/>
                <w:szCs w:val="20"/>
              </w:rPr>
            </w:pPr>
          </w:p>
        </w:tc>
        <w:tc>
          <w:tcPr>
            <w:tcW w:w="1417" w:type="dxa"/>
            <w:vAlign w:val="center"/>
          </w:tcPr>
          <w:p w14:paraId="51790A29" w14:textId="77777777" w:rsidR="006972C5" w:rsidRPr="00986F85" w:rsidRDefault="006972C5" w:rsidP="00112C69">
            <w:pPr>
              <w:spacing w:after="0" w:line="360" w:lineRule="auto"/>
              <w:jc w:val="center"/>
              <w:rPr>
                <w:bCs/>
                <w:sz w:val="20"/>
                <w:szCs w:val="20"/>
              </w:rPr>
            </w:pPr>
          </w:p>
        </w:tc>
        <w:tc>
          <w:tcPr>
            <w:tcW w:w="1276" w:type="dxa"/>
            <w:shd w:val="clear" w:color="auto" w:fill="D9D9D9"/>
            <w:vAlign w:val="center"/>
          </w:tcPr>
          <w:p w14:paraId="2B87A010" w14:textId="77777777" w:rsidR="006972C5" w:rsidRPr="00986F85" w:rsidRDefault="006972C5" w:rsidP="00112C69">
            <w:pPr>
              <w:spacing w:after="0" w:line="360" w:lineRule="auto"/>
              <w:jc w:val="center"/>
              <w:rPr>
                <w:bCs/>
                <w:sz w:val="20"/>
                <w:szCs w:val="20"/>
              </w:rPr>
            </w:pPr>
          </w:p>
        </w:tc>
        <w:tc>
          <w:tcPr>
            <w:tcW w:w="1276" w:type="dxa"/>
            <w:shd w:val="clear" w:color="auto" w:fill="D9D9D9"/>
            <w:vAlign w:val="center"/>
          </w:tcPr>
          <w:p w14:paraId="0D143F23" w14:textId="77777777" w:rsidR="006972C5" w:rsidRPr="00986F85" w:rsidRDefault="006972C5" w:rsidP="00112C69">
            <w:pPr>
              <w:spacing w:after="0" w:line="360" w:lineRule="auto"/>
              <w:jc w:val="center"/>
              <w:rPr>
                <w:bCs/>
                <w:sz w:val="20"/>
                <w:szCs w:val="20"/>
              </w:rPr>
            </w:pPr>
          </w:p>
        </w:tc>
      </w:tr>
      <w:tr w:rsidR="006972C5" w:rsidRPr="00986F85" w14:paraId="1D1D4C86" w14:textId="77777777" w:rsidTr="00112C69">
        <w:trPr>
          <w:trHeight w:hRule="exact" w:val="227"/>
          <w:tblHeader/>
        </w:trPr>
        <w:tc>
          <w:tcPr>
            <w:tcW w:w="4977" w:type="dxa"/>
            <w:shd w:val="clear" w:color="auto" w:fill="auto"/>
            <w:noWrap/>
            <w:vAlign w:val="center"/>
          </w:tcPr>
          <w:p w14:paraId="52AB6D72" w14:textId="77777777" w:rsidR="006972C5" w:rsidRPr="00986F85" w:rsidRDefault="006972C5" w:rsidP="00112C69">
            <w:pPr>
              <w:spacing w:after="0" w:line="360" w:lineRule="auto"/>
              <w:rPr>
                <w:b/>
                <w:bCs/>
                <w:sz w:val="20"/>
                <w:szCs w:val="20"/>
              </w:rPr>
            </w:pPr>
            <w:r w:rsidRPr="00986F85">
              <w:rPr>
                <w:b/>
                <w:bCs/>
                <w:sz w:val="20"/>
                <w:szCs w:val="20"/>
              </w:rPr>
              <w:t xml:space="preserve">Mérlegből </w:t>
            </w:r>
            <w:r w:rsidRPr="00986F85">
              <w:rPr>
                <w:bCs/>
                <w:sz w:val="20"/>
                <w:szCs w:val="20"/>
              </w:rPr>
              <w:t>(tárgyévi záró értékek)</w:t>
            </w:r>
          </w:p>
        </w:tc>
        <w:tc>
          <w:tcPr>
            <w:tcW w:w="1417" w:type="dxa"/>
            <w:vAlign w:val="center"/>
          </w:tcPr>
          <w:p w14:paraId="159299DD" w14:textId="77777777" w:rsidR="006972C5" w:rsidRPr="00986F85" w:rsidRDefault="006972C5" w:rsidP="00112C69">
            <w:pPr>
              <w:spacing w:after="0" w:line="360" w:lineRule="auto"/>
              <w:jc w:val="center"/>
              <w:rPr>
                <w:b/>
                <w:bCs/>
                <w:sz w:val="20"/>
                <w:szCs w:val="20"/>
              </w:rPr>
            </w:pPr>
            <w:r w:rsidRPr="00986F85">
              <w:rPr>
                <w:b/>
                <w:bCs/>
                <w:sz w:val="20"/>
                <w:szCs w:val="20"/>
              </w:rPr>
              <w:t>1129-A-01</w:t>
            </w:r>
          </w:p>
        </w:tc>
        <w:tc>
          <w:tcPr>
            <w:tcW w:w="1276" w:type="dxa"/>
            <w:shd w:val="clear" w:color="auto" w:fill="D9D9D9"/>
            <w:vAlign w:val="center"/>
          </w:tcPr>
          <w:p w14:paraId="342578E5" w14:textId="77777777" w:rsidR="006972C5" w:rsidRPr="00986F85" w:rsidRDefault="006972C5" w:rsidP="00112C69">
            <w:pPr>
              <w:spacing w:after="0" w:line="360" w:lineRule="auto"/>
              <w:jc w:val="center"/>
              <w:rPr>
                <w:b/>
                <w:bCs/>
                <w:sz w:val="20"/>
                <w:szCs w:val="20"/>
              </w:rPr>
            </w:pPr>
          </w:p>
        </w:tc>
        <w:tc>
          <w:tcPr>
            <w:tcW w:w="1276" w:type="dxa"/>
            <w:shd w:val="clear" w:color="auto" w:fill="D9D9D9"/>
            <w:vAlign w:val="center"/>
          </w:tcPr>
          <w:p w14:paraId="1C9BB938" w14:textId="77777777" w:rsidR="006972C5" w:rsidRPr="00986F85" w:rsidRDefault="006972C5" w:rsidP="00112C69">
            <w:pPr>
              <w:spacing w:after="0" w:line="360" w:lineRule="auto"/>
              <w:jc w:val="center"/>
              <w:rPr>
                <w:b/>
                <w:bCs/>
                <w:sz w:val="20"/>
                <w:szCs w:val="20"/>
              </w:rPr>
            </w:pPr>
          </w:p>
        </w:tc>
      </w:tr>
      <w:tr w:rsidR="006972C5" w:rsidRPr="00986F85" w14:paraId="26E12823" w14:textId="77777777" w:rsidTr="00112C69">
        <w:trPr>
          <w:trHeight w:hRule="exact" w:val="227"/>
          <w:tblHeader/>
        </w:trPr>
        <w:tc>
          <w:tcPr>
            <w:tcW w:w="4977" w:type="dxa"/>
            <w:shd w:val="clear" w:color="auto" w:fill="auto"/>
            <w:noWrap/>
            <w:vAlign w:val="center"/>
          </w:tcPr>
          <w:p w14:paraId="080D667B" w14:textId="77777777" w:rsidR="006972C5" w:rsidRPr="00986F85" w:rsidRDefault="006972C5" w:rsidP="00112C69">
            <w:pPr>
              <w:spacing w:after="0" w:line="360" w:lineRule="auto"/>
              <w:rPr>
                <w:sz w:val="20"/>
                <w:szCs w:val="20"/>
              </w:rPr>
            </w:pPr>
            <w:r w:rsidRPr="00986F85">
              <w:rPr>
                <w:sz w:val="20"/>
                <w:szCs w:val="20"/>
              </w:rPr>
              <w:t>Immateriális javak</w:t>
            </w:r>
          </w:p>
        </w:tc>
        <w:tc>
          <w:tcPr>
            <w:tcW w:w="1417" w:type="dxa"/>
            <w:vAlign w:val="center"/>
          </w:tcPr>
          <w:p w14:paraId="05214033" w14:textId="77777777" w:rsidR="006972C5" w:rsidRPr="00986F85" w:rsidRDefault="006972C5" w:rsidP="00112C69">
            <w:pPr>
              <w:spacing w:after="0" w:line="360" w:lineRule="auto"/>
              <w:jc w:val="center"/>
              <w:rPr>
                <w:sz w:val="20"/>
                <w:szCs w:val="20"/>
              </w:rPr>
            </w:pPr>
            <w:r w:rsidRPr="00986F85">
              <w:rPr>
                <w:sz w:val="20"/>
                <w:szCs w:val="20"/>
              </w:rPr>
              <w:t>1129-A-01/01</w:t>
            </w:r>
          </w:p>
        </w:tc>
        <w:tc>
          <w:tcPr>
            <w:tcW w:w="1276" w:type="dxa"/>
            <w:shd w:val="clear" w:color="auto" w:fill="D9D9D9"/>
            <w:vAlign w:val="center"/>
          </w:tcPr>
          <w:p w14:paraId="67A88AE3" w14:textId="77777777" w:rsidR="006972C5" w:rsidRPr="00986F85" w:rsidRDefault="006972C5" w:rsidP="00112C69">
            <w:pPr>
              <w:spacing w:after="0" w:line="360" w:lineRule="auto"/>
              <w:jc w:val="center"/>
              <w:rPr>
                <w:sz w:val="20"/>
                <w:szCs w:val="20"/>
              </w:rPr>
            </w:pPr>
            <w:r w:rsidRPr="00986F85">
              <w:rPr>
                <w:sz w:val="20"/>
                <w:szCs w:val="20"/>
              </w:rPr>
              <w:t>igen</w:t>
            </w:r>
          </w:p>
          <w:p w14:paraId="47E526AB" w14:textId="77777777" w:rsidR="006972C5" w:rsidRPr="00986F85" w:rsidRDefault="006972C5" w:rsidP="00112C69">
            <w:pPr>
              <w:spacing w:after="0" w:line="360" w:lineRule="auto"/>
              <w:jc w:val="center"/>
              <w:rPr>
                <w:sz w:val="20"/>
                <w:szCs w:val="20"/>
              </w:rPr>
            </w:pPr>
          </w:p>
        </w:tc>
        <w:tc>
          <w:tcPr>
            <w:tcW w:w="1276" w:type="dxa"/>
            <w:shd w:val="clear" w:color="auto" w:fill="D9D9D9"/>
            <w:vAlign w:val="center"/>
          </w:tcPr>
          <w:p w14:paraId="3D093FCB" w14:textId="77777777" w:rsidR="006972C5" w:rsidRPr="00986F85" w:rsidRDefault="006972C5" w:rsidP="00112C69">
            <w:pPr>
              <w:spacing w:after="0" w:line="360" w:lineRule="auto"/>
              <w:jc w:val="center"/>
              <w:rPr>
                <w:sz w:val="20"/>
                <w:szCs w:val="20"/>
              </w:rPr>
            </w:pPr>
            <w:r w:rsidRPr="00986F85">
              <w:rPr>
                <w:sz w:val="20"/>
                <w:szCs w:val="20"/>
              </w:rPr>
              <w:t>?</w:t>
            </w:r>
          </w:p>
        </w:tc>
      </w:tr>
      <w:tr w:rsidR="006972C5" w:rsidRPr="00986F85" w14:paraId="2F2B1E6F" w14:textId="77777777" w:rsidTr="00112C69">
        <w:trPr>
          <w:trHeight w:hRule="exact" w:val="227"/>
          <w:tblHeader/>
        </w:trPr>
        <w:tc>
          <w:tcPr>
            <w:tcW w:w="4977" w:type="dxa"/>
            <w:shd w:val="clear" w:color="auto" w:fill="auto"/>
            <w:noWrap/>
            <w:vAlign w:val="center"/>
          </w:tcPr>
          <w:p w14:paraId="26CD94F1" w14:textId="77777777" w:rsidR="006972C5" w:rsidRPr="00986F85" w:rsidRDefault="006972C5" w:rsidP="00112C69">
            <w:pPr>
              <w:spacing w:after="0" w:line="360" w:lineRule="auto"/>
              <w:rPr>
                <w:sz w:val="20"/>
                <w:szCs w:val="20"/>
              </w:rPr>
            </w:pPr>
            <w:r w:rsidRPr="00986F85">
              <w:rPr>
                <w:sz w:val="20"/>
                <w:szCs w:val="20"/>
              </w:rPr>
              <w:t>Tárgyi eszközök</w:t>
            </w:r>
          </w:p>
        </w:tc>
        <w:tc>
          <w:tcPr>
            <w:tcW w:w="1417" w:type="dxa"/>
            <w:vAlign w:val="center"/>
          </w:tcPr>
          <w:p w14:paraId="37D7AD4E" w14:textId="77777777" w:rsidR="006972C5" w:rsidRPr="00986F85" w:rsidRDefault="006972C5" w:rsidP="00112C69">
            <w:pPr>
              <w:spacing w:after="0" w:line="360" w:lineRule="auto"/>
              <w:jc w:val="center"/>
              <w:rPr>
                <w:sz w:val="20"/>
                <w:szCs w:val="20"/>
              </w:rPr>
            </w:pPr>
            <w:r w:rsidRPr="00986F85">
              <w:rPr>
                <w:sz w:val="20"/>
                <w:szCs w:val="20"/>
              </w:rPr>
              <w:t>1129-A-01/03</w:t>
            </w:r>
          </w:p>
        </w:tc>
        <w:tc>
          <w:tcPr>
            <w:tcW w:w="1276" w:type="dxa"/>
            <w:shd w:val="clear" w:color="auto" w:fill="D9D9D9"/>
            <w:vAlign w:val="center"/>
          </w:tcPr>
          <w:p w14:paraId="68205550" w14:textId="77777777" w:rsidR="006972C5" w:rsidRPr="00986F85" w:rsidRDefault="006972C5" w:rsidP="00112C69">
            <w:pPr>
              <w:spacing w:after="0" w:line="360" w:lineRule="auto"/>
              <w:jc w:val="center"/>
              <w:rPr>
                <w:sz w:val="20"/>
                <w:szCs w:val="20"/>
              </w:rPr>
            </w:pPr>
            <w:r w:rsidRPr="00986F85">
              <w:rPr>
                <w:sz w:val="20"/>
                <w:szCs w:val="20"/>
              </w:rPr>
              <w:t>igen</w:t>
            </w:r>
          </w:p>
        </w:tc>
        <w:tc>
          <w:tcPr>
            <w:tcW w:w="1276" w:type="dxa"/>
            <w:shd w:val="clear" w:color="auto" w:fill="D9D9D9"/>
            <w:vAlign w:val="center"/>
          </w:tcPr>
          <w:p w14:paraId="3B75BEF2" w14:textId="77777777" w:rsidR="006972C5" w:rsidRPr="00986F85" w:rsidRDefault="006972C5" w:rsidP="00112C69">
            <w:pPr>
              <w:spacing w:after="0" w:line="360" w:lineRule="auto"/>
              <w:jc w:val="center"/>
              <w:rPr>
                <w:sz w:val="20"/>
                <w:szCs w:val="20"/>
              </w:rPr>
            </w:pPr>
            <w:r w:rsidRPr="00986F85">
              <w:rPr>
                <w:sz w:val="20"/>
                <w:szCs w:val="20"/>
              </w:rPr>
              <w:t>nincs</w:t>
            </w:r>
          </w:p>
        </w:tc>
      </w:tr>
      <w:tr w:rsidR="006972C5" w:rsidRPr="00986F85" w14:paraId="705F3C52" w14:textId="77777777" w:rsidTr="00112C69">
        <w:trPr>
          <w:trHeight w:hRule="exact" w:val="227"/>
          <w:tblHeader/>
        </w:trPr>
        <w:tc>
          <w:tcPr>
            <w:tcW w:w="4977" w:type="dxa"/>
            <w:shd w:val="clear" w:color="auto" w:fill="auto"/>
            <w:noWrap/>
            <w:vAlign w:val="center"/>
          </w:tcPr>
          <w:p w14:paraId="243B5DF8" w14:textId="77777777" w:rsidR="006972C5" w:rsidRPr="00986F85" w:rsidRDefault="006972C5" w:rsidP="00112C69">
            <w:pPr>
              <w:spacing w:after="0" w:line="360" w:lineRule="auto"/>
              <w:rPr>
                <w:sz w:val="20"/>
                <w:szCs w:val="20"/>
              </w:rPr>
            </w:pPr>
            <w:r w:rsidRPr="00986F85">
              <w:rPr>
                <w:sz w:val="20"/>
                <w:szCs w:val="20"/>
              </w:rPr>
              <w:lastRenderedPageBreak/>
              <w:t>Készletek</w:t>
            </w:r>
          </w:p>
        </w:tc>
        <w:tc>
          <w:tcPr>
            <w:tcW w:w="1417" w:type="dxa"/>
            <w:vAlign w:val="center"/>
          </w:tcPr>
          <w:p w14:paraId="1490BE2D" w14:textId="77777777" w:rsidR="006972C5" w:rsidRPr="00986F85" w:rsidRDefault="006972C5" w:rsidP="00112C69">
            <w:pPr>
              <w:spacing w:after="0" w:line="360" w:lineRule="auto"/>
              <w:jc w:val="center"/>
              <w:rPr>
                <w:sz w:val="20"/>
                <w:szCs w:val="20"/>
              </w:rPr>
            </w:pPr>
            <w:r w:rsidRPr="00986F85">
              <w:rPr>
                <w:sz w:val="20"/>
                <w:szCs w:val="20"/>
              </w:rPr>
              <w:t>1129-A-01/05</w:t>
            </w:r>
          </w:p>
        </w:tc>
        <w:tc>
          <w:tcPr>
            <w:tcW w:w="1276" w:type="dxa"/>
            <w:shd w:val="clear" w:color="auto" w:fill="D9D9D9"/>
            <w:vAlign w:val="center"/>
          </w:tcPr>
          <w:p w14:paraId="0FDC77FA" w14:textId="77777777" w:rsidR="006972C5" w:rsidRPr="00986F85" w:rsidRDefault="006972C5" w:rsidP="00112C69">
            <w:pPr>
              <w:spacing w:after="0" w:line="360" w:lineRule="auto"/>
              <w:jc w:val="center"/>
              <w:rPr>
                <w:sz w:val="20"/>
                <w:szCs w:val="20"/>
              </w:rPr>
            </w:pPr>
            <w:r w:rsidRPr="00986F85">
              <w:rPr>
                <w:sz w:val="20"/>
                <w:szCs w:val="20"/>
              </w:rPr>
              <w:t>igen</w:t>
            </w:r>
          </w:p>
        </w:tc>
        <w:tc>
          <w:tcPr>
            <w:tcW w:w="1276" w:type="dxa"/>
            <w:shd w:val="clear" w:color="auto" w:fill="D9D9D9"/>
            <w:vAlign w:val="center"/>
          </w:tcPr>
          <w:p w14:paraId="17F36B11" w14:textId="77777777" w:rsidR="006972C5" w:rsidRPr="00986F85" w:rsidRDefault="006972C5" w:rsidP="00112C69">
            <w:pPr>
              <w:spacing w:after="0" w:line="360" w:lineRule="auto"/>
              <w:jc w:val="center"/>
              <w:rPr>
                <w:sz w:val="20"/>
                <w:szCs w:val="20"/>
              </w:rPr>
            </w:pPr>
            <w:r w:rsidRPr="00986F85">
              <w:rPr>
                <w:sz w:val="20"/>
                <w:szCs w:val="20"/>
              </w:rPr>
              <w:t>nincs</w:t>
            </w:r>
          </w:p>
        </w:tc>
      </w:tr>
      <w:tr w:rsidR="006972C5" w:rsidRPr="00986F85" w14:paraId="01382479" w14:textId="77777777" w:rsidTr="00112C69">
        <w:trPr>
          <w:trHeight w:hRule="exact" w:val="227"/>
          <w:tblHeader/>
        </w:trPr>
        <w:tc>
          <w:tcPr>
            <w:tcW w:w="4977" w:type="dxa"/>
            <w:shd w:val="clear" w:color="auto" w:fill="auto"/>
            <w:noWrap/>
            <w:vAlign w:val="center"/>
          </w:tcPr>
          <w:p w14:paraId="109A0B21" w14:textId="77777777" w:rsidR="006972C5" w:rsidRPr="00986F85" w:rsidRDefault="006972C5" w:rsidP="00112C69">
            <w:pPr>
              <w:spacing w:after="0" w:line="360" w:lineRule="auto"/>
              <w:rPr>
                <w:sz w:val="20"/>
                <w:szCs w:val="20"/>
              </w:rPr>
            </w:pPr>
            <w:r w:rsidRPr="00986F85">
              <w:rPr>
                <w:sz w:val="20"/>
                <w:szCs w:val="20"/>
              </w:rPr>
              <w:t>Követelések</w:t>
            </w:r>
          </w:p>
        </w:tc>
        <w:tc>
          <w:tcPr>
            <w:tcW w:w="1417" w:type="dxa"/>
            <w:vAlign w:val="center"/>
          </w:tcPr>
          <w:p w14:paraId="00A9B5DA" w14:textId="77777777" w:rsidR="006972C5" w:rsidRPr="00986F85" w:rsidRDefault="006972C5" w:rsidP="00112C69">
            <w:pPr>
              <w:spacing w:after="0" w:line="360" w:lineRule="auto"/>
              <w:jc w:val="center"/>
              <w:rPr>
                <w:sz w:val="20"/>
                <w:szCs w:val="20"/>
              </w:rPr>
            </w:pPr>
            <w:r w:rsidRPr="00986F85">
              <w:rPr>
                <w:sz w:val="20"/>
                <w:szCs w:val="20"/>
              </w:rPr>
              <w:t>1129-A-01/06</w:t>
            </w:r>
          </w:p>
        </w:tc>
        <w:tc>
          <w:tcPr>
            <w:tcW w:w="1276" w:type="dxa"/>
            <w:shd w:val="clear" w:color="auto" w:fill="D9D9D9"/>
            <w:vAlign w:val="center"/>
          </w:tcPr>
          <w:p w14:paraId="09B21CE7" w14:textId="77777777" w:rsidR="006972C5" w:rsidRPr="00986F85" w:rsidRDefault="006972C5" w:rsidP="00112C69">
            <w:pPr>
              <w:spacing w:after="0" w:line="360" w:lineRule="auto"/>
              <w:jc w:val="center"/>
              <w:rPr>
                <w:sz w:val="20"/>
                <w:szCs w:val="20"/>
              </w:rPr>
            </w:pPr>
            <w:r w:rsidRPr="00986F85">
              <w:rPr>
                <w:sz w:val="20"/>
                <w:szCs w:val="20"/>
              </w:rPr>
              <w:t>igen</w:t>
            </w:r>
          </w:p>
        </w:tc>
        <w:tc>
          <w:tcPr>
            <w:tcW w:w="1276" w:type="dxa"/>
            <w:shd w:val="clear" w:color="auto" w:fill="D9D9D9"/>
            <w:vAlign w:val="center"/>
          </w:tcPr>
          <w:p w14:paraId="110B7FF2" w14:textId="77777777" w:rsidR="006972C5" w:rsidRPr="00986F85" w:rsidRDefault="006972C5" w:rsidP="00112C69">
            <w:pPr>
              <w:spacing w:after="0" w:line="360" w:lineRule="auto"/>
              <w:jc w:val="center"/>
              <w:rPr>
                <w:sz w:val="20"/>
                <w:szCs w:val="20"/>
              </w:rPr>
            </w:pPr>
            <w:r w:rsidRPr="00986F85">
              <w:rPr>
                <w:sz w:val="20"/>
                <w:szCs w:val="20"/>
              </w:rPr>
              <w:t>nincs</w:t>
            </w:r>
          </w:p>
        </w:tc>
      </w:tr>
      <w:tr w:rsidR="006972C5" w:rsidRPr="00986F85" w14:paraId="2E9878B8" w14:textId="77777777" w:rsidTr="00112C69">
        <w:trPr>
          <w:trHeight w:hRule="exact" w:val="227"/>
          <w:tblHeader/>
        </w:trPr>
        <w:tc>
          <w:tcPr>
            <w:tcW w:w="4977" w:type="dxa"/>
            <w:shd w:val="clear" w:color="auto" w:fill="auto"/>
            <w:noWrap/>
            <w:vAlign w:val="center"/>
          </w:tcPr>
          <w:p w14:paraId="61DBDE9B" w14:textId="77777777" w:rsidR="006972C5" w:rsidRPr="00986F85" w:rsidRDefault="006972C5" w:rsidP="00112C69">
            <w:pPr>
              <w:spacing w:after="0" w:line="360" w:lineRule="auto"/>
              <w:rPr>
                <w:sz w:val="20"/>
                <w:szCs w:val="20"/>
              </w:rPr>
            </w:pPr>
            <w:r w:rsidRPr="00986F85">
              <w:rPr>
                <w:sz w:val="20"/>
                <w:szCs w:val="20"/>
              </w:rPr>
              <w:t>Értékpapírok</w:t>
            </w:r>
          </w:p>
        </w:tc>
        <w:tc>
          <w:tcPr>
            <w:tcW w:w="1417" w:type="dxa"/>
            <w:vAlign w:val="center"/>
          </w:tcPr>
          <w:p w14:paraId="4AF7BBAF" w14:textId="77777777" w:rsidR="006972C5" w:rsidRPr="00986F85" w:rsidRDefault="006972C5" w:rsidP="00112C69">
            <w:pPr>
              <w:spacing w:after="0" w:line="360" w:lineRule="auto"/>
              <w:jc w:val="center"/>
              <w:rPr>
                <w:sz w:val="20"/>
                <w:szCs w:val="20"/>
              </w:rPr>
            </w:pPr>
            <w:r w:rsidRPr="00986F85">
              <w:rPr>
                <w:sz w:val="20"/>
                <w:szCs w:val="20"/>
              </w:rPr>
              <w:t>1129-A-01/09</w:t>
            </w:r>
          </w:p>
        </w:tc>
        <w:tc>
          <w:tcPr>
            <w:tcW w:w="1276" w:type="dxa"/>
            <w:shd w:val="clear" w:color="auto" w:fill="D9D9D9"/>
            <w:vAlign w:val="center"/>
          </w:tcPr>
          <w:p w14:paraId="1CE80E54" w14:textId="77777777" w:rsidR="006972C5" w:rsidRPr="00986F85" w:rsidRDefault="006972C5" w:rsidP="00112C69">
            <w:pPr>
              <w:spacing w:after="0" w:line="360" w:lineRule="auto"/>
              <w:jc w:val="center"/>
              <w:rPr>
                <w:sz w:val="20"/>
                <w:szCs w:val="20"/>
              </w:rPr>
            </w:pPr>
            <w:r w:rsidRPr="00986F85">
              <w:rPr>
                <w:sz w:val="20"/>
                <w:szCs w:val="20"/>
              </w:rPr>
              <w:t>igen</w:t>
            </w:r>
          </w:p>
        </w:tc>
        <w:tc>
          <w:tcPr>
            <w:tcW w:w="1276" w:type="dxa"/>
            <w:shd w:val="clear" w:color="auto" w:fill="D9D9D9"/>
            <w:vAlign w:val="center"/>
          </w:tcPr>
          <w:p w14:paraId="0D7A799F" w14:textId="77777777" w:rsidR="006972C5" w:rsidRPr="00986F85" w:rsidRDefault="006972C5" w:rsidP="00112C69">
            <w:pPr>
              <w:spacing w:after="0" w:line="360" w:lineRule="auto"/>
              <w:jc w:val="center"/>
              <w:rPr>
                <w:sz w:val="20"/>
                <w:szCs w:val="20"/>
              </w:rPr>
            </w:pPr>
            <w:r w:rsidRPr="00986F85">
              <w:rPr>
                <w:sz w:val="20"/>
                <w:szCs w:val="20"/>
              </w:rPr>
              <w:t>?</w:t>
            </w:r>
          </w:p>
        </w:tc>
      </w:tr>
      <w:tr w:rsidR="006972C5" w:rsidRPr="00986F85" w14:paraId="1F737CE0" w14:textId="77777777" w:rsidTr="00112C69">
        <w:trPr>
          <w:trHeight w:hRule="exact" w:val="227"/>
          <w:tblHeader/>
        </w:trPr>
        <w:tc>
          <w:tcPr>
            <w:tcW w:w="4977" w:type="dxa"/>
            <w:shd w:val="clear" w:color="auto" w:fill="auto"/>
            <w:noWrap/>
            <w:vAlign w:val="center"/>
          </w:tcPr>
          <w:p w14:paraId="2A5BE7E9" w14:textId="77777777" w:rsidR="006972C5" w:rsidRPr="00986F85" w:rsidRDefault="006972C5" w:rsidP="00112C69">
            <w:pPr>
              <w:spacing w:after="0" w:line="360" w:lineRule="auto"/>
              <w:rPr>
                <w:sz w:val="20"/>
                <w:szCs w:val="20"/>
              </w:rPr>
            </w:pPr>
            <w:r w:rsidRPr="00986F85">
              <w:rPr>
                <w:sz w:val="20"/>
                <w:szCs w:val="20"/>
              </w:rPr>
              <w:t>Pénzeszközök</w:t>
            </w:r>
          </w:p>
        </w:tc>
        <w:tc>
          <w:tcPr>
            <w:tcW w:w="1417" w:type="dxa"/>
            <w:vAlign w:val="center"/>
          </w:tcPr>
          <w:p w14:paraId="22DCB0E9" w14:textId="77777777" w:rsidR="006972C5" w:rsidRPr="00986F85" w:rsidRDefault="006972C5" w:rsidP="00112C69">
            <w:pPr>
              <w:spacing w:after="0" w:line="360" w:lineRule="auto"/>
              <w:jc w:val="center"/>
              <w:rPr>
                <w:sz w:val="20"/>
                <w:szCs w:val="20"/>
              </w:rPr>
            </w:pPr>
            <w:r w:rsidRPr="00986F85">
              <w:rPr>
                <w:sz w:val="20"/>
                <w:szCs w:val="20"/>
              </w:rPr>
              <w:t>1129-A-01/10</w:t>
            </w:r>
          </w:p>
        </w:tc>
        <w:tc>
          <w:tcPr>
            <w:tcW w:w="1276" w:type="dxa"/>
            <w:shd w:val="clear" w:color="auto" w:fill="D9D9D9"/>
            <w:vAlign w:val="center"/>
          </w:tcPr>
          <w:p w14:paraId="077B9744" w14:textId="77777777" w:rsidR="006972C5" w:rsidRPr="00986F85" w:rsidRDefault="006972C5" w:rsidP="00112C69">
            <w:pPr>
              <w:spacing w:after="0" w:line="360" w:lineRule="auto"/>
              <w:jc w:val="center"/>
              <w:rPr>
                <w:sz w:val="20"/>
                <w:szCs w:val="20"/>
              </w:rPr>
            </w:pPr>
            <w:r w:rsidRPr="00986F85">
              <w:rPr>
                <w:sz w:val="20"/>
                <w:szCs w:val="20"/>
              </w:rPr>
              <w:t>igen</w:t>
            </w:r>
          </w:p>
        </w:tc>
        <w:tc>
          <w:tcPr>
            <w:tcW w:w="1276" w:type="dxa"/>
            <w:shd w:val="clear" w:color="auto" w:fill="D9D9D9"/>
            <w:vAlign w:val="center"/>
          </w:tcPr>
          <w:p w14:paraId="2B66BD28" w14:textId="77777777" w:rsidR="006972C5" w:rsidRPr="00986F85" w:rsidRDefault="006972C5" w:rsidP="00112C69">
            <w:pPr>
              <w:spacing w:after="0" w:line="360" w:lineRule="auto"/>
              <w:jc w:val="center"/>
              <w:rPr>
                <w:sz w:val="20"/>
                <w:szCs w:val="20"/>
              </w:rPr>
            </w:pPr>
            <w:r w:rsidRPr="00986F85">
              <w:rPr>
                <w:sz w:val="20"/>
                <w:szCs w:val="20"/>
              </w:rPr>
              <w:t>nincs</w:t>
            </w:r>
          </w:p>
        </w:tc>
      </w:tr>
      <w:tr w:rsidR="006972C5" w:rsidRPr="00986F85" w14:paraId="63E6CFA4" w14:textId="77777777" w:rsidTr="00112C69">
        <w:trPr>
          <w:trHeight w:hRule="exact" w:val="227"/>
          <w:tblHeader/>
        </w:trPr>
        <w:tc>
          <w:tcPr>
            <w:tcW w:w="4977" w:type="dxa"/>
            <w:shd w:val="clear" w:color="auto" w:fill="auto"/>
            <w:noWrap/>
            <w:vAlign w:val="center"/>
          </w:tcPr>
          <w:p w14:paraId="2C8A72F2" w14:textId="77777777" w:rsidR="006972C5" w:rsidRPr="00986F85" w:rsidRDefault="006972C5" w:rsidP="00112C69">
            <w:pPr>
              <w:spacing w:after="0" w:line="360" w:lineRule="auto"/>
              <w:rPr>
                <w:sz w:val="20"/>
                <w:szCs w:val="20"/>
              </w:rPr>
            </w:pPr>
            <w:r w:rsidRPr="00986F85">
              <w:rPr>
                <w:sz w:val="20"/>
                <w:szCs w:val="20"/>
              </w:rPr>
              <w:t>Eszközök összesen (Mérlegfőösszeg)</w:t>
            </w:r>
          </w:p>
        </w:tc>
        <w:tc>
          <w:tcPr>
            <w:tcW w:w="1417" w:type="dxa"/>
            <w:vAlign w:val="center"/>
          </w:tcPr>
          <w:p w14:paraId="56687206" w14:textId="77777777" w:rsidR="006972C5" w:rsidRPr="00986F85" w:rsidRDefault="006972C5" w:rsidP="00112C69">
            <w:pPr>
              <w:spacing w:after="0" w:line="360" w:lineRule="auto"/>
              <w:jc w:val="center"/>
              <w:rPr>
                <w:sz w:val="20"/>
                <w:szCs w:val="20"/>
              </w:rPr>
            </w:pPr>
            <w:r w:rsidRPr="00986F85">
              <w:rPr>
                <w:sz w:val="20"/>
                <w:szCs w:val="20"/>
              </w:rPr>
              <w:t>1129-A-01/39</w:t>
            </w:r>
          </w:p>
        </w:tc>
        <w:tc>
          <w:tcPr>
            <w:tcW w:w="1276" w:type="dxa"/>
            <w:shd w:val="clear" w:color="auto" w:fill="D9D9D9"/>
            <w:vAlign w:val="center"/>
          </w:tcPr>
          <w:p w14:paraId="7FEB2E49" w14:textId="77777777" w:rsidR="006972C5" w:rsidRPr="00986F85" w:rsidRDefault="006972C5" w:rsidP="00112C69">
            <w:pPr>
              <w:spacing w:after="0" w:line="360" w:lineRule="auto"/>
              <w:jc w:val="center"/>
              <w:rPr>
                <w:sz w:val="20"/>
                <w:szCs w:val="20"/>
              </w:rPr>
            </w:pPr>
            <w:r w:rsidRPr="00986F85">
              <w:rPr>
                <w:sz w:val="20"/>
                <w:szCs w:val="20"/>
              </w:rPr>
              <w:t>igen</w:t>
            </w:r>
          </w:p>
        </w:tc>
        <w:tc>
          <w:tcPr>
            <w:tcW w:w="1276" w:type="dxa"/>
            <w:shd w:val="clear" w:color="auto" w:fill="D9D9D9"/>
            <w:vAlign w:val="center"/>
          </w:tcPr>
          <w:p w14:paraId="7C5BAC1D" w14:textId="77777777" w:rsidR="006972C5" w:rsidRPr="00986F85" w:rsidRDefault="006972C5" w:rsidP="00112C69">
            <w:pPr>
              <w:spacing w:after="0" w:line="360" w:lineRule="auto"/>
              <w:jc w:val="center"/>
              <w:rPr>
                <w:sz w:val="20"/>
                <w:szCs w:val="20"/>
              </w:rPr>
            </w:pPr>
            <w:r w:rsidRPr="00986F85">
              <w:rPr>
                <w:sz w:val="20"/>
                <w:szCs w:val="20"/>
              </w:rPr>
              <w:t>nincs</w:t>
            </w:r>
          </w:p>
        </w:tc>
      </w:tr>
      <w:tr w:rsidR="006972C5" w:rsidRPr="00986F85" w14:paraId="3F36C5B5" w14:textId="77777777" w:rsidTr="00112C69">
        <w:trPr>
          <w:trHeight w:hRule="exact" w:val="227"/>
          <w:tblHeader/>
        </w:trPr>
        <w:tc>
          <w:tcPr>
            <w:tcW w:w="4977" w:type="dxa"/>
            <w:shd w:val="clear" w:color="auto" w:fill="auto"/>
            <w:noWrap/>
            <w:vAlign w:val="center"/>
          </w:tcPr>
          <w:p w14:paraId="28B8B134" w14:textId="77777777" w:rsidR="006972C5" w:rsidRPr="00986F85" w:rsidRDefault="006972C5" w:rsidP="00112C69">
            <w:pPr>
              <w:spacing w:after="0" w:line="360" w:lineRule="auto"/>
              <w:rPr>
                <w:sz w:val="20"/>
                <w:szCs w:val="20"/>
              </w:rPr>
            </w:pPr>
            <w:r w:rsidRPr="00986F85">
              <w:rPr>
                <w:sz w:val="20"/>
                <w:szCs w:val="20"/>
              </w:rPr>
              <w:t>Jegyzett tőke</w:t>
            </w:r>
          </w:p>
        </w:tc>
        <w:tc>
          <w:tcPr>
            <w:tcW w:w="1417" w:type="dxa"/>
            <w:vAlign w:val="center"/>
          </w:tcPr>
          <w:p w14:paraId="5072DD93" w14:textId="77777777" w:rsidR="006972C5" w:rsidRPr="00986F85" w:rsidRDefault="006972C5" w:rsidP="00112C69">
            <w:pPr>
              <w:spacing w:after="0" w:line="360" w:lineRule="auto"/>
              <w:jc w:val="center"/>
              <w:rPr>
                <w:sz w:val="20"/>
                <w:szCs w:val="20"/>
              </w:rPr>
            </w:pPr>
            <w:r w:rsidRPr="00986F85">
              <w:rPr>
                <w:sz w:val="20"/>
                <w:szCs w:val="20"/>
              </w:rPr>
              <w:t>1129-A-01/13</w:t>
            </w:r>
          </w:p>
        </w:tc>
        <w:tc>
          <w:tcPr>
            <w:tcW w:w="1276" w:type="dxa"/>
            <w:shd w:val="clear" w:color="auto" w:fill="D9D9D9"/>
            <w:vAlign w:val="center"/>
          </w:tcPr>
          <w:p w14:paraId="61AB2764" w14:textId="77777777" w:rsidR="006972C5" w:rsidRPr="00986F85" w:rsidRDefault="006972C5" w:rsidP="00112C69">
            <w:pPr>
              <w:spacing w:after="0" w:line="360" w:lineRule="auto"/>
              <w:jc w:val="center"/>
              <w:rPr>
                <w:sz w:val="20"/>
                <w:szCs w:val="20"/>
              </w:rPr>
            </w:pPr>
            <w:r w:rsidRPr="00986F85">
              <w:rPr>
                <w:sz w:val="20"/>
                <w:szCs w:val="20"/>
              </w:rPr>
              <w:t>igen</w:t>
            </w:r>
          </w:p>
        </w:tc>
        <w:tc>
          <w:tcPr>
            <w:tcW w:w="1276" w:type="dxa"/>
            <w:shd w:val="clear" w:color="auto" w:fill="D9D9D9"/>
            <w:vAlign w:val="center"/>
          </w:tcPr>
          <w:p w14:paraId="7E13231B" w14:textId="77777777" w:rsidR="006972C5" w:rsidRPr="00986F85" w:rsidRDefault="006972C5" w:rsidP="00112C69">
            <w:pPr>
              <w:spacing w:after="0" w:line="360" w:lineRule="auto"/>
              <w:jc w:val="center"/>
              <w:rPr>
                <w:sz w:val="20"/>
                <w:szCs w:val="20"/>
              </w:rPr>
            </w:pPr>
            <w:r w:rsidRPr="00986F85">
              <w:rPr>
                <w:sz w:val="20"/>
                <w:szCs w:val="20"/>
              </w:rPr>
              <w:t>nincs</w:t>
            </w:r>
          </w:p>
        </w:tc>
      </w:tr>
      <w:tr w:rsidR="006972C5" w:rsidRPr="00986F85" w14:paraId="1E53D2A8" w14:textId="77777777" w:rsidTr="00112C69">
        <w:trPr>
          <w:trHeight w:hRule="exact" w:val="227"/>
          <w:tblHeader/>
        </w:trPr>
        <w:tc>
          <w:tcPr>
            <w:tcW w:w="4977" w:type="dxa"/>
            <w:shd w:val="clear" w:color="auto" w:fill="auto"/>
            <w:noWrap/>
            <w:vAlign w:val="center"/>
          </w:tcPr>
          <w:p w14:paraId="334B972F" w14:textId="77777777" w:rsidR="006972C5" w:rsidRPr="00986F85" w:rsidRDefault="006972C5" w:rsidP="00112C69">
            <w:pPr>
              <w:spacing w:after="0" w:line="360" w:lineRule="auto"/>
              <w:rPr>
                <w:sz w:val="20"/>
                <w:szCs w:val="20"/>
              </w:rPr>
            </w:pPr>
            <w:r w:rsidRPr="00986F85">
              <w:rPr>
                <w:sz w:val="20"/>
                <w:szCs w:val="20"/>
              </w:rPr>
              <w:t>ebből  -állami tulajdon</w:t>
            </w:r>
          </w:p>
        </w:tc>
        <w:tc>
          <w:tcPr>
            <w:tcW w:w="1417" w:type="dxa"/>
            <w:vAlign w:val="center"/>
          </w:tcPr>
          <w:p w14:paraId="75F3A529" w14:textId="77777777" w:rsidR="006972C5" w:rsidRPr="00986F85" w:rsidRDefault="006972C5" w:rsidP="00112C69">
            <w:pPr>
              <w:spacing w:after="0" w:line="360" w:lineRule="auto"/>
              <w:jc w:val="center"/>
              <w:rPr>
                <w:sz w:val="20"/>
                <w:szCs w:val="20"/>
              </w:rPr>
            </w:pPr>
            <w:r w:rsidRPr="00986F85">
              <w:rPr>
                <w:sz w:val="20"/>
                <w:szCs w:val="20"/>
              </w:rPr>
              <w:t>1129-A-01/14</w:t>
            </w:r>
          </w:p>
        </w:tc>
        <w:tc>
          <w:tcPr>
            <w:tcW w:w="1276" w:type="dxa"/>
            <w:shd w:val="clear" w:color="auto" w:fill="D9D9D9"/>
            <w:vAlign w:val="center"/>
          </w:tcPr>
          <w:p w14:paraId="1F1413DA" w14:textId="77777777" w:rsidR="006972C5" w:rsidRPr="00986F85" w:rsidRDefault="006972C5" w:rsidP="00112C69">
            <w:pPr>
              <w:spacing w:after="0" w:line="360" w:lineRule="auto"/>
              <w:jc w:val="center"/>
              <w:rPr>
                <w:sz w:val="20"/>
                <w:szCs w:val="20"/>
              </w:rPr>
            </w:pPr>
            <w:r w:rsidRPr="00986F85">
              <w:rPr>
                <w:sz w:val="20"/>
                <w:szCs w:val="20"/>
              </w:rPr>
              <w:t>igen</w:t>
            </w:r>
          </w:p>
        </w:tc>
        <w:tc>
          <w:tcPr>
            <w:tcW w:w="1276" w:type="dxa"/>
            <w:shd w:val="clear" w:color="auto" w:fill="D9D9D9"/>
            <w:vAlign w:val="center"/>
          </w:tcPr>
          <w:p w14:paraId="604A52B5" w14:textId="77777777" w:rsidR="006972C5" w:rsidRPr="00986F85" w:rsidRDefault="006972C5" w:rsidP="00112C69">
            <w:pPr>
              <w:spacing w:after="0" w:line="360" w:lineRule="auto"/>
              <w:jc w:val="center"/>
              <w:rPr>
                <w:sz w:val="20"/>
                <w:szCs w:val="20"/>
              </w:rPr>
            </w:pPr>
            <w:r w:rsidRPr="00986F85">
              <w:rPr>
                <w:sz w:val="20"/>
                <w:szCs w:val="20"/>
              </w:rPr>
              <w:t>?</w:t>
            </w:r>
          </w:p>
        </w:tc>
      </w:tr>
      <w:tr w:rsidR="006972C5" w:rsidRPr="00986F85" w14:paraId="562910CA" w14:textId="77777777" w:rsidTr="00112C69">
        <w:trPr>
          <w:trHeight w:hRule="exact" w:val="227"/>
          <w:tblHeader/>
        </w:trPr>
        <w:tc>
          <w:tcPr>
            <w:tcW w:w="4977" w:type="dxa"/>
            <w:shd w:val="clear" w:color="auto" w:fill="auto"/>
            <w:noWrap/>
            <w:vAlign w:val="center"/>
          </w:tcPr>
          <w:p w14:paraId="10C535E6" w14:textId="77777777" w:rsidR="006972C5" w:rsidRPr="00986F85" w:rsidRDefault="006972C5" w:rsidP="00112C69">
            <w:pPr>
              <w:spacing w:after="0" w:line="360" w:lineRule="auto"/>
              <w:rPr>
                <w:sz w:val="20"/>
                <w:szCs w:val="20"/>
              </w:rPr>
            </w:pPr>
            <w:r w:rsidRPr="00986F85">
              <w:rPr>
                <w:sz w:val="20"/>
                <w:szCs w:val="20"/>
              </w:rPr>
              <w:t>-külföldi tulajdon</w:t>
            </w:r>
          </w:p>
        </w:tc>
        <w:tc>
          <w:tcPr>
            <w:tcW w:w="1417" w:type="dxa"/>
            <w:vAlign w:val="center"/>
          </w:tcPr>
          <w:p w14:paraId="78B17B3D" w14:textId="77777777" w:rsidR="006972C5" w:rsidRPr="00986F85" w:rsidRDefault="006972C5" w:rsidP="00112C69">
            <w:pPr>
              <w:spacing w:after="0" w:line="360" w:lineRule="auto"/>
              <w:jc w:val="center"/>
              <w:rPr>
                <w:sz w:val="20"/>
                <w:szCs w:val="20"/>
              </w:rPr>
            </w:pPr>
            <w:r w:rsidRPr="00986F85">
              <w:rPr>
                <w:sz w:val="20"/>
                <w:szCs w:val="20"/>
              </w:rPr>
              <w:t>1129-A-01/19</w:t>
            </w:r>
          </w:p>
        </w:tc>
        <w:tc>
          <w:tcPr>
            <w:tcW w:w="1276" w:type="dxa"/>
            <w:shd w:val="clear" w:color="auto" w:fill="D9D9D9"/>
            <w:vAlign w:val="center"/>
          </w:tcPr>
          <w:p w14:paraId="4BD1C653" w14:textId="77777777" w:rsidR="006972C5" w:rsidRPr="00986F85" w:rsidRDefault="006972C5" w:rsidP="00112C69">
            <w:pPr>
              <w:spacing w:after="0" w:line="360" w:lineRule="auto"/>
              <w:jc w:val="center"/>
              <w:rPr>
                <w:sz w:val="20"/>
                <w:szCs w:val="20"/>
              </w:rPr>
            </w:pPr>
            <w:r w:rsidRPr="00986F85">
              <w:rPr>
                <w:sz w:val="20"/>
                <w:szCs w:val="20"/>
              </w:rPr>
              <w:t>igen</w:t>
            </w:r>
          </w:p>
        </w:tc>
        <w:tc>
          <w:tcPr>
            <w:tcW w:w="1276" w:type="dxa"/>
            <w:shd w:val="clear" w:color="auto" w:fill="D9D9D9"/>
            <w:vAlign w:val="center"/>
          </w:tcPr>
          <w:p w14:paraId="49B23F09" w14:textId="77777777" w:rsidR="006972C5" w:rsidRPr="00986F85" w:rsidRDefault="006972C5" w:rsidP="00112C69">
            <w:pPr>
              <w:spacing w:after="0" w:line="360" w:lineRule="auto"/>
              <w:jc w:val="center"/>
              <w:rPr>
                <w:sz w:val="20"/>
                <w:szCs w:val="20"/>
              </w:rPr>
            </w:pPr>
            <w:r w:rsidRPr="00986F85">
              <w:rPr>
                <w:sz w:val="20"/>
                <w:szCs w:val="20"/>
              </w:rPr>
              <w:t>?</w:t>
            </w:r>
          </w:p>
        </w:tc>
      </w:tr>
      <w:tr w:rsidR="006972C5" w:rsidRPr="00986F85" w14:paraId="5E053AC8" w14:textId="77777777" w:rsidTr="00112C69">
        <w:trPr>
          <w:trHeight w:hRule="exact" w:val="227"/>
          <w:tblHeader/>
        </w:trPr>
        <w:tc>
          <w:tcPr>
            <w:tcW w:w="4977" w:type="dxa"/>
            <w:shd w:val="clear" w:color="auto" w:fill="auto"/>
            <w:noWrap/>
            <w:vAlign w:val="center"/>
          </w:tcPr>
          <w:p w14:paraId="0075EB08" w14:textId="77777777" w:rsidR="006972C5" w:rsidRPr="00986F85" w:rsidRDefault="006972C5" w:rsidP="00112C69">
            <w:pPr>
              <w:spacing w:after="0" w:line="360" w:lineRule="auto"/>
              <w:rPr>
                <w:sz w:val="20"/>
                <w:szCs w:val="20"/>
              </w:rPr>
            </w:pPr>
            <w:r w:rsidRPr="00986F85">
              <w:rPr>
                <w:sz w:val="20"/>
                <w:szCs w:val="20"/>
              </w:rPr>
              <w:t>Hosszú lejáratú kötelezettségek</w:t>
            </w:r>
          </w:p>
        </w:tc>
        <w:tc>
          <w:tcPr>
            <w:tcW w:w="1417" w:type="dxa"/>
            <w:vAlign w:val="center"/>
          </w:tcPr>
          <w:p w14:paraId="46C6369F" w14:textId="77777777" w:rsidR="006972C5" w:rsidRPr="00986F85" w:rsidRDefault="006972C5" w:rsidP="00112C69">
            <w:pPr>
              <w:spacing w:after="0" w:line="360" w:lineRule="auto"/>
              <w:jc w:val="center"/>
              <w:rPr>
                <w:sz w:val="20"/>
                <w:szCs w:val="20"/>
              </w:rPr>
            </w:pPr>
            <w:r w:rsidRPr="00986F85">
              <w:rPr>
                <w:sz w:val="20"/>
                <w:szCs w:val="20"/>
              </w:rPr>
              <w:t>1129-A-01/31</w:t>
            </w:r>
          </w:p>
        </w:tc>
        <w:tc>
          <w:tcPr>
            <w:tcW w:w="1276" w:type="dxa"/>
            <w:shd w:val="clear" w:color="auto" w:fill="D9D9D9"/>
            <w:vAlign w:val="center"/>
          </w:tcPr>
          <w:p w14:paraId="3D2A4BC1" w14:textId="77777777" w:rsidR="006972C5" w:rsidRPr="00986F85" w:rsidRDefault="006972C5" w:rsidP="00112C69">
            <w:pPr>
              <w:spacing w:after="0" w:line="360" w:lineRule="auto"/>
              <w:jc w:val="center"/>
              <w:rPr>
                <w:sz w:val="20"/>
                <w:szCs w:val="20"/>
              </w:rPr>
            </w:pPr>
            <w:r w:rsidRPr="00986F85">
              <w:rPr>
                <w:sz w:val="20"/>
                <w:szCs w:val="20"/>
              </w:rPr>
              <w:t>igen</w:t>
            </w:r>
          </w:p>
        </w:tc>
        <w:tc>
          <w:tcPr>
            <w:tcW w:w="1276" w:type="dxa"/>
            <w:shd w:val="clear" w:color="auto" w:fill="D9D9D9"/>
            <w:vAlign w:val="center"/>
          </w:tcPr>
          <w:p w14:paraId="1AA8EFD3" w14:textId="77777777" w:rsidR="006972C5" w:rsidRPr="00986F85" w:rsidRDefault="006972C5" w:rsidP="00112C69">
            <w:pPr>
              <w:spacing w:after="0" w:line="360" w:lineRule="auto"/>
              <w:jc w:val="center"/>
              <w:rPr>
                <w:sz w:val="20"/>
                <w:szCs w:val="20"/>
              </w:rPr>
            </w:pPr>
            <w:r w:rsidRPr="00986F85">
              <w:rPr>
                <w:sz w:val="20"/>
                <w:szCs w:val="20"/>
              </w:rPr>
              <w:t>?</w:t>
            </w:r>
          </w:p>
        </w:tc>
      </w:tr>
      <w:tr w:rsidR="006972C5" w:rsidRPr="00986F85" w14:paraId="08431885" w14:textId="77777777" w:rsidTr="00112C69">
        <w:trPr>
          <w:trHeight w:hRule="exact" w:val="227"/>
          <w:tblHeader/>
        </w:trPr>
        <w:tc>
          <w:tcPr>
            <w:tcW w:w="4977" w:type="dxa"/>
            <w:shd w:val="clear" w:color="auto" w:fill="auto"/>
            <w:noWrap/>
            <w:vAlign w:val="center"/>
          </w:tcPr>
          <w:p w14:paraId="09ACEF4A" w14:textId="77777777" w:rsidR="006972C5" w:rsidRPr="00986F85" w:rsidRDefault="006972C5" w:rsidP="00112C69">
            <w:pPr>
              <w:spacing w:after="0" w:line="360" w:lineRule="auto"/>
              <w:rPr>
                <w:sz w:val="20"/>
                <w:szCs w:val="20"/>
              </w:rPr>
            </w:pPr>
            <w:r w:rsidRPr="00986F85">
              <w:rPr>
                <w:sz w:val="20"/>
                <w:szCs w:val="20"/>
              </w:rPr>
              <w:t>Rövid lejáratú kötelezettségek</w:t>
            </w:r>
          </w:p>
        </w:tc>
        <w:tc>
          <w:tcPr>
            <w:tcW w:w="1417" w:type="dxa"/>
            <w:vAlign w:val="center"/>
          </w:tcPr>
          <w:p w14:paraId="4A649B2F" w14:textId="77777777" w:rsidR="006972C5" w:rsidRPr="00986F85" w:rsidRDefault="006972C5" w:rsidP="00112C69">
            <w:pPr>
              <w:spacing w:after="0" w:line="360" w:lineRule="auto"/>
              <w:jc w:val="center"/>
              <w:rPr>
                <w:sz w:val="20"/>
                <w:szCs w:val="20"/>
              </w:rPr>
            </w:pPr>
            <w:r w:rsidRPr="00986F85">
              <w:rPr>
                <w:sz w:val="20"/>
                <w:szCs w:val="20"/>
              </w:rPr>
              <w:t>1129-A-01/34</w:t>
            </w:r>
          </w:p>
        </w:tc>
        <w:tc>
          <w:tcPr>
            <w:tcW w:w="1276" w:type="dxa"/>
            <w:shd w:val="clear" w:color="auto" w:fill="D9D9D9"/>
            <w:vAlign w:val="center"/>
          </w:tcPr>
          <w:p w14:paraId="10A247D9" w14:textId="77777777" w:rsidR="006972C5" w:rsidRPr="00986F85" w:rsidRDefault="006972C5" w:rsidP="00112C69">
            <w:pPr>
              <w:spacing w:after="0" w:line="360" w:lineRule="auto"/>
              <w:jc w:val="center"/>
              <w:rPr>
                <w:sz w:val="20"/>
                <w:szCs w:val="20"/>
              </w:rPr>
            </w:pPr>
            <w:r w:rsidRPr="00986F85">
              <w:rPr>
                <w:sz w:val="20"/>
                <w:szCs w:val="20"/>
              </w:rPr>
              <w:t>igen</w:t>
            </w:r>
          </w:p>
        </w:tc>
        <w:tc>
          <w:tcPr>
            <w:tcW w:w="1276" w:type="dxa"/>
            <w:shd w:val="clear" w:color="auto" w:fill="D9D9D9"/>
            <w:vAlign w:val="center"/>
          </w:tcPr>
          <w:p w14:paraId="3CAB0748" w14:textId="77777777" w:rsidR="006972C5" w:rsidRPr="00986F85" w:rsidRDefault="006972C5" w:rsidP="00112C69">
            <w:pPr>
              <w:spacing w:after="0" w:line="360" w:lineRule="auto"/>
              <w:jc w:val="center"/>
              <w:rPr>
                <w:sz w:val="20"/>
                <w:szCs w:val="20"/>
              </w:rPr>
            </w:pPr>
            <w:r w:rsidRPr="00986F85">
              <w:rPr>
                <w:sz w:val="20"/>
                <w:szCs w:val="20"/>
              </w:rPr>
              <w:t>nincs</w:t>
            </w:r>
          </w:p>
        </w:tc>
      </w:tr>
      <w:tr w:rsidR="006972C5" w:rsidRPr="00986F85" w14:paraId="328D5326" w14:textId="77777777" w:rsidTr="00112C69">
        <w:trPr>
          <w:trHeight w:hRule="exact" w:val="227"/>
          <w:tblHeader/>
        </w:trPr>
        <w:tc>
          <w:tcPr>
            <w:tcW w:w="4977" w:type="dxa"/>
            <w:shd w:val="clear" w:color="auto" w:fill="auto"/>
            <w:noWrap/>
            <w:vAlign w:val="center"/>
          </w:tcPr>
          <w:p w14:paraId="1110651C" w14:textId="77777777" w:rsidR="006972C5" w:rsidRPr="00986F85" w:rsidRDefault="006972C5" w:rsidP="00112C69">
            <w:pPr>
              <w:spacing w:after="0" w:line="360" w:lineRule="auto"/>
              <w:rPr>
                <w:sz w:val="20"/>
                <w:szCs w:val="20"/>
              </w:rPr>
            </w:pPr>
          </w:p>
        </w:tc>
        <w:tc>
          <w:tcPr>
            <w:tcW w:w="1417" w:type="dxa"/>
            <w:vAlign w:val="center"/>
          </w:tcPr>
          <w:p w14:paraId="3D039EE4" w14:textId="77777777" w:rsidR="006972C5" w:rsidRPr="00986F85" w:rsidRDefault="006972C5" w:rsidP="00112C69">
            <w:pPr>
              <w:spacing w:after="0" w:line="360" w:lineRule="auto"/>
              <w:jc w:val="center"/>
              <w:rPr>
                <w:sz w:val="20"/>
                <w:szCs w:val="20"/>
              </w:rPr>
            </w:pPr>
          </w:p>
        </w:tc>
        <w:tc>
          <w:tcPr>
            <w:tcW w:w="1276" w:type="dxa"/>
            <w:shd w:val="clear" w:color="auto" w:fill="D9D9D9"/>
            <w:vAlign w:val="center"/>
          </w:tcPr>
          <w:p w14:paraId="4EF361C0" w14:textId="77777777" w:rsidR="006972C5" w:rsidRPr="00986F85" w:rsidRDefault="006972C5" w:rsidP="00112C69">
            <w:pPr>
              <w:spacing w:after="0" w:line="360" w:lineRule="auto"/>
              <w:jc w:val="center"/>
              <w:rPr>
                <w:sz w:val="20"/>
                <w:szCs w:val="20"/>
              </w:rPr>
            </w:pPr>
          </w:p>
        </w:tc>
        <w:tc>
          <w:tcPr>
            <w:tcW w:w="1276" w:type="dxa"/>
            <w:shd w:val="clear" w:color="auto" w:fill="D9D9D9"/>
            <w:vAlign w:val="center"/>
          </w:tcPr>
          <w:p w14:paraId="69F9E32E" w14:textId="77777777" w:rsidR="006972C5" w:rsidRPr="00986F85" w:rsidRDefault="006972C5" w:rsidP="00112C69">
            <w:pPr>
              <w:spacing w:after="0" w:line="360" w:lineRule="auto"/>
              <w:jc w:val="center"/>
              <w:rPr>
                <w:sz w:val="20"/>
                <w:szCs w:val="20"/>
              </w:rPr>
            </w:pPr>
          </w:p>
        </w:tc>
      </w:tr>
      <w:tr w:rsidR="006972C5" w:rsidRPr="00986F85" w14:paraId="460950BC" w14:textId="77777777" w:rsidTr="00112C69">
        <w:trPr>
          <w:trHeight w:hRule="exact" w:val="227"/>
          <w:tblHeader/>
        </w:trPr>
        <w:tc>
          <w:tcPr>
            <w:tcW w:w="4977" w:type="dxa"/>
            <w:shd w:val="clear" w:color="auto" w:fill="auto"/>
            <w:noWrap/>
            <w:vAlign w:val="center"/>
          </w:tcPr>
          <w:p w14:paraId="72BBA0CF" w14:textId="77777777" w:rsidR="006972C5" w:rsidRPr="00986F85" w:rsidRDefault="006972C5" w:rsidP="00112C69">
            <w:pPr>
              <w:spacing w:after="0" w:line="360" w:lineRule="auto"/>
              <w:rPr>
                <w:b/>
                <w:sz w:val="20"/>
                <w:szCs w:val="20"/>
              </w:rPr>
            </w:pPr>
            <w:r w:rsidRPr="00986F85">
              <w:rPr>
                <w:b/>
                <w:sz w:val="20"/>
                <w:szCs w:val="20"/>
              </w:rPr>
              <w:t>Eredménykimutatásból</w:t>
            </w:r>
          </w:p>
        </w:tc>
        <w:tc>
          <w:tcPr>
            <w:tcW w:w="1417" w:type="dxa"/>
            <w:vAlign w:val="center"/>
          </w:tcPr>
          <w:p w14:paraId="23151465" w14:textId="77777777" w:rsidR="006972C5" w:rsidRPr="00986F85" w:rsidRDefault="006972C5" w:rsidP="00112C69">
            <w:pPr>
              <w:spacing w:after="0" w:line="360" w:lineRule="auto"/>
              <w:jc w:val="center"/>
              <w:rPr>
                <w:b/>
                <w:sz w:val="20"/>
                <w:szCs w:val="20"/>
              </w:rPr>
            </w:pPr>
            <w:r w:rsidRPr="00986F85">
              <w:rPr>
                <w:b/>
                <w:sz w:val="20"/>
                <w:szCs w:val="20"/>
              </w:rPr>
              <w:t>1129-07-01</w:t>
            </w:r>
          </w:p>
        </w:tc>
        <w:tc>
          <w:tcPr>
            <w:tcW w:w="1276" w:type="dxa"/>
            <w:shd w:val="clear" w:color="auto" w:fill="D9D9D9"/>
            <w:vAlign w:val="center"/>
          </w:tcPr>
          <w:p w14:paraId="7ABC2F72" w14:textId="77777777" w:rsidR="006972C5" w:rsidRPr="00986F85" w:rsidRDefault="006972C5" w:rsidP="00112C69">
            <w:pPr>
              <w:spacing w:after="0" w:line="360" w:lineRule="auto"/>
              <w:jc w:val="center"/>
              <w:rPr>
                <w:b/>
                <w:sz w:val="20"/>
                <w:szCs w:val="20"/>
              </w:rPr>
            </w:pPr>
          </w:p>
        </w:tc>
        <w:tc>
          <w:tcPr>
            <w:tcW w:w="1276" w:type="dxa"/>
            <w:shd w:val="clear" w:color="auto" w:fill="D9D9D9"/>
            <w:vAlign w:val="center"/>
          </w:tcPr>
          <w:p w14:paraId="20751091" w14:textId="77777777" w:rsidR="006972C5" w:rsidRPr="00986F85" w:rsidRDefault="006972C5" w:rsidP="00112C69">
            <w:pPr>
              <w:spacing w:after="0" w:line="360" w:lineRule="auto"/>
              <w:jc w:val="center"/>
              <w:rPr>
                <w:b/>
                <w:sz w:val="20"/>
                <w:szCs w:val="20"/>
              </w:rPr>
            </w:pPr>
          </w:p>
        </w:tc>
      </w:tr>
      <w:tr w:rsidR="006972C5" w:rsidRPr="00986F85" w14:paraId="34685DCD" w14:textId="77777777" w:rsidTr="00112C69">
        <w:trPr>
          <w:trHeight w:hRule="exact" w:val="227"/>
          <w:tblHeader/>
        </w:trPr>
        <w:tc>
          <w:tcPr>
            <w:tcW w:w="4977" w:type="dxa"/>
            <w:shd w:val="clear" w:color="auto" w:fill="auto"/>
            <w:noWrap/>
            <w:vAlign w:val="center"/>
          </w:tcPr>
          <w:p w14:paraId="6E6B0FC4" w14:textId="77777777" w:rsidR="006972C5" w:rsidRPr="00986F85" w:rsidRDefault="006972C5" w:rsidP="00112C69">
            <w:pPr>
              <w:spacing w:after="0" w:line="360" w:lineRule="auto"/>
              <w:rPr>
                <w:sz w:val="20"/>
                <w:szCs w:val="20"/>
              </w:rPr>
            </w:pPr>
            <w:r w:rsidRPr="00986F85">
              <w:rPr>
                <w:sz w:val="20"/>
                <w:szCs w:val="20"/>
              </w:rPr>
              <w:t>Exportértékesítés nettó árbevétele</w:t>
            </w:r>
          </w:p>
        </w:tc>
        <w:tc>
          <w:tcPr>
            <w:tcW w:w="1417" w:type="dxa"/>
            <w:vAlign w:val="center"/>
          </w:tcPr>
          <w:p w14:paraId="1C48B962" w14:textId="77777777" w:rsidR="006972C5" w:rsidRPr="00986F85" w:rsidRDefault="006972C5" w:rsidP="00112C69">
            <w:pPr>
              <w:spacing w:after="0" w:line="360" w:lineRule="auto"/>
              <w:jc w:val="center"/>
              <w:rPr>
                <w:sz w:val="20"/>
                <w:szCs w:val="20"/>
              </w:rPr>
            </w:pPr>
            <w:r w:rsidRPr="00986F85">
              <w:rPr>
                <w:sz w:val="20"/>
                <w:szCs w:val="20"/>
              </w:rPr>
              <w:t>1129-07-01/02</w:t>
            </w:r>
          </w:p>
        </w:tc>
        <w:tc>
          <w:tcPr>
            <w:tcW w:w="1276" w:type="dxa"/>
            <w:shd w:val="clear" w:color="auto" w:fill="D9D9D9"/>
            <w:vAlign w:val="center"/>
          </w:tcPr>
          <w:p w14:paraId="2CFC9CB9" w14:textId="77777777" w:rsidR="006972C5" w:rsidRPr="00986F85" w:rsidRDefault="006972C5" w:rsidP="00112C69">
            <w:pPr>
              <w:spacing w:after="0" w:line="360" w:lineRule="auto"/>
              <w:jc w:val="center"/>
              <w:rPr>
                <w:sz w:val="20"/>
                <w:szCs w:val="20"/>
              </w:rPr>
            </w:pPr>
            <w:r w:rsidRPr="00986F85">
              <w:rPr>
                <w:sz w:val="20"/>
                <w:szCs w:val="20"/>
              </w:rPr>
              <w:t>igen</w:t>
            </w:r>
          </w:p>
        </w:tc>
        <w:tc>
          <w:tcPr>
            <w:tcW w:w="1276" w:type="dxa"/>
            <w:shd w:val="clear" w:color="auto" w:fill="D9D9D9"/>
            <w:vAlign w:val="center"/>
          </w:tcPr>
          <w:p w14:paraId="721540EB" w14:textId="77777777" w:rsidR="006972C5" w:rsidRPr="00986F85" w:rsidRDefault="006972C5" w:rsidP="00112C69">
            <w:pPr>
              <w:spacing w:after="0" w:line="360" w:lineRule="auto"/>
              <w:jc w:val="center"/>
              <w:rPr>
                <w:sz w:val="20"/>
                <w:szCs w:val="20"/>
              </w:rPr>
            </w:pPr>
            <w:r w:rsidRPr="00986F85">
              <w:rPr>
                <w:sz w:val="20"/>
                <w:szCs w:val="20"/>
              </w:rPr>
              <w:t>?</w:t>
            </w:r>
          </w:p>
        </w:tc>
      </w:tr>
      <w:tr w:rsidR="006972C5" w:rsidRPr="00986F85" w14:paraId="7003A2B9" w14:textId="77777777" w:rsidTr="00112C69">
        <w:trPr>
          <w:trHeight w:hRule="exact" w:val="227"/>
          <w:tblHeader/>
        </w:trPr>
        <w:tc>
          <w:tcPr>
            <w:tcW w:w="4977" w:type="dxa"/>
            <w:shd w:val="clear" w:color="auto" w:fill="auto"/>
            <w:noWrap/>
            <w:vAlign w:val="center"/>
          </w:tcPr>
          <w:p w14:paraId="22E340A4" w14:textId="77777777" w:rsidR="006972C5" w:rsidRPr="00986F85" w:rsidRDefault="006972C5" w:rsidP="00112C69">
            <w:pPr>
              <w:spacing w:after="0" w:line="360" w:lineRule="auto"/>
              <w:rPr>
                <w:sz w:val="20"/>
                <w:szCs w:val="20"/>
              </w:rPr>
            </w:pPr>
            <w:r w:rsidRPr="00986F85">
              <w:rPr>
                <w:sz w:val="20"/>
                <w:szCs w:val="20"/>
              </w:rPr>
              <w:t>Értékesítés nettó árbevétele összesen</w:t>
            </w:r>
          </w:p>
        </w:tc>
        <w:tc>
          <w:tcPr>
            <w:tcW w:w="1417" w:type="dxa"/>
            <w:vAlign w:val="center"/>
          </w:tcPr>
          <w:p w14:paraId="03338BC7" w14:textId="77777777" w:rsidR="006972C5" w:rsidRPr="00986F85" w:rsidRDefault="006972C5" w:rsidP="00112C69">
            <w:pPr>
              <w:spacing w:after="0" w:line="360" w:lineRule="auto"/>
              <w:jc w:val="center"/>
              <w:rPr>
                <w:sz w:val="20"/>
                <w:szCs w:val="20"/>
              </w:rPr>
            </w:pPr>
            <w:r w:rsidRPr="00986F85">
              <w:rPr>
                <w:sz w:val="20"/>
                <w:szCs w:val="20"/>
              </w:rPr>
              <w:t>1129-07-01/01</w:t>
            </w:r>
          </w:p>
        </w:tc>
        <w:tc>
          <w:tcPr>
            <w:tcW w:w="1276" w:type="dxa"/>
            <w:shd w:val="clear" w:color="auto" w:fill="D9D9D9"/>
            <w:vAlign w:val="center"/>
          </w:tcPr>
          <w:p w14:paraId="6B860D9C" w14:textId="77777777" w:rsidR="006972C5" w:rsidRPr="00986F85" w:rsidRDefault="006972C5" w:rsidP="00112C69">
            <w:pPr>
              <w:spacing w:after="0" w:line="360" w:lineRule="auto"/>
              <w:jc w:val="center"/>
              <w:rPr>
                <w:sz w:val="20"/>
                <w:szCs w:val="20"/>
              </w:rPr>
            </w:pPr>
            <w:r w:rsidRPr="00986F85">
              <w:rPr>
                <w:sz w:val="20"/>
                <w:szCs w:val="20"/>
              </w:rPr>
              <w:t>igen</w:t>
            </w:r>
          </w:p>
        </w:tc>
        <w:tc>
          <w:tcPr>
            <w:tcW w:w="1276" w:type="dxa"/>
            <w:shd w:val="clear" w:color="auto" w:fill="D9D9D9"/>
            <w:vAlign w:val="center"/>
          </w:tcPr>
          <w:p w14:paraId="10C4FBFC" w14:textId="77777777" w:rsidR="006972C5" w:rsidRPr="00986F85" w:rsidRDefault="006972C5" w:rsidP="00112C69">
            <w:pPr>
              <w:spacing w:after="0" w:line="360" w:lineRule="auto"/>
              <w:jc w:val="center"/>
              <w:rPr>
                <w:sz w:val="20"/>
                <w:szCs w:val="20"/>
              </w:rPr>
            </w:pPr>
            <w:r w:rsidRPr="00986F85">
              <w:rPr>
                <w:sz w:val="20"/>
                <w:szCs w:val="20"/>
              </w:rPr>
              <w:t>nincs</w:t>
            </w:r>
          </w:p>
        </w:tc>
      </w:tr>
      <w:tr w:rsidR="006972C5" w:rsidRPr="00986F85" w14:paraId="31C24816" w14:textId="77777777" w:rsidTr="00112C69">
        <w:trPr>
          <w:trHeight w:hRule="exact" w:val="227"/>
          <w:tblHeader/>
        </w:trPr>
        <w:tc>
          <w:tcPr>
            <w:tcW w:w="4977" w:type="dxa"/>
            <w:shd w:val="clear" w:color="auto" w:fill="auto"/>
            <w:noWrap/>
            <w:vAlign w:val="center"/>
          </w:tcPr>
          <w:p w14:paraId="56868B8A" w14:textId="77777777" w:rsidR="006972C5" w:rsidRPr="00986F85" w:rsidRDefault="006972C5" w:rsidP="00112C69">
            <w:pPr>
              <w:spacing w:after="0" w:line="360" w:lineRule="auto"/>
              <w:rPr>
                <w:sz w:val="20"/>
                <w:szCs w:val="20"/>
              </w:rPr>
            </w:pPr>
            <w:r w:rsidRPr="00986F85">
              <w:rPr>
                <w:sz w:val="20"/>
                <w:szCs w:val="20"/>
              </w:rPr>
              <w:t>Anyagköltség</w:t>
            </w:r>
          </w:p>
        </w:tc>
        <w:tc>
          <w:tcPr>
            <w:tcW w:w="1417" w:type="dxa"/>
            <w:vAlign w:val="center"/>
          </w:tcPr>
          <w:p w14:paraId="02A4228D" w14:textId="77777777" w:rsidR="006972C5" w:rsidRPr="00986F85" w:rsidRDefault="006972C5" w:rsidP="00112C69">
            <w:pPr>
              <w:spacing w:after="0" w:line="360" w:lineRule="auto"/>
              <w:jc w:val="center"/>
              <w:rPr>
                <w:sz w:val="20"/>
                <w:szCs w:val="20"/>
              </w:rPr>
            </w:pPr>
            <w:r w:rsidRPr="00986F85">
              <w:rPr>
                <w:sz w:val="20"/>
                <w:szCs w:val="20"/>
              </w:rPr>
              <w:t>1129-07-01/07</w:t>
            </w:r>
          </w:p>
        </w:tc>
        <w:tc>
          <w:tcPr>
            <w:tcW w:w="1276" w:type="dxa"/>
            <w:shd w:val="clear" w:color="auto" w:fill="D9D9D9"/>
            <w:vAlign w:val="center"/>
          </w:tcPr>
          <w:p w14:paraId="6DCE2089" w14:textId="77777777" w:rsidR="006972C5" w:rsidRPr="00986F85" w:rsidRDefault="006972C5" w:rsidP="00112C69">
            <w:pPr>
              <w:spacing w:after="0" w:line="360" w:lineRule="auto"/>
              <w:jc w:val="center"/>
              <w:rPr>
                <w:sz w:val="20"/>
                <w:szCs w:val="20"/>
              </w:rPr>
            </w:pPr>
            <w:r w:rsidRPr="00986F85">
              <w:rPr>
                <w:sz w:val="20"/>
                <w:szCs w:val="20"/>
              </w:rPr>
              <w:t>igen</w:t>
            </w:r>
          </w:p>
        </w:tc>
        <w:tc>
          <w:tcPr>
            <w:tcW w:w="1276" w:type="dxa"/>
            <w:shd w:val="clear" w:color="auto" w:fill="D9D9D9"/>
            <w:vAlign w:val="center"/>
          </w:tcPr>
          <w:p w14:paraId="17C31326" w14:textId="77777777" w:rsidR="006972C5" w:rsidRPr="00986F85" w:rsidRDefault="006972C5" w:rsidP="00112C69">
            <w:pPr>
              <w:spacing w:after="0" w:line="360" w:lineRule="auto"/>
              <w:jc w:val="center"/>
              <w:rPr>
                <w:sz w:val="20"/>
                <w:szCs w:val="20"/>
              </w:rPr>
            </w:pPr>
            <w:r w:rsidRPr="00986F85">
              <w:rPr>
                <w:sz w:val="20"/>
                <w:szCs w:val="20"/>
              </w:rPr>
              <w:t>nincs</w:t>
            </w:r>
          </w:p>
        </w:tc>
      </w:tr>
      <w:tr w:rsidR="006972C5" w:rsidRPr="00986F85" w14:paraId="68D2D0E6" w14:textId="77777777" w:rsidTr="00112C69">
        <w:trPr>
          <w:trHeight w:hRule="exact" w:val="227"/>
          <w:tblHeader/>
        </w:trPr>
        <w:tc>
          <w:tcPr>
            <w:tcW w:w="4977" w:type="dxa"/>
            <w:shd w:val="clear" w:color="auto" w:fill="auto"/>
            <w:noWrap/>
            <w:vAlign w:val="center"/>
          </w:tcPr>
          <w:p w14:paraId="05543F13" w14:textId="77777777" w:rsidR="006972C5" w:rsidRPr="00986F85" w:rsidRDefault="006972C5" w:rsidP="00112C69">
            <w:pPr>
              <w:spacing w:after="0" w:line="360" w:lineRule="auto"/>
              <w:rPr>
                <w:sz w:val="20"/>
                <w:szCs w:val="20"/>
              </w:rPr>
            </w:pPr>
            <w:r w:rsidRPr="00986F85">
              <w:rPr>
                <w:sz w:val="20"/>
                <w:szCs w:val="20"/>
              </w:rPr>
              <w:t>Anyagjellegű ráfordítások összesen</w:t>
            </w:r>
          </w:p>
        </w:tc>
        <w:tc>
          <w:tcPr>
            <w:tcW w:w="1417" w:type="dxa"/>
            <w:vAlign w:val="center"/>
          </w:tcPr>
          <w:p w14:paraId="0C046F88" w14:textId="77777777" w:rsidR="006972C5" w:rsidRPr="00986F85" w:rsidRDefault="006972C5" w:rsidP="00112C69">
            <w:pPr>
              <w:spacing w:after="0" w:line="360" w:lineRule="auto"/>
              <w:jc w:val="center"/>
              <w:rPr>
                <w:sz w:val="20"/>
                <w:szCs w:val="20"/>
              </w:rPr>
            </w:pPr>
            <w:r w:rsidRPr="00986F85">
              <w:rPr>
                <w:sz w:val="20"/>
                <w:szCs w:val="20"/>
              </w:rPr>
              <w:t>1129-07-01/06</w:t>
            </w:r>
          </w:p>
        </w:tc>
        <w:tc>
          <w:tcPr>
            <w:tcW w:w="1276" w:type="dxa"/>
            <w:shd w:val="clear" w:color="auto" w:fill="D9D9D9"/>
            <w:vAlign w:val="center"/>
          </w:tcPr>
          <w:p w14:paraId="21376DA7" w14:textId="77777777" w:rsidR="006972C5" w:rsidRPr="00986F85" w:rsidRDefault="006972C5" w:rsidP="00112C69">
            <w:pPr>
              <w:spacing w:after="0" w:line="360" w:lineRule="auto"/>
              <w:jc w:val="center"/>
              <w:rPr>
                <w:sz w:val="20"/>
                <w:szCs w:val="20"/>
              </w:rPr>
            </w:pPr>
            <w:r w:rsidRPr="00986F85">
              <w:rPr>
                <w:sz w:val="20"/>
                <w:szCs w:val="20"/>
              </w:rPr>
              <w:t>igen</w:t>
            </w:r>
          </w:p>
        </w:tc>
        <w:tc>
          <w:tcPr>
            <w:tcW w:w="1276" w:type="dxa"/>
            <w:shd w:val="clear" w:color="auto" w:fill="D9D9D9"/>
            <w:vAlign w:val="center"/>
          </w:tcPr>
          <w:p w14:paraId="667670D0" w14:textId="77777777" w:rsidR="006972C5" w:rsidRPr="00986F85" w:rsidRDefault="006972C5" w:rsidP="00112C69">
            <w:pPr>
              <w:spacing w:after="0" w:line="360" w:lineRule="auto"/>
              <w:jc w:val="center"/>
              <w:rPr>
                <w:sz w:val="20"/>
                <w:szCs w:val="20"/>
              </w:rPr>
            </w:pPr>
            <w:r w:rsidRPr="00986F85">
              <w:rPr>
                <w:sz w:val="20"/>
                <w:szCs w:val="20"/>
              </w:rPr>
              <w:t>nincs</w:t>
            </w:r>
          </w:p>
        </w:tc>
      </w:tr>
      <w:tr w:rsidR="006972C5" w:rsidRPr="00986F85" w14:paraId="63417406" w14:textId="77777777" w:rsidTr="00112C69">
        <w:trPr>
          <w:trHeight w:hRule="exact" w:val="227"/>
          <w:tblHeader/>
        </w:trPr>
        <w:tc>
          <w:tcPr>
            <w:tcW w:w="4977" w:type="dxa"/>
            <w:shd w:val="clear" w:color="auto" w:fill="auto"/>
            <w:noWrap/>
            <w:vAlign w:val="center"/>
          </w:tcPr>
          <w:p w14:paraId="7AA4F2A0" w14:textId="77777777" w:rsidR="006972C5" w:rsidRPr="00986F85" w:rsidRDefault="006972C5" w:rsidP="00112C69">
            <w:pPr>
              <w:spacing w:after="0" w:line="360" w:lineRule="auto"/>
              <w:rPr>
                <w:sz w:val="20"/>
                <w:szCs w:val="20"/>
              </w:rPr>
            </w:pPr>
            <w:r w:rsidRPr="00986F85">
              <w:rPr>
                <w:sz w:val="20"/>
                <w:szCs w:val="20"/>
              </w:rPr>
              <w:t>Személyi jellegű ráfordítások összesen</w:t>
            </w:r>
          </w:p>
        </w:tc>
        <w:tc>
          <w:tcPr>
            <w:tcW w:w="1417" w:type="dxa"/>
            <w:vAlign w:val="center"/>
          </w:tcPr>
          <w:p w14:paraId="24FCD39F" w14:textId="77777777" w:rsidR="006972C5" w:rsidRPr="00986F85" w:rsidRDefault="006972C5" w:rsidP="00112C69">
            <w:pPr>
              <w:spacing w:after="0" w:line="360" w:lineRule="auto"/>
              <w:jc w:val="center"/>
              <w:rPr>
                <w:sz w:val="20"/>
                <w:szCs w:val="20"/>
              </w:rPr>
            </w:pPr>
            <w:r w:rsidRPr="00986F85">
              <w:rPr>
                <w:sz w:val="20"/>
                <w:szCs w:val="20"/>
              </w:rPr>
              <w:t>1129-07-01/14</w:t>
            </w:r>
          </w:p>
        </w:tc>
        <w:tc>
          <w:tcPr>
            <w:tcW w:w="1276" w:type="dxa"/>
            <w:shd w:val="clear" w:color="auto" w:fill="D9D9D9"/>
            <w:vAlign w:val="center"/>
          </w:tcPr>
          <w:p w14:paraId="124F3908" w14:textId="77777777" w:rsidR="006972C5" w:rsidRPr="00986F85" w:rsidRDefault="006972C5" w:rsidP="00112C69">
            <w:pPr>
              <w:spacing w:after="0" w:line="360" w:lineRule="auto"/>
              <w:jc w:val="center"/>
              <w:rPr>
                <w:sz w:val="20"/>
                <w:szCs w:val="20"/>
              </w:rPr>
            </w:pPr>
            <w:r w:rsidRPr="00986F85">
              <w:rPr>
                <w:sz w:val="20"/>
                <w:szCs w:val="20"/>
              </w:rPr>
              <w:t>igen</w:t>
            </w:r>
          </w:p>
        </w:tc>
        <w:tc>
          <w:tcPr>
            <w:tcW w:w="1276" w:type="dxa"/>
            <w:shd w:val="clear" w:color="auto" w:fill="D9D9D9"/>
            <w:vAlign w:val="center"/>
          </w:tcPr>
          <w:p w14:paraId="044B9937" w14:textId="77777777" w:rsidR="006972C5" w:rsidRPr="00986F85" w:rsidRDefault="006972C5" w:rsidP="00112C69">
            <w:pPr>
              <w:spacing w:after="0" w:line="360" w:lineRule="auto"/>
              <w:jc w:val="center"/>
              <w:rPr>
                <w:sz w:val="20"/>
                <w:szCs w:val="20"/>
              </w:rPr>
            </w:pPr>
            <w:r w:rsidRPr="00986F85">
              <w:rPr>
                <w:sz w:val="20"/>
                <w:szCs w:val="20"/>
              </w:rPr>
              <w:t>nincs</w:t>
            </w:r>
          </w:p>
        </w:tc>
      </w:tr>
      <w:tr w:rsidR="006972C5" w:rsidRPr="00986F85" w14:paraId="66051056" w14:textId="77777777" w:rsidTr="00112C69">
        <w:trPr>
          <w:trHeight w:hRule="exact" w:val="227"/>
          <w:tblHeader/>
        </w:trPr>
        <w:tc>
          <w:tcPr>
            <w:tcW w:w="4977" w:type="dxa"/>
            <w:shd w:val="clear" w:color="auto" w:fill="auto"/>
            <w:noWrap/>
            <w:vAlign w:val="center"/>
          </w:tcPr>
          <w:p w14:paraId="610CE7FD" w14:textId="77777777" w:rsidR="006972C5" w:rsidRPr="00986F85" w:rsidRDefault="006972C5" w:rsidP="00112C69">
            <w:pPr>
              <w:spacing w:after="0" w:line="360" w:lineRule="auto"/>
              <w:rPr>
                <w:sz w:val="20"/>
                <w:szCs w:val="20"/>
              </w:rPr>
            </w:pPr>
            <w:r w:rsidRPr="00986F85">
              <w:rPr>
                <w:sz w:val="20"/>
                <w:szCs w:val="20"/>
              </w:rPr>
              <w:t>Értékcsökkenési leírás</w:t>
            </w:r>
          </w:p>
        </w:tc>
        <w:tc>
          <w:tcPr>
            <w:tcW w:w="1417" w:type="dxa"/>
            <w:vAlign w:val="center"/>
          </w:tcPr>
          <w:p w14:paraId="472CBEA2" w14:textId="77777777" w:rsidR="006972C5" w:rsidRPr="00986F85" w:rsidRDefault="006972C5" w:rsidP="00112C69">
            <w:pPr>
              <w:spacing w:after="0" w:line="360" w:lineRule="auto"/>
              <w:jc w:val="center"/>
              <w:rPr>
                <w:sz w:val="20"/>
                <w:szCs w:val="20"/>
              </w:rPr>
            </w:pPr>
            <w:r w:rsidRPr="00986F85">
              <w:rPr>
                <w:sz w:val="20"/>
                <w:szCs w:val="20"/>
              </w:rPr>
              <w:t>1129-07-01/18</w:t>
            </w:r>
          </w:p>
        </w:tc>
        <w:tc>
          <w:tcPr>
            <w:tcW w:w="1276" w:type="dxa"/>
            <w:shd w:val="clear" w:color="auto" w:fill="D9D9D9"/>
            <w:vAlign w:val="center"/>
          </w:tcPr>
          <w:p w14:paraId="1A9A3202" w14:textId="77777777" w:rsidR="006972C5" w:rsidRPr="00986F85" w:rsidRDefault="006972C5" w:rsidP="00112C69">
            <w:pPr>
              <w:spacing w:after="0" w:line="360" w:lineRule="auto"/>
              <w:jc w:val="center"/>
              <w:rPr>
                <w:sz w:val="20"/>
                <w:szCs w:val="20"/>
              </w:rPr>
            </w:pPr>
            <w:r w:rsidRPr="00986F85">
              <w:rPr>
                <w:sz w:val="20"/>
                <w:szCs w:val="20"/>
              </w:rPr>
              <w:t>igen</w:t>
            </w:r>
          </w:p>
        </w:tc>
        <w:tc>
          <w:tcPr>
            <w:tcW w:w="1276" w:type="dxa"/>
            <w:shd w:val="clear" w:color="auto" w:fill="D9D9D9"/>
            <w:vAlign w:val="center"/>
          </w:tcPr>
          <w:p w14:paraId="287D3272" w14:textId="77777777" w:rsidR="006972C5" w:rsidRPr="00986F85" w:rsidRDefault="006972C5" w:rsidP="00112C69">
            <w:pPr>
              <w:spacing w:after="0" w:line="360" w:lineRule="auto"/>
              <w:jc w:val="center"/>
              <w:rPr>
                <w:sz w:val="20"/>
                <w:szCs w:val="20"/>
              </w:rPr>
            </w:pPr>
            <w:r w:rsidRPr="00986F85">
              <w:rPr>
                <w:sz w:val="20"/>
                <w:szCs w:val="20"/>
              </w:rPr>
              <w:t>nincs</w:t>
            </w:r>
          </w:p>
        </w:tc>
      </w:tr>
      <w:tr w:rsidR="006972C5" w:rsidRPr="00986F85" w14:paraId="018F9D9F" w14:textId="77777777" w:rsidTr="00112C69">
        <w:trPr>
          <w:trHeight w:hRule="exact" w:val="227"/>
          <w:tblHeader/>
        </w:trPr>
        <w:tc>
          <w:tcPr>
            <w:tcW w:w="4977" w:type="dxa"/>
            <w:shd w:val="clear" w:color="auto" w:fill="auto"/>
            <w:noWrap/>
            <w:vAlign w:val="center"/>
          </w:tcPr>
          <w:p w14:paraId="6B5093AC" w14:textId="77777777" w:rsidR="006972C5" w:rsidRPr="00986F85" w:rsidRDefault="006972C5" w:rsidP="00112C69">
            <w:pPr>
              <w:spacing w:after="0" w:line="360" w:lineRule="auto"/>
              <w:rPr>
                <w:sz w:val="20"/>
                <w:szCs w:val="20"/>
              </w:rPr>
            </w:pPr>
            <w:r w:rsidRPr="00986F85">
              <w:rPr>
                <w:sz w:val="20"/>
                <w:szCs w:val="20"/>
              </w:rPr>
              <w:t>Üzemi (üzleti) tevékenység eredménye</w:t>
            </w:r>
          </w:p>
        </w:tc>
        <w:tc>
          <w:tcPr>
            <w:tcW w:w="1417" w:type="dxa"/>
            <w:vAlign w:val="center"/>
          </w:tcPr>
          <w:p w14:paraId="0D3E24EC" w14:textId="77777777" w:rsidR="006972C5" w:rsidRPr="00986F85" w:rsidRDefault="006972C5" w:rsidP="00112C69">
            <w:pPr>
              <w:spacing w:after="0" w:line="360" w:lineRule="auto"/>
              <w:jc w:val="center"/>
              <w:rPr>
                <w:sz w:val="20"/>
                <w:szCs w:val="20"/>
              </w:rPr>
            </w:pPr>
            <w:r w:rsidRPr="00986F85">
              <w:rPr>
                <w:sz w:val="20"/>
                <w:szCs w:val="20"/>
              </w:rPr>
              <w:t>1129-07-01/26</w:t>
            </w:r>
          </w:p>
        </w:tc>
        <w:tc>
          <w:tcPr>
            <w:tcW w:w="1276" w:type="dxa"/>
            <w:shd w:val="clear" w:color="auto" w:fill="D9D9D9"/>
            <w:vAlign w:val="center"/>
          </w:tcPr>
          <w:p w14:paraId="241B39E4" w14:textId="77777777" w:rsidR="006972C5" w:rsidRPr="00986F85" w:rsidRDefault="006972C5" w:rsidP="00112C69">
            <w:pPr>
              <w:spacing w:after="0" w:line="360" w:lineRule="auto"/>
              <w:jc w:val="center"/>
              <w:rPr>
                <w:sz w:val="20"/>
                <w:szCs w:val="20"/>
              </w:rPr>
            </w:pPr>
            <w:r w:rsidRPr="00986F85">
              <w:rPr>
                <w:sz w:val="20"/>
                <w:szCs w:val="20"/>
              </w:rPr>
              <w:t>igen</w:t>
            </w:r>
          </w:p>
          <w:p w14:paraId="4388B698" w14:textId="77777777" w:rsidR="006972C5" w:rsidRPr="00986F85" w:rsidRDefault="006972C5" w:rsidP="00112C69">
            <w:pPr>
              <w:spacing w:after="0" w:line="360" w:lineRule="auto"/>
              <w:jc w:val="center"/>
              <w:rPr>
                <w:sz w:val="20"/>
                <w:szCs w:val="20"/>
              </w:rPr>
            </w:pPr>
          </w:p>
        </w:tc>
        <w:tc>
          <w:tcPr>
            <w:tcW w:w="1276" w:type="dxa"/>
            <w:shd w:val="clear" w:color="auto" w:fill="D9D9D9"/>
            <w:vAlign w:val="center"/>
          </w:tcPr>
          <w:p w14:paraId="6ED1CC18" w14:textId="77777777" w:rsidR="006972C5" w:rsidRPr="00986F85" w:rsidRDefault="006972C5" w:rsidP="00112C69">
            <w:pPr>
              <w:spacing w:after="0" w:line="360" w:lineRule="auto"/>
              <w:jc w:val="center"/>
              <w:rPr>
                <w:sz w:val="20"/>
                <w:szCs w:val="20"/>
              </w:rPr>
            </w:pPr>
            <w:r w:rsidRPr="00986F85">
              <w:rPr>
                <w:sz w:val="20"/>
                <w:szCs w:val="20"/>
              </w:rPr>
              <w:t>nincs</w:t>
            </w:r>
          </w:p>
        </w:tc>
      </w:tr>
      <w:tr w:rsidR="006972C5" w:rsidRPr="00986F85" w14:paraId="424FFBD8" w14:textId="77777777" w:rsidTr="00112C69">
        <w:trPr>
          <w:trHeight w:hRule="exact" w:val="227"/>
          <w:tblHeader/>
        </w:trPr>
        <w:tc>
          <w:tcPr>
            <w:tcW w:w="4977" w:type="dxa"/>
            <w:shd w:val="clear" w:color="auto" w:fill="auto"/>
            <w:noWrap/>
            <w:vAlign w:val="center"/>
          </w:tcPr>
          <w:p w14:paraId="7D9E9BA0" w14:textId="77777777" w:rsidR="006972C5" w:rsidRPr="00986F85" w:rsidRDefault="006972C5" w:rsidP="00112C69">
            <w:pPr>
              <w:spacing w:after="0" w:line="360" w:lineRule="auto"/>
              <w:rPr>
                <w:sz w:val="20"/>
                <w:szCs w:val="20"/>
              </w:rPr>
            </w:pPr>
            <w:r w:rsidRPr="00986F85">
              <w:rPr>
                <w:sz w:val="20"/>
                <w:szCs w:val="20"/>
              </w:rPr>
              <w:t>Fizetendő kamat és kamat jellegű ráfordítások</w:t>
            </w:r>
          </w:p>
          <w:p w14:paraId="48C5322D" w14:textId="77777777" w:rsidR="006972C5" w:rsidRPr="00986F85" w:rsidRDefault="006972C5" w:rsidP="00112C69">
            <w:pPr>
              <w:pStyle w:val="LightGrid-Accent31"/>
              <w:numPr>
                <w:ilvl w:val="0"/>
                <w:numId w:val="31"/>
              </w:numPr>
              <w:spacing w:line="360" w:lineRule="auto"/>
              <w:rPr>
                <w:rFonts w:ascii="Myriad Pro" w:hAnsi="Myriad Pro"/>
                <w:sz w:val="20"/>
                <w:szCs w:val="20"/>
              </w:rPr>
            </w:pPr>
            <w:r w:rsidRPr="00986F85">
              <w:rPr>
                <w:rFonts w:ascii="Myriad Pro" w:hAnsi="Myriad Pro"/>
                <w:sz w:val="20"/>
                <w:szCs w:val="20"/>
              </w:rPr>
              <w:t>nem magánszemélynek</w:t>
            </w:r>
          </w:p>
          <w:p w14:paraId="5022C0B0" w14:textId="77777777" w:rsidR="006972C5" w:rsidRPr="00986F85" w:rsidRDefault="006972C5" w:rsidP="00112C69">
            <w:pPr>
              <w:pStyle w:val="LightGrid-Accent31"/>
              <w:numPr>
                <w:ilvl w:val="0"/>
                <w:numId w:val="31"/>
              </w:numPr>
              <w:spacing w:line="360" w:lineRule="auto"/>
              <w:rPr>
                <w:rFonts w:ascii="Myriad Pro" w:hAnsi="Myriad Pro"/>
                <w:sz w:val="20"/>
                <w:szCs w:val="20"/>
              </w:rPr>
            </w:pPr>
            <w:r w:rsidRPr="00986F85">
              <w:rPr>
                <w:rFonts w:ascii="Myriad Pro" w:hAnsi="Myriad Pro"/>
                <w:sz w:val="20"/>
                <w:szCs w:val="20"/>
              </w:rPr>
              <w:t>magánszemélynek</w:t>
            </w:r>
          </w:p>
        </w:tc>
        <w:tc>
          <w:tcPr>
            <w:tcW w:w="1417" w:type="dxa"/>
            <w:vAlign w:val="center"/>
          </w:tcPr>
          <w:p w14:paraId="6046FFB2" w14:textId="77777777" w:rsidR="006972C5" w:rsidRPr="00986F85" w:rsidRDefault="006972C5" w:rsidP="00112C69">
            <w:pPr>
              <w:spacing w:after="0" w:line="360" w:lineRule="auto"/>
              <w:jc w:val="center"/>
              <w:rPr>
                <w:sz w:val="20"/>
                <w:szCs w:val="20"/>
              </w:rPr>
            </w:pPr>
          </w:p>
          <w:p w14:paraId="1ECC2EC0" w14:textId="77777777" w:rsidR="006972C5" w:rsidRPr="00986F85" w:rsidRDefault="006972C5" w:rsidP="00112C69">
            <w:pPr>
              <w:spacing w:after="0" w:line="360" w:lineRule="auto"/>
              <w:jc w:val="center"/>
              <w:rPr>
                <w:sz w:val="20"/>
                <w:szCs w:val="20"/>
              </w:rPr>
            </w:pPr>
            <w:r w:rsidRPr="00986F85">
              <w:rPr>
                <w:sz w:val="20"/>
                <w:szCs w:val="20"/>
              </w:rPr>
              <w:t>1129-07-02/35</w:t>
            </w:r>
          </w:p>
          <w:p w14:paraId="1A2A427C" w14:textId="77777777" w:rsidR="006972C5" w:rsidRPr="00986F85" w:rsidRDefault="006972C5" w:rsidP="00112C69">
            <w:pPr>
              <w:spacing w:after="0" w:line="360" w:lineRule="auto"/>
              <w:jc w:val="center"/>
              <w:rPr>
                <w:sz w:val="20"/>
                <w:szCs w:val="20"/>
              </w:rPr>
            </w:pPr>
            <w:r w:rsidRPr="00986F85">
              <w:rPr>
                <w:sz w:val="20"/>
                <w:szCs w:val="20"/>
              </w:rPr>
              <w:t>/36</w:t>
            </w:r>
          </w:p>
        </w:tc>
        <w:tc>
          <w:tcPr>
            <w:tcW w:w="1276" w:type="dxa"/>
            <w:shd w:val="clear" w:color="auto" w:fill="D9D9D9"/>
            <w:vAlign w:val="center"/>
          </w:tcPr>
          <w:p w14:paraId="62455481" w14:textId="77777777" w:rsidR="006972C5" w:rsidRPr="00986F85" w:rsidRDefault="006972C5" w:rsidP="00112C69">
            <w:pPr>
              <w:spacing w:after="0" w:line="360" w:lineRule="auto"/>
              <w:jc w:val="center"/>
              <w:rPr>
                <w:sz w:val="20"/>
                <w:szCs w:val="20"/>
              </w:rPr>
            </w:pPr>
            <w:r w:rsidRPr="00986F85">
              <w:rPr>
                <w:sz w:val="20"/>
                <w:szCs w:val="20"/>
              </w:rPr>
              <w:t>igen</w:t>
            </w:r>
          </w:p>
        </w:tc>
        <w:tc>
          <w:tcPr>
            <w:tcW w:w="1276" w:type="dxa"/>
            <w:shd w:val="clear" w:color="auto" w:fill="D9D9D9"/>
            <w:vAlign w:val="center"/>
          </w:tcPr>
          <w:p w14:paraId="18C7C151" w14:textId="77777777" w:rsidR="006972C5" w:rsidRPr="00986F85" w:rsidRDefault="006972C5" w:rsidP="00112C69">
            <w:pPr>
              <w:spacing w:after="0" w:line="360" w:lineRule="auto"/>
              <w:jc w:val="center"/>
              <w:rPr>
                <w:sz w:val="20"/>
                <w:szCs w:val="20"/>
              </w:rPr>
            </w:pPr>
            <w:r w:rsidRPr="00986F85">
              <w:rPr>
                <w:sz w:val="20"/>
                <w:szCs w:val="20"/>
              </w:rPr>
              <w:t>?</w:t>
            </w:r>
          </w:p>
        </w:tc>
      </w:tr>
      <w:tr w:rsidR="006972C5" w:rsidRPr="00986F85" w14:paraId="60D819F1" w14:textId="77777777" w:rsidTr="00112C69">
        <w:trPr>
          <w:trHeight w:hRule="exact" w:val="227"/>
          <w:tblHeader/>
        </w:trPr>
        <w:tc>
          <w:tcPr>
            <w:tcW w:w="4977" w:type="dxa"/>
            <w:shd w:val="clear" w:color="auto" w:fill="auto"/>
            <w:noWrap/>
            <w:vAlign w:val="center"/>
          </w:tcPr>
          <w:p w14:paraId="117D68E2" w14:textId="77777777" w:rsidR="006972C5" w:rsidRPr="00986F85" w:rsidRDefault="006972C5" w:rsidP="00112C69">
            <w:pPr>
              <w:spacing w:after="0" w:line="360" w:lineRule="auto"/>
              <w:rPr>
                <w:sz w:val="20"/>
                <w:szCs w:val="20"/>
              </w:rPr>
            </w:pPr>
            <w:r w:rsidRPr="00986F85">
              <w:rPr>
                <w:sz w:val="20"/>
                <w:szCs w:val="20"/>
              </w:rPr>
              <w:t>Aktivált saját teljesítmények értéke</w:t>
            </w:r>
          </w:p>
        </w:tc>
        <w:tc>
          <w:tcPr>
            <w:tcW w:w="1417" w:type="dxa"/>
            <w:vAlign w:val="center"/>
          </w:tcPr>
          <w:p w14:paraId="132D70A9" w14:textId="77777777" w:rsidR="006972C5" w:rsidRPr="00986F85" w:rsidRDefault="006972C5" w:rsidP="00112C69">
            <w:pPr>
              <w:spacing w:after="0" w:line="360" w:lineRule="auto"/>
              <w:jc w:val="center"/>
              <w:rPr>
                <w:sz w:val="20"/>
                <w:szCs w:val="20"/>
              </w:rPr>
            </w:pPr>
            <w:r w:rsidRPr="00986F85">
              <w:rPr>
                <w:sz w:val="20"/>
                <w:szCs w:val="20"/>
              </w:rPr>
              <w:t>1129-07-01/03</w:t>
            </w:r>
          </w:p>
        </w:tc>
        <w:tc>
          <w:tcPr>
            <w:tcW w:w="1276" w:type="dxa"/>
            <w:shd w:val="clear" w:color="auto" w:fill="D9D9D9"/>
            <w:vAlign w:val="center"/>
          </w:tcPr>
          <w:p w14:paraId="5147AC9B" w14:textId="77777777" w:rsidR="006972C5" w:rsidRPr="00986F85" w:rsidRDefault="006972C5" w:rsidP="00112C69">
            <w:pPr>
              <w:spacing w:after="0" w:line="360" w:lineRule="auto"/>
              <w:jc w:val="center"/>
              <w:rPr>
                <w:sz w:val="20"/>
                <w:szCs w:val="20"/>
              </w:rPr>
            </w:pPr>
            <w:r w:rsidRPr="00986F85">
              <w:rPr>
                <w:sz w:val="20"/>
                <w:szCs w:val="20"/>
              </w:rPr>
              <w:t>igen</w:t>
            </w:r>
          </w:p>
        </w:tc>
        <w:tc>
          <w:tcPr>
            <w:tcW w:w="1276" w:type="dxa"/>
            <w:shd w:val="clear" w:color="auto" w:fill="D9D9D9"/>
            <w:vAlign w:val="center"/>
          </w:tcPr>
          <w:p w14:paraId="45B58C67" w14:textId="77777777" w:rsidR="006972C5" w:rsidRPr="00986F85" w:rsidRDefault="006972C5" w:rsidP="00112C69">
            <w:pPr>
              <w:spacing w:after="0" w:line="360" w:lineRule="auto"/>
              <w:jc w:val="center"/>
              <w:rPr>
                <w:sz w:val="20"/>
                <w:szCs w:val="20"/>
              </w:rPr>
            </w:pPr>
            <w:r w:rsidRPr="00986F85">
              <w:rPr>
                <w:sz w:val="20"/>
                <w:szCs w:val="20"/>
              </w:rPr>
              <w:t>?</w:t>
            </w:r>
          </w:p>
        </w:tc>
      </w:tr>
      <w:tr w:rsidR="006972C5" w:rsidRPr="00986F85" w14:paraId="2160542E" w14:textId="77777777" w:rsidTr="00112C69">
        <w:trPr>
          <w:trHeight w:hRule="exact" w:val="227"/>
          <w:tblHeader/>
        </w:trPr>
        <w:tc>
          <w:tcPr>
            <w:tcW w:w="4977" w:type="dxa"/>
            <w:shd w:val="clear" w:color="auto" w:fill="auto"/>
            <w:noWrap/>
            <w:vAlign w:val="center"/>
          </w:tcPr>
          <w:p w14:paraId="5D681A2D" w14:textId="77777777" w:rsidR="006972C5" w:rsidRPr="00986F85" w:rsidRDefault="006972C5" w:rsidP="00112C69">
            <w:pPr>
              <w:spacing w:after="0" w:line="360" w:lineRule="auto"/>
              <w:rPr>
                <w:sz w:val="20"/>
                <w:szCs w:val="20"/>
                <w:highlight w:val="yellow"/>
              </w:rPr>
            </w:pPr>
            <w:r w:rsidRPr="00986F85">
              <w:rPr>
                <w:sz w:val="20"/>
                <w:szCs w:val="20"/>
              </w:rPr>
              <w:t>Adózás előtti eredmény</w:t>
            </w:r>
          </w:p>
        </w:tc>
        <w:tc>
          <w:tcPr>
            <w:tcW w:w="1417" w:type="dxa"/>
            <w:vAlign w:val="center"/>
          </w:tcPr>
          <w:p w14:paraId="7DC11233" w14:textId="77777777" w:rsidR="006972C5" w:rsidRPr="00986F85" w:rsidRDefault="006972C5" w:rsidP="00112C69">
            <w:pPr>
              <w:spacing w:after="0" w:line="360" w:lineRule="auto"/>
              <w:jc w:val="center"/>
              <w:rPr>
                <w:sz w:val="20"/>
                <w:szCs w:val="20"/>
              </w:rPr>
            </w:pPr>
            <w:r w:rsidRPr="00986F85">
              <w:rPr>
                <w:sz w:val="20"/>
                <w:szCs w:val="20"/>
              </w:rPr>
              <w:t>1129-01-01/01</w:t>
            </w:r>
          </w:p>
        </w:tc>
        <w:tc>
          <w:tcPr>
            <w:tcW w:w="1276" w:type="dxa"/>
            <w:shd w:val="clear" w:color="auto" w:fill="D9D9D9"/>
            <w:vAlign w:val="center"/>
          </w:tcPr>
          <w:p w14:paraId="72E43745" w14:textId="77777777" w:rsidR="006972C5" w:rsidRPr="00986F85" w:rsidRDefault="006972C5" w:rsidP="00112C69">
            <w:pPr>
              <w:spacing w:after="0" w:line="360" w:lineRule="auto"/>
              <w:jc w:val="center"/>
              <w:rPr>
                <w:sz w:val="20"/>
                <w:szCs w:val="20"/>
              </w:rPr>
            </w:pPr>
            <w:r w:rsidRPr="00986F85">
              <w:rPr>
                <w:sz w:val="20"/>
                <w:szCs w:val="20"/>
              </w:rPr>
              <w:t>igen</w:t>
            </w:r>
          </w:p>
        </w:tc>
        <w:tc>
          <w:tcPr>
            <w:tcW w:w="1276" w:type="dxa"/>
            <w:shd w:val="clear" w:color="auto" w:fill="D9D9D9"/>
            <w:vAlign w:val="center"/>
          </w:tcPr>
          <w:p w14:paraId="38293EF0" w14:textId="77777777" w:rsidR="006972C5" w:rsidRPr="00986F85" w:rsidRDefault="006972C5" w:rsidP="00112C69">
            <w:pPr>
              <w:spacing w:after="0" w:line="360" w:lineRule="auto"/>
              <w:jc w:val="center"/>
              <w:rPr>
                <w:sz w:val="20"/>
                <w:szCs w:val="20"/>
              </w:rPr>
            </w:pPr>
            <w:r w:rsidRPr="00986F85">
              <w:rPr>
                <w:sz w:val="20"/>
                <w:szCs w:val="20"/>
              </w:rPr>
              <w:t>nincs</w:t>
            </w:r>
          </w:p>
        </w:tc>
      </w:tr>
      <w:tr w:rsidR="006972C5" w:rsidRPr="00986F85" w14:paraId="3209BC0B" w14:textId="77777777" w:rsidTr="00112C69">
        <w:trPr>
          <w:trHeight w:hRule="exact" w:val="227"/>
          <w:tblHeader/>
        </w:trPr>
        <w:tc>
          <w:tcPr>
            <w:tcW w:w="4977" w:type="dxa"/>
            <w:shd w:val="clear" w:color="auto" w:fill="auto"/>
            <w:noWrap/>
            <w:vAlign w:val="center"/>
          </w:tcPr>
          <w:p w14:paraId="078A3E22" w14:textId="77777777" w:rsidR="006972C5" w:rsidRPr="00986F85" w:rsidRDefault="006972C5" w:rsidP="00112C69">
            <w:pPr>
              <w:spacing w:after="0" w:line="360" w:lineRule="auto"/>
              <w:rPr>
                <w:sz w:val="20"/>
                <w:szCs w:val="20"/>
                <w:highlight w:val="yellow"/>
              </w:rPr>
            </w:pPr>
            <w:r w:rsidRPr="00986F85">
              <w:rPr>
                <w:sz w:val="20"/>
                <w:szCs w:val="20"/>
              </w:rPr>
              <w:t>Évi adókötelezettség</w:t>
            </w:r>
          </w:p>
        </w:tc>
        <w:tc>
          <w:tcPr>
            <w:tcW w:w="1417" w:type="dxa"/>
            <w:vAlign w:val="center"/>
          </w:tcPr>
          <w:p w14:paraId="5D7E5486" w14:textId="77777777" w:rsidR="006972C5" w:rsidRPr="00986F85" w:rsidRDefault="006972C5" w:rsidP="00112C69">
            <w:pPr>
              <w:spacing w:after="0" w:line="360" w:lineRule="auto"/>
              <w:jc w:val="center"/>
              <w:rPr>
                <w:sz w:val="20"/>
                <w:szCs w:val="20"/>
              </w:rPr>
            </w:pPr>
            <w:r w:rsidRPr="00986F85">
              <w:rPr>
                <w:sz w:val="20"/>
                <w:szCs w:val="20"/>
              </w:rPr>
              <w:t>1129-01-01/14</w:t>
            </w:r>
          </w:p>
        </w:tc>
        <w:tc>
          <w:tcPr>
            <w:tcW w:w="1276" w:type="dxa"/>
            <w:shd w:val="clear" w:color="auto" w:fill="D9D9D9"/>
            <w:vAlign w:val="center"/>
          </w:tcPr>
          <w:p w14:paraId="527D7F08" w14:textId="77777777" w:rsidR="006972C5" w:rsidRPr="00986F85" w:rsidRDefault="006972C5" w:rsidP="00112C69">
            <w:pPr>
              <w:spacing w:after="0" w:line="360" w:lineRule="auto"/>
              <w:jc w:val="center"/>
              <w:rPr>
                <w:sz w:val="20"/>
                <w:szCs w:val="20"/>
              </w:rPr>
            </w:pPr>
            <w:r w:rsidRPr="00986F85">
              <w:rPr>
                <w:sz w:val="20"/>
                <w:szCs w:val="20"/>
              </w:rPr>
              <w:t>igen</w:t>
            </w:r>
          </w:p>
        </w:tc>
        <w:tc>
          <w:tcPr>
            <w:tcW w:w="1276" w:type="dxa"/>
            <w:shd w:val="clear" w:color="auto" w:fill="D9D9D9"/>
            <w:vAlign w:val="center"/>
          </w:tcPr>
          <w:p w14:paraId="337F3464" w14:textId="77777777" w:rsidR="006972C5" w:rsidRPr="00986F85" w:rsidRDefault="006972C5" w:rsidP="00112C69">
            <w:pPr>
              <w:spacing w:after="0" w:line="360" w:lineRule="auto"/>
              <w:jc w:val="center"/>
              <w:rPr>
                <w:sz w:val="20"/>
                <w:szCs w:val="20"/>
              </w:rPr>
            </w:pPr>
            <w:r w:rsidRPr="00986F85">
              <w:rPr>
                <w:sz w:val="20"/>
                <w:szCs w:val="20"/>
              </w:rPr>
              <w:t>nincs</w:t>
            </w:r>
          </w:p>
        </w:tc>
      </w:tr>
    </w:tbl>
    <w:p w14:paraId="3A7FB20F" w14:textId="77777777" w:rsidR="00D62858" w:rsidRPr="00986F85" w:rsidRDefault="00961486" w:rsidP="00B04415">
      <w:pPr>
        <w:spacing w:after="0" w:line="360" w:lineRule="auto"/>
        <w:jc w:val="both"/>
        <w:rPr>
          <w:rFonts w:cs="Times New Roman"/>
          <w:sz w:val="20"/>
          <w:szCs w:val="20"/>
        </w:rPr>
      </w:pPr>
      <w:r w:rsidRPr="00986F85">
        <w:rPr>
          <w:rFonts w:cs="Times New Roman"/>
          <w:i/>
          <w:sz w:val="20"/>
          <w:szCs w:val="20"/>
        </w:rPr>
        <w:t xml:space="preserve">Magyarázat: ?- adatkorrekciót, </w:t>
      </w:r>
      <w:r w:rsidR="002459B7" w:rsidRPr="00986F85">
        <w:rPr>
          <w:rFonts w:cs="Times New Roman"/>
          <w:i/>
          <w:sz w:val="20"/>
          <w:szCs w:val="20"/>
        </w:rPr>
        <w:t>-</w:t>
      </w:r>
      <w:r w:rsidRPr="00986F85">
        <w:rPr>
          <w:rFonts w:cs="Times New Roman"/>
          <w:i/>
          <w:sz w:val="20"/>
          <w:szCs w:val="20"/>
        </w:rPr>
        <w:t>tisztítást igénylő változók</w:t>
      </w:r>
    </w:p>
    <w:p w14:paraId="4FDECEE7" w14:textId="77777777" w:rsidR="001011B3" w:rsidRPr="00986F85" w:rsidRDefault="001011B3" w:rsidP="00B04415">
      <w:pPr>
        <w:spacing w:after="0" w:line="360" w:lineRule="auto"/>
        <w:jc w:val="both"/>
        <w:outlineLvl w:val="0"/>
        <w:rPr>
          <w:rFonts w:cs="Times New Roman"/>
          <w:b/>
          <w:bCs/>
          <w:szCs w:val="24"/>
        </w:rPr>
      </w:pPr>
    </w:p>
    <w:p w14:paraId="31B44B83" w14:textId="77777777" w:rsidR="001011B3" w:rsidRPr="00986F85" w:rsidRDefault="009D6B9A" w:rsidP="001011B3">
      <w:pPr>
        <w:rPr>
          <w:b/>
        </w:rPr>
      </w:pPr>
      <w:r w:rsidRPr="00986F85">
        <w:rPr>
          <w:rFonts w:cs="Times New Roman"/>
          <w:b/>
        </w:rPr>
        <w:t xml:space="preserve">I.2. </w:t>
      </w:r>
      <w:r w:rsidR="001011B3" w:rsidRPr="00986F85">
        <w:rPr>
          <w:rFonts w:cs="Times New Roman"/>
          <w:b/>
        </w:rPr>
        <w:t xml:space="preserve">EMIR </w:t>
      </w:r>
      <w:r w:rsidRPr="00986F85">
        <w:rPr>
          <w:rFonts w:cs="Times New Roman"/>
          <w:b/>
        </w:rPr>
        <w:t xml:space="preserve">kezelt </w:t>
      </w:r>
      <w:r w:rsidR="001011B3" w:rsidRPr="00986F85">
        <w:rPr>
          <w:rFonts w:cs="Times New Roman"/>
          <w:b/>
        </w:rPr>
        <w:t xml:space="preserve">adatbázis </w:t>
      </w:r>
      <w:r w:rsidRPr="00986F85">
        <w:rPr>
          <w:rFonts w:cs="Times New Roman"/>
          <w:b/>
        </w:rPr>
        <w:t xml:space="preserve"> tisztítása</w:t>
      </w:r>
    </w:p>
    <w:p w14:paraId="6CC1A107" w14:textId="77777777" w:rsidR="00354281" w:rsidRPr="00986F85" w:rsidRDefault="00354281" w:rsidP="001011B3">
      <w:pPr>
        <w:jc w:val="both"/>
        <w:rPr>
          <w:rFonts w:cs="Times New Roman"/>
        </w:rPr>
      </w:pPr>
      <w:r w:rsidRPr="00986F85">
        <w:rPr>
          <w:rFonts w:cs="Times New Roman"/>
        </w:rPr>
        <w:t xml:space="preserve">A kezelt vállalkozások támogatási adatait tartalmazó adatbázis elemzését megelőzően az adattisztítás során: </w:t>
      </w:r>
    </w:p>
    <w:p w14:paraId="5B4B6B79" w14:textId="77777777" w:rsidR="001011B3" w:rsidRPr="00986F85" w:rsidRDefault="00354281" w:rsidP="00D050C1">
      <w:pPr>
        <w:pStyle w:val="Listaszerbekezds"/>
        <w:numPr>
          <w:ilvl w:val="0"/>
          <w:numId w:val="44"/>
        </w:numPr>
        <w:jc w:val="both"/>
      </w:pPr>
      <w:r w:rsidRPr="00986F85">
        <w:t>Kidob</w:t>
      </w:r>
      <w:r w:rsidR="00D050C1" w:rsidRPr="00986F85">
        <w:rPr>
          <w:rFonts w:cs="Times New Roman"/>
        </w:rPr>
        <w:t>tu</w:t>
      </w:r>
      <w:r w:rsidR="001011B3" w:rsidRPr="00986F85">
        <w:t>k azokat a pályázati rekordokat, ahol nincs sorszám, ezér nem lehet a pályázatot céghez kötni.</w:t>
      </w:r>
    </w:p>
    <w:p w14:paraId="7766EA61" w14:textId="77777777" w:rsidR="001011B3" w:rsidRPr="00986F85" w:rsidRDefault="001011B3" w:rsidP="00D050C1">
      <w:pPr>
        <w:pStyle w:val="Listaszerbekezds"/>
        <w:numPr>
          <w:ilvl w:val="0"/>
          <w:numId w:val="44"/>
        </w:numPr>
        <w:jc w:val="both"/>
      </w:pPr>
      <w:r w:rsidRPr="00986F85">
        <w:t>Ezt követően definiál</w:t>
      </w:r>
      <w:r w:rsidR="00D050C1" w:rsidRPr="00986F85">
        <w:rPr>
          <w:rFonts w:cs="Times New Roman"/>
        </w:rPr>
        <w:t>t</w:t>
      </w:r>
      <w:r w:rsidRPr="00986F85">
        <w:t>unk egy kategóriális hiba változót, amely értékei mutatják, hogy az adott pályázat milyen hibát tartalmaz. Ezek lehetnek: utolsó kifizetés hiányzik (ez a legfontosbb hiba, a pályázati rekordok közel egyharmadát érinti), pályázat nyerés éve korábbi, mint a pályázat kiírásának éve, első kifizetés korábbi, mint a pályázat nyerés éve, az utolsó kifizetés korábbi, mint az első, támogatási érték kategória hiányzik. A többi hibaforrást ellenőriztük (első kifizetés hiányzik, pályázat nyerés éve hiányzik, támogatási intenzitás hiányzik, pályázat kódja hiányzik, nyert pályázatok száma hiányzik), de ezek a számunkra releváns pályázatok esetében nem jelentek meg.</w:t>
      </w:r>
    </w:p>
    <w:p w14:paraId="423A7AE2" w14:textId="77777777" w:rsidR="001011B3" w:rsidRPr="00986F85" w:rsidRDefault="001011B3" w:rsidP="001011B3">
      <w:pPr>
        <w:jc w:val="both"/>
      </w:pPr>
      <w:r w:rsidRPr="00986F85">
        <w:t>A különböző elemzésekbe a hiba jellegétől függően kerülnek be a pályázatok, illetve a cégek (pl. bizonyos lekérdezéseknél nem okoz gondot, ha nincs utolsó kifizetés).</w:t>
      </w:r>
    </w:p>
    <w:p w14:paraId="5888FC74" w14:textId="77777777" w:rsidR="0070639F" w:rsidRPr="00986F85" w:rsidRDefault="0070639F" w:rsidP="00B04415">
      <w:pPr>
        <w:spacing w:after="0" w:line="360" w:lineRule="auto"/>
        <w:jc w:val="both"/>
        <w:rPr>
          <w:rFonts w:cs="Times New Roman"/>
          <w:b/>
          <w:szCs w:val="24"/>
        </w:rPr>
        <w:sectPr w:rsidR="0070639F" w:rsidRPr="00986F85">
          <w:headerReference w:type="even" r:id="rId29"/>
          <w:headerReference w:type="default" r:id="rId30"/>
          <w:footerReference w:type="even" r:id="rId31"/>
          <w:footerReference w:type="default" r:id="rId32"/>
          <w:headerReference w:type="first" r:id="rId33"/>
          <w:footerReference w:type="first" r:id="rId34"/>
          <w:pgSz w:w="11906" w:h="16838"/>
          <w:pgMar w:top="1417" w:right="1417" w:bottom="1417" w:left="1417" w:header="720" w:footer="720" w:gutter="0"/>
          <w:cols w:space="720"/>
          <w:docGrid w:linePitch="360"/>
        </w:sectPr>
      </w:pPr>
    </w:p>
    <w:p w14:paraId="1A49CB81" w14:textId="77777777" w:rsidR="0070639F" w:rsidRPr="00986F85" w:rsidRDefault="0070639F" w:rsidP="00B04415">
      <w:pPr>
        <w:spacing w:after="0" w:line="360" w:lineRule="auto"/>
        <w:jc w:val="both"/>
        <w:rPr>
          <w:rFonts w:cs="Times New Roman"/>
          <w:b/>
          <w:szCs w:val="24"/>
        </w:rPr>
      </w:pPr>
    </w:p>
    <w:p w14:paraId="1C10D3C8" w14:textId="77777777" w:rsidR="0070639F" w:rsidRPr="00986F85" w:rsidRDefault="009D6B9A" w:rsidP="00B04415">
      <w:pPr>
        <w:spacing w:after="0" w:line="360" w:lineRule="auto"/>
        <w:jc w:val="both"/>
        <w:rPr>
          <w:rFonts w:cs="Times New Roman"/>
          <w:b/>
          <w:szCs w:val="24"/>
        </w:rPr>
      </w:pPr>
      <w:r w:rsidRPr="00986F85">
        <w:rPr>
          <w:rFonts w:cs="Times New Roman"/>
          <w:b/>
          <w:szCs w:val="24"/>
        </w:rPr>
        <w:t>I.3. Szelekciós modellek becslési eredményei – 3 és 5 fő feletti létszámmal rendelkező vállalkozások almintáira</w:t>
      </w:r>
    </w:p>
    <w:p w14:paraId="4C9950CF" w14:textId="77777777" w:rsidR="0070639F" w:rsidRPr="00986F85" w:rsidRDefault="0070639F" w:rsidP="00B04415">
      <w:pPr>
        <w:spacing w:after="0" w:line="360" w:lineRule="auto"/>
        <w:jc w:val="both"/>
        <w:rPr>
          <w:rFonts w:cs="Times New Roman"/>
          <w:b/>
          <w:szCs w:val="24"/>
        </w:rPr>
      </w:pPr>
    </w:p>
    <w:p w14:paraId="30BDF509" w14:textId="77777777" w:rsidR="0070639F" w:rsidRPr="00986F85" w:rsidRDefault="0070639F" w:rsidP="0070639F">
      <w:pPr>
        <w:spacing w:after="0" w:line="360" w:lineRule="auto"/>
        <w:jc w:val="both"/>
        <w:rPr>
          <w:rFonts w:cs="Times New Roman"/>
          <w:b/>
          <w:szCs w:val="24"/>
        </w:rPr>
      </w:pPr>
      <w:r w:rsidRPr="00986F85">
        <w:rPr>
          <w:rFonts w:cs="Times New Roman"/>
          <w:b/>
          <w:szCs w:val="24"/>
        </w:rPr>
        <w:t>1. táblázat: 3 fő feletti létszámmal rendelkező, EMIR és NAV adatbázisban szereplő cégekre végzett becslések eredményei</w:t>
      </w:r>
    </w:p>
    <w:tbl>
      <w:tblPr>
        <w:tblW w:w="11355" w:type="dxa"/>
        <w:tblInd w:w="93" w:type="dxa"/>
        <w:tblLayout w:type="fixed"/>
        <w:tblLook w:val="04A0" w:firstRow="1" w:lastRow="0" w:firstColumn="1" w:lastColumn="0" w:noHBand="0" w:noVBand="1"/>
      </w:tblPr>
      <w:tblGrid>
        <w:gridCol w:w="3580"/>
        <w:gridCol w:w="1580"/>
        <w:gridCol w:w="1518"/>
        <w:gridCol w:w="1559"/>
        <w:gridCol w:w="1559"/>
        <w:gridCol w:w="1559"/>
      </w:tblGrid>
      <w:tr w:rsidR="002640E4" w:rsidRPr="00986F85" w14:paraId="7EB31752" w14:textId="77777777" w:rsidTr="002640E4">
        <w:trPr>
          <w:trHeight w:val="240"/>
        </w:trPr>
        <w:tc>
          <w:tcPr>
            <w:tcW w:w="3580" w:type="dxa"/>
            <w:tcBorders>
              <w:top w:val="single" w:sz="4" w:space="0" w:color="auto"/>
              <w:left w:val="nil"/>
              <w:bottom w:val="nil"/>
              <w:right w:val="nil"/>
            </w:tcBorders>
            <w:shd w:val="clear" w:color="000000" w:fill="B10000"/>
            <w:vAlign w:val="bottom"/>
            <w:hideMark/>
          </w:tcPr>
          <w:p w14:paraId="026E19F6"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80" w:type="dxa"/>
            <w:tcBorders>
              <w:top w:val="single" w:sz="4" w:space="0" w:color="auto"/>
              <w:left w:val="nil"/>
              <w:bottom w:val="nil"/>
              <w:right w:val="nil"/>
            </w:tcBorders>
            <w:shd w:val="clear" w:color="000000" w:fill="B10000"/>
            <w:vAlign w:val="bottom"/>
            <w:hideMark/>
          </w:tcPr>
          <w:p w14:paraId="54E6B4FA"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(1)</w:t>
            </w:r>
          </w:p>
        </w:tc>
        <w:tc>
          <w:tcPr>
            <w:tcW w:w="1518" w:type="dxa"/>
            <w:tcBorders>
              <w:top w:val="single" w:sz="4" w:space="0" w:color="auto"/>
              <w:left w:val="nil"/>
              <w:bottom w:val="nil"/>
              <w:right w:val="nil"/>
            </w:tcBorders>
            <w:shd w:val="clear" w:color="000000" w:fill="B10000"/>
            <w:vAlign w:val="bottom"/>
            <w:hideMark/>
          </w:tcPr>
          <w:p w14:paraId="31B9C705"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(2)</w:t>
            </w:r>
          </w:p>
        </w:tc>
        <w:tc>
          <w:tcPr>
            <w:tcW w:w="1559" w:type="dxa"/>
            <w:tcBorders>
              <w:top w:val="single" w:sz="4" w:space="0" w:color="auto"/>
              <w:left w:val="nil"/>
              <w:bottom w:val="nil"/>
              <w:right w:val="nil"/>
            </w:tcBorders>
            <w:shd w:val="clear" w:color="000000" w:fill="B10000"/>
            <w:vAlign w:val="bottom"/>
            <w:hideMark/>
          </w:tcPr>
          <w:p w14:paraId="3F14E063"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(3)</w:t>
            </w:r>
          </w:p>
        </w:tc>
        <w:tc>
          <w:tcPr>
            <w:tcW w:w="1559" w:type="dxa"/>
            <w:tcBorders>
              <w:top w:val="single" w:sz="4" w:space="0" w:color="auto"/>
              <w:left w:val="nil"/>
              <w:bottom w:val="nil"/>
              <w:right w:val="nil"/>
            </w:tcBorders>
            <w:shd w:val="clear" w:color="000000" w:fill="B10000"/>
            <w:vAlign w:val="bottom"/>
            <w:hideMark/>
          </w:tcPr>
          <w:p w14:paraId="1EF0FA14"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(4)</w:t>
            </w:r>
          </w:p>
        </w:tc>
        <w:tc>
          <w:tcPr>
            <w:tcW w:w="1559" w:type="dxa"/>
            <w:tcBorders>
              <w:top w:val="single" w:sz="4" w:space="0" w:color="auto"/>
              <w:left w:val="nil"/>
              <w:bottom w:val="nil"/>
              <w:right w:val="nil"/>
            </w:tcBorders>
            <w:shd w:val="clear" w:color="000000" w:fill="B10000"/>
            <w:vAlign w:val="bottom"/>
            <w:hideMark/>
          </w:tcPr>
          <w:p w14:paraId="1DB68904"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(5)</w:t>
            </w:r>
          </w:p>
        </w:tc>
      </w:tr>
      <w:tr w:rsidR="002640E4" w:rsidRPr="00986F85" w14:paraId="435E4035" w14:textId="77777777" w:rsidTr="002640E4">
        <w:trPr>
          <w:trHeight w:val="480"/>
        </w:trPr>
        <w:tc>
          <w:tcPr>
            <w:tcW w:w="3580" w:type="dxa"/>
            <w:tcBorders>
              <w:top w:val="nil"/>
              <w:left w:val="nil"/>
              <w:bottom w:val="single" w:sz="4" w:space="0" w:color="auto"/>
              <w:right w:val="nil"/>
            </w:tcBorders>
            <w:shd w:val="clear" w:color="000000" w:fill="B10000"/>
            <w:hideMark/>
          </w:tcPr>
          <w:p w14:paraId="37929FD2"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sz w:val="20"/>
                <w:szCs w:val="20"/>
                <w:lang w:val="en-US" w:eastAsia="en-US"/>
              </w:rPr>
              <w:t>Változók</w:t>
            </w:r>
          </w:p>
        </w:tc>
        <w:tc>
          <w:tcPr>
            <w:tcW w:w="1580" w:type="dxa"/>
            <w:tcBorders>
              <w:top w:val="nil"/>
              <w:left w:val="nil"/>
              <w:bottom w:val="single" w:sz="4" w:space="0" w:color="auto"/>
              <w:right w:val="nil"/>
            </w:tcBorders>
            <w:shd w:val="clear" w:color="000000" w:fill="B10000"/>
            <w:hideMark/>
          </w:tcPr>
          <w:p w14:paraId="0F0A1F06"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GOP A bővített 2007-2011</w:t>
            </w:r>
          </w:p>
        </w:tc>
        <w:tc>
          <w:tcPr>
            <w:tcW w:w="1518" w:type="dxa"/>
            <w:tcBorders>
              <w:top w:val="nil"/>
              <w:left w:val="nil"/>
              <w:bottom w:val="single" w:sz="4" w:space="0" w:color="auto"/>
              <w:right w:val="nil"/>
            </w:tcBorders>
            <w:shd w:val="clear" w:color="000000" w:fill="B10000"/>
            <w:hideMark/>
          </w:tcPr>
          <w:p w14:paraId="1254D398"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GOP A bővített 2007-2011</w:t>
            </w:r>
          </w:p>
        </w:tc>
        <w:tc>
          <w:tcPr>
            <w:tcW w:w="1559" w:type="dxa"/>
            <w:tcBorders>
              <w:top w:val="nil"/>
              <w:left w:val="nil"/>
              <w:bottom w:val="single" w:sz="4" w:space="0" w:color="auto"/>
              <w:right w:val="nil"/>
            </w:tcBorders>
            <w:shd w:val="clear" w:color="000000" w:fill="B10000"/>
            <w:hideMark/>
          </w:tcPr>
          <w:p w14:paraId="5B461A5A"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GOP A bővített 2007-2011</w:t>
            </w:r>
          </w:p>
        </w:tc>
        <w:tc>
          <w:tcPr>
            <w:tcW w:w="1559" w:type="dxa"/>
            <w:tcBorders>
              <w:top w:val="nil"/>
              <w:left w:val="nil"/>
              <w:bottom w:val="single" w:sz="4" w:space="0" w:color="auto"/>
              <w:right w:val="nil"/>
            </w:tcBorders>
            <w:shd w:val="clear" w:color="000000" w:fill="B10000"/>
            <w:hideMark/>
          </w:tcPr>
          <w:p w14:paraId="2B6DC803"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GOP A bővített 2007-2011</w:t>
            </w:r>
          </w:p>
        </w:tc>
        <w:tc>
          <w:tcPr>
            <w:tcW w:w="1559" w:type="dxa"/>
            <w:tcBorders>
              <w:top w:val="nil"/>
              <w:left w:val="nil"/>
              <w:bottom w:val="single" w:sz="4" w:space="0" w:color="auto"/>
              <w:right w:val="nil"/>
            </w:tcBorders>
            <w:shd w:val="clear" w:color="000000" w:fill="B10000"/>
            <w:hideMark/>
          </w:tcPr>
          <w:p w14:paraId="2D9EE259"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GOP A bővített 2007-2011</w:t>
            </w:r>
          </w:p>
        </w:tc>
      </w:tr>
      <w:tr w:rsidR="002640E4" w:rsidRPr="00986F85" w14:paraId="1C6B003F" w14:textId="77777777" w:rsidTr="002640E4">
        <w:trPr>
          <w:trHeight w:val="240"/>
        </w:trPr>
        <w:tc>
          <w:tcPr>
            <w:tcW w:w="3580" w:type="dxa"/>
            <w:tcBorders>
              <w:top w:val="single" w:sz="4" w:space="0" w:color="auto"/>
              <w:left w:val="nil"/>
              <w:bottom w:val="nil"/>
              <w:right w:val="nil"/>
            </w:tcBorders>
            <w:shd w:val="clear" w:color="000000" w:fill="FFFFFF"/>
            <w:noWrap/>
            <w:vAlign w:val="bottom"/>
            <w:hideMark/>
          </w:tcPr>
          <w:p w14:paraId="11D1FCDC"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80" w:type="dxa"/>
            <w:tcBorders>
              <w:top w:val="single" w:sz="4" w:space="0" w:color="auto"/>
              <w:left w:val="nil"/>
              <w:bottom w:val="nil"/>
              <w:right w:val="nil"/>
            </w:tcBorders>
            <w:shd w:val="clear" w:color="000000" w:fill="FFFFFF"/>
            <w:noWrap/>
            <w:vAlign w:val="bottom"/>
            <w:hideMark/>
          </w:tcPr>
          <w:p w14:paraId="3FDE41F6"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18" w:type="dxa"/>
            <w:tcBorders>
              <w:top w:val="single" w:sz="4" w:space="0" w:color="auto"/>
              <w:left w:val="nil"/>
              <w:bottom w:val="nil"/>
              <w:right w:val="nil"/>
            </w:tcBorders>
            <w:shd w:val="clear" w:color="000000" w:fill="FFFFFF"/>
            <w:noWrap/>
            <w:vAlign w:val="bottom"/>
            <w:hideMark/>
          </w:tcPr>
          <w:p w14:paraId="4C95637E"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59" w:type="dxa"/>
            <w:tcBorders>
              <w:top w:val="single" w:sz="4" w:space="0" w:color="auto"/>
              <w:left w:val="nil"/>
              <w:bottom w:val="nil"/>
              <w:right w:val="nil"/>
            </w:tcBorders>
            <w:shd w:val="clear" w:color="000000" w:fill="FFFFFF"/>
            <w:noWrap/>
            <w:vAlign w:val="bottom"/>
            <w:hideMark/>
          </w:tcPr>
          <w:p w14:paraId="1A16AC8C"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59" w:type="dxa"/>
            <w:tcBorders>
              <w:top w:val="single" w:sz="4" w:space="0" w:color="auto"/>
              <w:left w:val="nil"/>
              <w:bottom w:val="nil"/>
              <w:right w:val="nil"/>
            </w:tcBorders>
            <w:shd w:val="clear" w:color="000000" w:fill="FFFFFF"/>
            <w:noWrap/>
            <w:vAlign w:val="bottom"/>
            <w:hideMark/>
          </w:tcPr>
          <w:p w14:paraId="72E62D2E"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59" w:type="dxa"/>
            <w:tcBorders>
              <w:top w:val="single" w:sz="4" w:space="0" w:color="auto"/>
              <w:left w:val="nil"/>
              <w:bottom w:val="nil"/>
              <w:right w:val="nil"/>
            </w:tcBorders>
            <w:shd w:val="clear" w:color="000000" w:fill="FFFFFF"/>
            <w:noWrap/>
            <w:vAlign w:val="bottom"/>
            <w:hideMark/>
          </w:tcPr>
          <w:p w14:paraId="03603201"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 </w:t>
            </w:r>
          </w:p>
        </w:tc>
      </w:tr>
      <w:tr w:rsidR="002640E4" w:rsidRPr="00986F85" w14:paraId="7C766ABB" w14:textId="77777777" w:rsidTr="002640E4">
        <w:trPr>
          <w:trHeight w:val="260"/>
        </w:trPr>
        <w:tc>
          <w:tcPr>
            <w:tcW w:w="3580" w:type="dxa"/>
            <w:tcBorders>
              <w:top w:val="nil"/>
              <w:left w:val="nil"/>
              <w:bottom w:val="nil"/>
              <w:right w:val="nil"/>
            </w:tcBorders>
            <w:shd w:val="clear" w:color="auto" w:fill="auto"/>
            <w:noWrap/>
            <w:vAlign w:val="bottom"/>
            <w:hideMark/>
          </w:tcPr>
          <w:p w14:paraId="4FF526FC"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 xml:space="preserve">Adminisztratív és szolg. támogató tev. </w:t>
            </w:r>
          </w:p>
        </w:tc>
        <w:tc>
          <w:tcPr>
            <w:tcW w:w="1580" w:type="dxa"/>
            <w:tcBorders>
              <w:top w:val="nil"/>
              <w:left w:val="nil"/>
              <w:bottom w:val="nil"/>
              <w:right w:val="nil"/>
            </w:tcBorders>
            <w:shd w:val="clear" w:color="000000" w:fill="FFFFFF"/>
            <w:noWrap/>
            <w:vAlign w:val="bottom"/>
            <w:hideMark/>
          </w:tcPr>
          <w:p w14:paraId="0AE570EF"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-0.118</w:t>
            </w:r>
          </w:p>
        </w:tc>
        <w:tc>
          <w:tcPr>
            <w:tcW w:w="1518" w:type="dxa"/>
            <w:tcBorders>
              <w:top w:val="nil"/>
              <w:left w:val="nil"/>
              <w:bottom w:val="nil"/>
              <w:right w:val="nil"/>
            </w:tcBorders>
            <w:shd w:val="clear" w:color="000000" w:fill="FFFFFF"/>
            <w:noWrap/>
            <w:vAlign w:val="bottom"/>
            <w:hideMark/>
          </w:tcPr>
          <w:p w14:paraId="1F2A3D12"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-0.0460</w:t>
            </w:r>
          </w:p>
        </w:tc>
        <w:tc>
          <w:tcPr>
            <w:tcW w:w="1559" w:type="dxa"/>
            <w:tcBorders>
              <w:top w:val="nil"/>
              <w:left w:val="nil"/>
              <w:bottom w:val="nil"/>
              <w:right w:val="nil"/>
            </w:tcBorders>
            <w:shd w:val="clear" w:color="000000" w:fill="FFFFFF"/>
            <w:noWrap/>
            <w:vAlign w:val="bottom"/>
            <w:hideMark/>
          </w:tcPr>
          <w:p w14:paraId="32759084"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-0.0424</w:t>
            </w:r>
          </w:p>
        </w:tc>
        <w:tc>
          <w:tcPr>
            <w:tcW w:w="1559" w:type="dxa"/>
            <w:tcBorders>
              <w:top w:val="nil"/>
              <w:left w:val="nil"/>
              <w:bottom w:val="nil"/>
              <w:right w:val="nil"/>
            </w:tcBorders>
            <w:shd w:val="clear" w:color="000000" w:fill="FFFFFF"/>
            <w:noWrap/>
            <w:vAlign w:val="bottom"/>
            <w:hideMark/>
          </w:tcPr>
          <w:p w14:paraId="6335DB89"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-0.0334</w:t>
            </w:r>
          </w:p>
        </w:tc>
        <w:tc>
          <w:tcPr>
            <w:tcW w:w="1559" w:type="dxa"/>
            <w:tcBorders>
              <w:top w:val="nil"/>
              <w:left w:val="nil"/>
              <w:bottom w:val="nil"/>
              <w:right w:val="nil"/>
            </w:tcBorders>
            <w:shd w:val="clear" w:color="000000" w:fill="FFFFFF"/>
            <w:noWrap/>
            <w:vAlign w:val="bottom"/>
            <w:hideMark/>
          </w:tcPr>
          <w:p w14:paraId="243410D4"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0.173</w:t>
            </w:r>
          </w:p>
        </w:tc>
      </w:tr>
      <w:tr w:rsidR="002640E4" w:rsidRPr="00986F85" w14:paraId="4464F695" w14:textId="77777777" w:rsidTr="002640E4">
        <w:trPr>
          <w:trHeight w:val="260"/>
        </w:trPr>
        <w:tc>
          <w:tcPr>
            <w:tcW w:w="3580" w:type="dxa"/>
            <w:tcBorders>
              <w:top w:val="nil"/>
              <w:left w:val="nil"/>
              <w:bottom w:val="nil"/>
              <w:right w:val="nil"/>
            </w:tcBorders>
            <w:shd w:val="clear" w:color="auto" w:fill="auto"/>
            <w:noWrap/>
            <w:vAlign w:val="bottom"/>
            <w:hideMark/>
          </w:tcPr>
          <w:p w14:paraId="65E98057" w14:textId="77777777" w:rsidR="002640E4" w:rsidRPr="00986F85" w:rsidRDefault="002640E4" w:rsidP="002640E4">
            <w:pPr>
              <w:suppressAutoHyphens w:val="0"/>
              <w:spacing w:after="0" w:line="240" w:lineRule="auto"/>
              <w:rPr>
                <w:rFonts w:eastAsia="Times New Roman" w:cs="Arial"/>
                <w:sz w:val="20"/>
                <w:szCs w:val="20"/>
                <w:lang w:val="en-US" w:eastAsia="en-US"/>
              </w:rPr>
            </w:pPr>
          </w:p>
        </w:tc>
        <w:tc>
          <w:tcPr>
            <w:tcW w:w="1580" w:type="dxa"/>
            <w:tcBorders>
              <w:top w:val="nil"/>
              <w:left w:val="nil"/>
              <w:bottom w:val="nil"/>
              <w:right w:val="nil"/>
            </w:tcBorders>
            <w:shd w:val="clear" w:color="000000" w:fill="FFFFFF"/>
            <w:noWrap/>
            <w:vAlign w:val="bottom"/>
            <w:hideMark/>
          </w:tcPr>
          <w:p w14:paraId="49ED85E9"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(0.137)</w:t>
            </w:r>
          </w:p>
        </w:tc>
        <w:tc>
          <w:tcPr>
            <w:tcW w:w="1518" w:type="dxa"/>
            <w:tcBorders>
              <w:top w:val="nil"/>
              <w:left w:val="nil"/>
              <w:bottom w:val="nil"/>
              <w:right w:val="nil"/>
            </w:tcBorders>
            <w:shd w:val="clear" w:color="000000" w:fill="FFFFFF"/>
            <w:noWrap/>
            <w:vAlign w:val="bottom"/>
            <w:hideMark/>
          </w:tcPr>
          <w:p w14:paraId="38372299"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(0.141)</w:t>
            </w:r>
          </w:p>
        </w:tc>
        <w:tc>
          <w:tcPr>
            <w:tcW w:w="1559" w:type="dxa"/>
            <w:tcBorders>
              <w:top w:val="nil"/>
              <w:left w:val="nil"/>
              <w:bottom w:val="nil"/>
              <w:right w:val="nil"/>
            </w:tcBorders>
            <w:shd w:val="clear" w:color="000000" w:fill="FFFFFF"/>
            <w:noWrap/>
            <w:vAlign w:val="bottom"/>
            <w:hideMark/>
          </w:tcPr>
          <w:p w14:paraId="36371116"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(0.141)</w:t>
            </w:r>
          </w:p>
        </w:tc>
        <w:tc>
          <w:tcPr>
            <w:tcW w:w="1559" w:type="dxa"/>
            <w:tcBorders>
              <w:top w:val="nil"/>
              <w:left w:val="nil"/>
              <w:bottom w:val="nil"/>
              <w:right w:val="nil"/>
            </w:tcBorders>
            <w:shd w:val="clear" w:color="000000" w:fill="FFFFFF"/>
            <w:noWrap/>
            <w:vAlign w:val="bottom"/>
            <w:hideMark/>
          </w:tcPr>
          <w:p w14:paraId="79975A19"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(0.142)</w:t>
            </w:r>
          </w:p>
        </w:tc>
        <w:tc>
          <w:tcPr>
            <w:tcW w:w="1559" w:type="dxa"/>
            <w:tcBorders>
              <w:top w:val="nil"/>
              <w:left w:val="nil"/>
              <w:bottom w:val="nil"/>
              <w:right w:val="nil"/>
            </w:tcBorders>
            <w:shd w:val="clear" w:color="000000" w:fill="FFFFFF"/>
            <w:noWrap/>
            <w:vAlign w:val="bottom"/>
            <w:hideMark/>
          </w:tcPr>
          <w:p w14:paraId="3E685A82"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(0.147)</w:t>
            </w:r>
          </w:p>
        </w:tc>
      </w:tr>
      <w:tr w:rsidR="002640E4" w:rsidRPr="00986F85" w14:paraId="6D5C8D49" w14:textId="77777777" w:rsidTr="002640E4">
        <w:trPr>
          <w:trHeight w:val="260"/>
        </w:trPr>
        <w:tc>
          <w:tcPr>
            <w:tcW w:w="3580" w:type="dxa"/>
            <w:tcBorders>
              <w:top w:val="nil"/>
              <w:left w:val="nil"/>
              <w:bottom w:val="nil"/>
              <w:right w:val="nil"/>
            </w:tcBorders>
            <w:shd w:val="clear" w:color="auto" w:fill="auto"/>
            <w:noWrap/>
            <w:vAlign w:val="bottom"/>
            <w:hideMark/>
          </w:tcPr>
          <w:p w14:paraId="7054854C"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Bányászat, kőfejtés</w:t>
            </w:r>
          </w:p>
        </w:tc>
        <w:tc>
          <w:tcPr>
            <w:tcW w:w="1580" w:type="dxa"/>
            <w:tcBorders>
              <w:top w:val="nil"/>
              <w:left w:val="nil"/>
              <w:bottom w:val="nil"/>
              <w:right w:val="nil"/>
            </w:tcBorders>
            <w:shd w:val="clear" w:color="000000" w:fill="FFFFFF"/>
            <w:noWrap/>
            <w:vAlign w:val="bottom"/>
            <w:hideMark/>
          </w:tcPr>
          <w:p w14:paraId="758AA646"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0.672***</w:t>
            </w:r>
          </w:p>
        </w:tc>
        <w:tc>
          <w:tcPr>
            <w:tcW w:w="1518" w:type="dxa"/>
            <w:tcBorders>
              <w:top w:val="nil"/>
              <w:left w:val="nil"/>
              <w:bottom w:val="nil"/>
              <w:right w:val="nil"/>
            </w:tcBorders>
            <w:shd w:val="clear" w:color="000000" w:fill="FFFFFF"/>
            <w:noWrap/>
            <w:vAlign w:val="bottom"/>
            <w:hideMark/>
          </w:tcPr>
          <w:p w14:paraId="6319BA66"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0.805***</w:t>
            </w:r>
          </w:p>
        </w:tc>
        <w:tc>
          <w:tcPr>
            <w:tcW w:w="1559" w:type="dxa"/>
            <w:tcBorders>
              <w:top w:val="nil"/>
              <w:left w:val="nil"/>
              <w:bottom w:val="nil"/>
              <w:right w:val="nil"/>
            </w:tcBorders>
            <w:shd w:val="clear" w:color="000000" w:fill="FFFFFF"/>
            <w:noWrap/>
            <w:vAlign w:val="bottom"/>
            <w:hideMark/>
          </w:tcPr>
          <w:p w14:paraId="6D10B557"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0.802***</w:t>
            </w:r>
          </w:p>
        </w:tc>
        <w:tc>
          <w:tcPr>
            <w:tcW w:w="1559" w:type="dxa"/>
            <w:tcBorders>
              <w:top w:val="nil"/>
              <w:left w:val="nil"/>
              <w:bottom w:val="nil"/>
              <w:right w:val="nil"/>
            </w:tcBorders>
            <w:shd w:val="clear" w:color="000000" w:fill="FFFFFF"/>
            <w:noWrap/>
            <w:vAlign w:val="bottom"/>
            <w:hideMark/>
          </w:tcPr>
          <w:p w14:paraId="3509C617"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0.806***</w:t>
            </w:r>
          </w:p>
        </w:tc>
        <w:tc>
          <w:tcPr>
            <w:tcW w:w="1559" w:type="dxa"/>
            <w:tcBorders>
              <w:top w:val="nil"/>
              <w:left w:val="nil"/>
              <w:bottom w:val="nil"/>
              <w:right w:val="nil"/>
            </w:tcBorders>
            <w:shd w:val="clear" w:color="000000" w:fill="FFFFFF"/>
            <w:noWrap/>
            <w:vAlign w:val="bottom"/>
            <w:hideMark/>
          </w:tcPr>
          <w:p w14:paraId="53012105"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0.630***</w:t>
            </w:r>
          </w:p>
        </w:tc>
      </w:tr>
      <w:tr w:rsidR="002640E4" w:rsidRPr="00986F85" w14:paraId="42C534B5" w14:textId="77777777" w:rsidTr="002640E4">
        <w:trPr>
          <w:trHeight w:val="260"/>
        </w:trPr>
        <w:tc>
          <w:tcPr>
            <w:tcW w:w="3580" w:type="dxa"/>
            <w:tcBorders>
              <w:top w:val="nil"/>
              <w:left w:val="nil"/>
              <w:bottom w:val="nil"/>
              <w:right w:val="nil"/>
            </w:tcBorders>
            <w:shd w:val="clear" w:color="auto" w:fill="auto"/>
            <w:noWrap/>
            <w:vAlign w:val="bottom"/>
            <w:hideMark/>
          </w:tcPr>
          <w:p w14:paraId="12A52CDF" w14:textId="77777777" w:rsidR="002640E4" w:rsidRPr="00986F85" w:rsidRDefault="002640E4" w:rsidP="002640E4">
            <w:pPr>
              <w:suppressAutoHyphens w:val="0"/>
              <w:spacing w:after="0" w:line="240" w:lineRule="auto"/>
              <w:rPr>
                <w:rFonts w:eastAsia="Times New Roman" w:cs="Arial"/>
                <w:sz w:val="20"/>
                <w:szCs w:val="20"/>
                <w:lang w:val="en-US" w:eastAsia="en-US"/>
              </w:rPr>
            </w:pPr>
          </w:p>
        </w:tc>
        <w:tc>
          <w:tcPr>
            <w:tcW w:w="1580" w:type="dxa"/>
            <w:tcBorders>
              <w:top w:val="nil"/>
              <w:left w:val="nil"/>
              <w:bottom w:val="nil"/>
              <w:right w:val="nil"/>
            </w:tcBorders>
            <w:shd w:val="clear" w:color="000000" w:fill="FFFFFF"/>
            <w:noWrap/>
            <w:vAlign w:val="bottom"/>
            <w:hideMark/>
          </w:tcPr>
          <w:p w14:paraId="65B72A85"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(0.214)</w:t>
            </w:r>
          </w:p>
        </w:tc>
        <w:tc>
          <w:tcPr>
            <w:tcW w:w="1518" w:type="dxa"/>
            <w:tcBorders>
              <w:top w:val="nil"/>
              <w:left w:val="nil"/>
              <w:bottom w:val="nil"/>
              <w:right w:val="nil"/>
            </w:tcBorders>
            <w:shd w:val="clear" w:color="000000" w:fill="FFFFFF"/>
            <w:noWrap/>
            <w:vAlign w:val="bottom"/>
            <w:hideMark/>
          </w:tcPr>
          <w:p w14:paraId="3EE72368"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(0.221)</w:t>
            </w:r>
          </w:p>
        </w:tc>
        <w:tc>
          <w:tcPr>
            <w:tcW w:w="1559" w:type="dxa"/>
            <w:tcBorders>
              <w:top w:val="nil"/>
              <w:left w:val="nil"/>
              <w:bottom w:val="nil"/>
              <w:right w:val="nil"/>
            </w:tcBorders>
            <w:shd w:val="clear" w:color="000000" w:fill="FFFFFF"/>
            <w:noWrap/>
            <w:vAlign w:val="bottom"/>
            <w:hideMark/>
          </w:tcPr>
          <w:p w14:paraId="4446269F"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(0.221)</w:t>
            </w:r>
          </w:p>
        </w:tc>
        <w:tc>
          <w:tcPr>
            <w:tcW w:w="1559" w:type="dxa"/>
            <w:tcBorders>
              <w:top w:val="nil"/>
              <w:left w:val="nil"/>
              <w:bottom w:val="nil"/>
              <w:right w:val="nil"/>
            </w:tcBorders>
            <w:shd w:val="clear" w:color="000000" w:fill="FFFFFF"/>
            <w:noWrap/>
            <w:vAlign w:val="bottom"/>
            <w:hideMark/>
          </w:tcPr>
          <w:p w14:paraId="5244736F"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(0.221)</w:t>
            </w:r>
          </w:p>
        </w:tc>
        <w:tc>
          <w:tcPr>
            <w:tcW w:w="1559" w:type="dxa"/>
            <w:tcBorders>
              <w:top w:val="nil"/>
              <w:left w:val="nil"/>
              <w:bottom w:val="nil"/>
              <w:right w:val="nil"/>
            </w:tcBorders>
            <w:shd w:val="clear" w:color="000000" w:fill="FFFFFF"/>
            <w:noWrap/>
            <w:vAlign w:val="bottom"/>
            <w:hideMark/>
          </w:tcPr>
          <w:p w14:paraId="270D42B7"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(0.223)</w:t>
            </w:r>
          </w:p>
        </w:tc>
      </w:tr>
      <w:tr w:rsidR="002640E4" w:rsidRPr="00986F85" w14:paraId="0B7A0F0E" w14:textId="77777777" w:rsidTr="002640E4">
        <w:trPr>
          <w:trHeight w:val="260"/>
        </w:trPr>
        <w:tc>
          <w:tcPr>
            <w:tcW w:w="3580" w:type="dxa"/>
            <w:tcBorders>
              <w:top w:val="nil"/>
              <w:left w:val="nil"/>
              <w:bottom w:val="nil"/>
              <w:right w:val="nil"/>
            </w:tcBorders>
            <w:shd w:val="clear" w:color="auto" w:fill="auto"/>
            <w:noWrap/>
            <w:vAlign w:val="bottom"/>
            <w:hideMark/>
          </w:tcPr>
          <w:p w14:paraId="2283CF82"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Egyéb szolgáltatás</w:t>
            </w:r>
          </w:p>
        </w:tc>
        <w:tc>
          <w:tcPr>
            <w:tcW w:w="1580" w:type="dxa"/>
            <w:tcBorders>
              <w:top w:val="nil"/>
              <w:left w:val="nil"/>
              <w:bottom w:val="nil"/>
              <w:right w:val="nil"/>
            </w:tcBorders>
            <w:shd w:val="clear" w:color="000000" w:fill="FFFFFF"/>
            <w:noWrap/>
            <w:vAlign w:val="bottom"/>
            <w:hideMark/>
          </w:tcPr>
          <w:p w14:paraId="35BC7A34"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-0.0349</w:t>
            </w:r>
          </w:p>
        </w:tc>
        <w:tc>
          <w:tcPr>
            <w:tcW w:w="1518" w:type="dxa"/>
            <w:tcBorders>
              <w:top w:val="nil"/>
              <w:left w:val="nil"/>
              <w:bottom w:val="nil"/>
              <w:right w:val="nil"/>
            </w:tcBorders>
            <w:shd w:val="clear" w:color="000000" w:fill="FFFFFF"/>
            <w:noWrap/>
            <w:vAlign w:val="bottom"/>
            <w:hideMark/>
          </w:tcPr>
          <w:p w14:paraId="1AA8FDC7"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0.167</w:t>
            </w:r>
          </w:p>
        </w:tc>
        <w:tc>
          <w:tcPr>
            <w:tcW w:w="1559" w:type="dxa"/>
            <w:tcBorders>
              <w:top w:val="nil"/>
              <w:left w:val="nil"/>
              <w:bottom w:val="nil"/>
              <w:right w:val="nil"/>
            </w:tcBorders>
            <w:shd w:val="clear" w:color="000000" w:fill="FFFFFF"/>
            <w:noWrap/>
            <w:vAlign w:val="bottom"/>
            <w:hideMark/>
          </w:tcPr>
          <w:p w14:paraId="601C6972"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0.173</w:t>
            </w:r>
          </w:p>
        </w:tc>
        <w:tc>
          <w:tcPr>
            <w:tcW w:w="1559" w:type="dxa"/>
            <w:tcBorders>
              <w:top w:val="nil"/>
              <w:left w:val="nil"/>
              <w:bottom w:val="nil"/>
              <w:right w:val="nil"/>
            </w:tcBorders>
            <w:shd w:val="clear" w:color="000000" w:fill="FFFFFF"/>
            <w:noWrap/>
            <w:vAlign w:val="bottom"/>
            <w:hideMark/>
          </w:tcPr>
          <w:p w14:paraId="3D06366C"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0.185</w:t>
            </w:r>
          </w:p>
        </w:tc>
        <w:tc>
          <w:tcPr>
            <w:tcW w:w="1559" w:type="dxa"/>
            <w:tcBorders>
              <w:top w:val="nil"/>
              <w:left w:val="nil"/>
              <w:bottom w:val="nil"/>
              <w:right w:val="nil"/>
            </w:tcBorders>
            <w:shd w:val="clear" w:color="000000" w:fill="FFFFFF"/>
            <w:noWrap/>
            <w:vAlign w:val="bottom"/>
            <w:hideMark/>
          </w:tcPr>
          <w:p w14:paraId="32629850"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0.329*</w:t>
            </w:r>
          </w:p>
        </w:tc>
      </w:tr>
      <w:tr w:rsidR="002640E4" w:rsidRPr="00986F85" w14:paraId="04C4A9B0" w14:textId="77777777" w:rsidTr="002640E4">
        <w:trPr>
          <w:trHeight w:val="260"/>
        </w:trPr>
        <w:tc>
          <w:tcPr>
            <w:tcW w:w="3580" w:type="dxa"/>
            <w:tcBorders>
              <w:top w:val="nil"/>
              <w:left w:val="nil"/>
              <w:bottom w:val="nil"/>
              <w:right w:val="nil"/>
            </w:tcBorders>
            <w:shd w:val="clear" w:color="auto" w:fill="auto"/>
            <w:noWrap/>
            <w:vAlign w:val="bottom"/>
            <w:hideMark/>
          </w:tcPr>
          <w:p w14:paraId="64A04554" w14:textId="77777777" w:rsidR="002640E4" w:rsidRPr="00986F85" w:rsidRDefault="002640E4" w:rsidP="002640E4">
            <w:pPr>
              <w:suppressAutoHyphens w:val="0"/>
              <w:spacing w:after="0" w:line="240" w:lineRule="auto"/>
              <w:rPr>
                <w:rFonts w:eastAsia="Times New Roman" w:cs="Arial"/>
                <w:sz w:val="20"/>
                <w:szCs w:val="20"/>
                <w:lang w:val="en-US" w:eastAsia="en-US"/>
              </w:rPr>
            </w:pPr>
          </w:p>
        </w:tc>
        <w:tc>
          <w:tcPr>
            <w:tcW w:w="1580" w:type="dxa"/>
            <w:tcBorders>
              <w:top w:val="nil"/>
              <w:left w:val="nil"/>
              <w:bottom w:val="nil"/>
              <w:right w:val="nil"/>
            </w:tcBorders>
            <w:shd w:val="clear" w:color="000000" w:fill="FFFFFF"/>
            <w:noWrap/>
            <w:vAlign w:val="bottom"/>
            <w:hideMark/>
          </w:tcPr>
          <w:p w14:paraId="73909F06"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(0.156)</w:t>
            </w:r>
          </w:p>
        </w:tc>
        <w:tc>
          <w:tcPr>
            <w:tcW w:w="1518" w:type="dxa"/>
            <w:tcBorders>
              <w:top w:val="nil"/>
              <w:left w:val="nil"/>
              <w:bottom w:val="nil"/>
              <w:right w:val="nil"/>
            </w:tcBorders>
            <w:shd w:val="clear" w:color="000000" w:fill="FFFFFF"/>
            <w:noWrap/>
            <w:vAlign w:val="bottom"/>
            <w:hideMark/>
          </w:tcPr>
          <w:p w14:paraId="0E319E85"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(0.161)</w:t>
            </w:r>
          </w:p>
        </w:tc>
        <w:tc>
          <w:tcPr>
            <w:tcW w:w="1559" w:type="dxa"/>
            <w:tcBorders>
              <w:top w:val="nil"/>
              <w:left w:val="nil"/>
              <w:bottom w:val="nil"/>
              <w:right w:val="nil"/>
            </w:tcBorders>
            <w:shd w:val="clear" w:color="000000" w:fill="FFFFFF"/>
            <w:noWrap/>
            <w:vAlign w:val="bottom"/>
            <w:hideMark/>
          </w:tcPr>
          <w:p w14:paraId="209B192E"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(0.162)</w:t>
            </w:r>
          </w:p>
        </w:tc>
        <w:tc>
          <w:tcPr>
            <w:tcW w:w="1559" w:type="dxa"/>
            <w:tcBorders>
              <w:top w:val="nil"/>
              <w:left w:val="nil"/>
              <w:bottom w:val="nil"/>
              <w:right w:val="nil"/>
            </w:tcBorders>
            <w:shd w:val="clear" w:color="000000" w:fill="FFFFFF"/>
            <w:noWrap/>
            <w:vAlign w:val="bottom"/>
            <w:hideMark/>
          </w:tcPr>
          <w:p w14:paraId="7921AA69"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(0.162)</w:t>
            </w:r>
          </w:p>
        </w:tc>
        <w:tc>
          <w:tcPr>
            <w:tcW w:w="1559" w:type="dxa"/>
            <w:tcBorders>
              <w:top w:val="nil"/>
              <w:left w:val="nil"/>
              <w:bottom w:val="nil"/>
              <w:right w:val="nil"/>
            </w:tcBorders>
            <w:shd w:val="clear" w:color="000000" w:fill="FFFFFF"/>
            <w:noWrap/>
            <w:vAlign w:val="bottom"/>
            <w:hideMark/>
          </w:tcPr>
          <w:p w14:paraId="1B9380E6"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(0.169)</w:t>
            </w:r>
          </w:p>
        </w:tc>
      </w:tr>
      <w:tr w:rsidR="002640E4" w:rsidRPr="00986F85" w14:paraId="73BF8472" w14:textId="77777777" w:rsidTr="002640E4">
        <w:trPr>
          <w:trHeight w:val="260"/>
        </w:trPr>
        <w:tc>
          <w:tcPr>
            <w:tcW w:w="3580" w:type="dxa"/>
            <w:tcBorders>
              <w:top w:val="nil"/>
              <w:left w:val="nil"/>
              <w:bottom w:val="nil"/>
              <w:right w:val="nil"/>
            </w:tcBorders>
            <w:shd w:val="clear" w:color="auto" w:fill="auto"/>
            <w:noWrap/>
            <w:vAlign w:val="bottom"/>
            <w:hideMark/>
          </w:tcPr>
          <w:p w14:paraId="07AE65E9"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Építőipar</w:t>
            </w:r>
          </w:p>
        </w:tc>
        <w:tc>
          <w:tcPr>
            <w:tcW w:w="1580" w:type="dxa"/>
            <w:tcBorders>
              <w:top w:val="nil"/>
              <w:left w:val="nil"/>
              <w:bottom w:val="nil"/>
              <w:right w:val="nil"/>
            </w:tcBorders>
            <w:shd w:val="clear" w:color="000000" w:fill="FFFFFF"/>
            <w:noWrap/>
            <w:vAlign w:val="bottom"/>
            <w:hideMark/>
          </w:tcPr>
          <w:p w14:paraId="48884C1F"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0.191</w:t>
            </w:r>
          </w:p>
        </w:tc>
        <w:tc>
          <w:tcPr>
            <w:tcW w:w="1518" w:type="dxa"/>
            <w:tcBorders>
              <w:top w:val="nil"/>
              <w:left w:val="nil"/>
              <w:bottom w:val="nil"/>
              <w:right w:val="nil"/>
            </w:tcBorders>
            <w:shd w:val="clear" w:color="000000" w:fill="FFFFFF"/>
            <w:noWrap/>
            <w:vAlign w:val="bottom"/>
            <w:hideMark/>
          </w:tcPr>
          <w:p w14:paraId="2FDD2F1C"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0.372***</w:t>
            </w:r>
          </w:p>
        </w:tc>
        <w:tc>
          <w:tcPr>
            <w:tcW w:w="1559" w:type="dxa"/>
            <w:tcBorders>
              <w:top w:val="nil"/>
              <w:left w:val="nil"/>
              <w:bottom w:val="nil"/>
              <w:right w:val="nil"/>
            </w:tcBorders>
            <w:shd w:val="clear" w:color="000000" w:fill="FFFFFF"/>
            <w:noWrap/>
            <w:vAlign w:val="bottom"/>
            <w:hideMark/>
          </w:tcPr>
          <w:p w14:paraId="53650396"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0.377***</w:t>
            </w:r>
          </w:p>
        </w:tc>
        <w:tc>
          <w:tcPr>
            <w:tcW w:w="1559" w:type="dxa"/>
            <w:tcBorders>
              <w:top w:val="nil"/>
              <w:left w:val="nil"/>
              <w:bottom w:val="nil"/>
              <w:right w:val="nil"/>
            </w:tcBorders>
            <w:shd w:val="clear" w:color="000000" w:fill="FFFFFF"/>
            <w:noWrap/>
            <w:vAlign w:val="bottom"/>
            <w:hideMark/>
          </w:tcPr>
          <w:p w14:paraId="65477718"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0.387***</w:t>
            </w:r>
          </w:p>
        </w:tc>
        <w:tc>
          <w:tcPr>
            <w:tcW w:w="1559" w:type="dxa"/>
            <w:tcBorders>
              <w:top w:val="nil"/>
              <w:left w:val="nil"/>
              <w:bottom w:val="nil"/>
              <w:right w:val="nil"/>
            </w:tcBorders>
            <w:shd w:val="clear" w:color="000000" w:fill="FFFFFF"/>
            <w:noWrap/>
            <w:vAlign w:val="bottom"/>
            <w:hideMark/>
          </w:tcPr>
          <w:p w14:paraId="01B0B940"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0.472***</w:t>
            </w:r>
          </w:p>
        </w:tc>
      </w:tr>
      <w:tr w:rsidR="002640E4" w:rsidRPr="00986F85" w14:paraId="638DD82B" w14:textId="77777777" w:rsidTr="002640E4">
        <w:trPr>
          <w:trHeight w:val="260"/>
        </w:trPr>
        <w:tc>
          <w:tcPr>
            <w:tcW w:w="3580" w:type="dxa"/>
            <w:tcBorders>
              <w:top w:val="nil"/>
              <w:left w:val="nil"/>
              <w:bottom w:val="nil"/>
              <w:right w:val="nil"/>
            </w:tcBorders>
            <w:shd w:val="clear" w:color="auto" w:fill="auto"/>
            <w:noWrap/>
            <w:vAlign w:val="bottom"/>
            <w:hideMark/>
          </w:tcPr>
          <w:p w14:paraId="1548EC1A" w14:textId="77777777" w:rsidR="002640E4" w:rsidRPr="00986F85" w:rsidRDefault="002640E4" w:rsidP="002640E4">
            <w:pPr>
              <w:suppressAutoHyphens w:val="0"/>
              <w:spacing w:after="0" w:line="240" w:lineRule="auto"/>
              <w:rPr>
                <w:rFonts w:eastAsia="Times New Roman" w:cs="Arial"/>
                <w:sz w:val="20"/>
                <w:szCs w:val="20"/>
                <w:lang w:val="en-US" w:eastAsia="en-US"/>
              </w:rPr>
            </w:pPr>
          </w:p>
        </w:tc>
        <w:tc>
          <w:tcPr>
            <w:tcW w:w="1580" w:type="dxa"/>
            <w:tcBorders>
              <w:top w:val="nil"/>
              <w:left w:val="nil"/>
              <w:bottom w:val="nil"/>
              <w:right w:val="nil"/>
            </w:tcBorders>
            <w:shd w:val="clear" w:color="000000" w:fill="FFFFFF"/>
            <w:noWrap/>
            <w:vAlign w:val="bottom"/>
            <w:hideMark/>
          </w:tcPr>
          <w:p w14:paraId="29964E08"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(0.124)</w:t>
            </w:r>
          </w:p>
        </w:tc>
        <w:tc>
          <w:tcPr>
            <w:tcW w:w="1518" w:type="dxa"/>
            <w:tcBorders>
              <w:top w:val="nil"/>
              <w:left w:val="nil"/>
              <w:bottom w:val="nil"/>
              <w:right w:val="nil"/>
            </w:tcBorders>
            <w:shd w:val="clear" w:color="000000" w:fill="FFFFFF"/>
            <w:noWrap/>
            <w:vAlign w:val="bottom"/>
            <w:hideMark/>
          </w:tcPr>
          <w:p w14:paraId="063C3F4F"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(0.127)</w:t>
            </w:r>
          </w:p>
        </w:tc>
        <w:tc>
          <w:tcPr>
            <w:tcW w:w="1559" w:type="dxa"/>
            <w:tcBorders>
              <w:top w:val="nil"/>
              <w:left w:val="nil"/>
              <w:bottom w:val="nil"/>
              <w:right w:val="nil"/>
            </w:tcBorders>
            <w:shd w:val="clear" w:color="000000" w:fill="FFFFFF"/>
            <w:noWrap/>
            <w:vAlign w:val="bottom"/>
            <w:hideMark/>
          </w:tcPr>
          <w:p w14:paraId="5055683B"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(0.128)</w:t>
            </w:r>
          </w:p>
        </w:tc>
        <w:tc>
          <w:tcPr>
            <w:tcW w:w="1559" w:type="dxa"/>
            <w:tcBorders>
              <w:top w:val="nil"/>
              <w:left w:val="nil"/>
              <w:bottom w:val="nil"/>
              <w:right w:val="nil"/>
            </w:tcBorders>
            <w:shd w:val="clear" w:color="000000" w:fill="FFFFFF"/>
            <w:noWrap/>
            <w:vAlign w:val="bottom"/>
            <w:hideMark/>
          </w:tcPr>
          <w:p w14:paraId="778C718D"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(0.128)</w:t>
            </w:r>
          </w:p>
        </w:tc>
        <w:tc>
          <w:tcPr>
            <w:tcW w:w="1559" w:type="dxa"/>
            <w:tcBorders>
              <w:top w:val="nil"/>
              <w:left w:val="nil"/>
              <w:bottom w:val="nil"/>
              <w:right w:val="nil"/>
            </w:tcBorders>
            <w:shd w:val="clear" w:color="000000" w:fill="FFFFFF"/>
            <w:noWrap/>
            <w:vAlign w:val="bottom"/>
            <w:hideMark/>
          </w:tcPr>
          <w:p w14:paraId="61ED316C"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(0.133)</w:t>
            </w:r>
          </w:p>
        </w:tc>
      </w:tr>
      <w:tr w:rsidR="002640E4" w:rsidRPr="00986F85" w14:paraId="13D983E4" w14:textId="77777777" w:rsidTr="002640E4">
        <w:trPr>
          <w:trHeight w:val="260"/>
        </w:trPr>
        <w:tc>
          <w:tcPr>
            <w:tcW w:w="3580" w:type="dxa"/>
            <w:tcBorders>
              <w:top w:val="nil"/>
              <w:left w:val="nil"/>
              <w:bottom w:val="nil"/>
              <w:right w:val="nil"/>
            </w:tcBorders>
            <w:shd w:val="clear" w:color="auto" w:fill="auto"/>
            <w:noWrap/>
            <w:vAlign w:val="bottom"/>
            <w:hideMark/>
          </w:tcPr>
          <w:p w14:paraId="53AAE4F4"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Feldolgozóipar</w:t>
            </w:r>
          </w:p>
        </w:tc>
        <w:tc>
          <w:tcPr>
            <w:tcW w:w="1580" w:type="dxa"/>
            <w:tcBorders>
              <w:top w:val="nil"/>
              <w:left w:val="nil"/>
              <w:bottom w:val="nil"/>
              <w:right w:val="nil"/>
            </w:tcBorders>
            <w:shd w:val="clear" w:color="000000" w:fill="FFFFFF"/>
            <w:noWrap/>
            <w:vAlign w:val="bottom"/>
            <w:hideMark/>
          </w:tcPr>
          <w:p w14:paraId="5E1E3DBB"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0.397***</w:t>
            </w:r>
          </w:p>
        </w:tc>
        <w:tc>
          <w:tcPr>
            <w:tcW w:w="1518" w:type="dxa"/>
            <w:tcBorders>
              <w:top w:val="nil"/>
              <w:left w:val="nil"/>
              <w:bottom w:val="nil"/>
              <w:right w:val="nil"/>
            </w:tcBorders>
            <w:shd w:val="clear" w:color="000000" w:fill="FFFFFF"/>
            <w:noWrap/>
            <w:vAlign w:val="bottom"/>
            <w:hideMark/>
          </w:tcPr>
          <w:p w14:paraId="493307A6"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0.505***</w:t>
            </w:r>
          </w:p>
        </w:tc>
        <w:tc>
          <w:tcPr>
            <w:tcW w:w="1559" w:type="dxa"/>
            <w:tcBorders>
              <w:top w:val="nil"/>
              <w:left w:val="nil"/>
              <w:bottom w:val="nil"/>
              <w:right w:val="nil"/>
            </w:tcBorders>
            <w:shd w:val="clear" w:color="000000" w:fill="FFFFFF"/>
            <w:noWrap/>
            <w:vAlign w:val="bottom"/>
            <w:hideMark/>
          </w:tcPr>
          <w:p w14:paraId="45B9478B"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0.512***</w:t>
            </w:r>
          </w:p>
        </w:tc>
        <w:tc>
          <w:tcPr>
            <w:tcW w:w="1559" w:type="dxa"/>
            <w:tcBorders>
              <w:top w:val="nil"/>
              <w:left w:val="nil"/>
              <w:bottom w:val="nil"/>
              <w:right w:val="nil"/>
            </w:tcBorders>
            <w:shd w:val="clear" w:color="000000" w:fill="FFFFFF"/>
            <w:noWrap/>
            <w:vAlign w:val="bottom"/>
            <w:hideMark/>
          </w:tcPr>
          <w:p w14:paraId="6FFA69F9"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0.526***</w:t>
            </w:r>
          </w:p>
        </w:tc>
        <w:tc>
          <w:tcPr>
            <w:tcW w:w="1559" w:type="dxa"/>
            <w:tcBorders>
              <w:top w:val="nil"/>
              <w:left w:val="nil"/>
              <w:bottom w:val="nil"/>
              <w:right w:val="nil"/>
            </w:tcBorders>
            <w:shd w:val="clear" w:color="000000" w:fill="FFFFFF"/>
            <w:noWrap/>
            <w:vAlign w:val="bottom"/>
            <w:hideMark/>
          </w:tcPr>
          <w:p w14:paraId="74C0646C"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0.548***</w:t>
            </w:r>
          </w:p>
        </w:tc>
      </w:tr>
      <w:tr w:rsidR="002640E4" w:rsidRPr="00986F85" w14:paraId="7FCA5348" w14:textId="77777777" w:rsidTr="002640E4">
        <w:trPr>
          <w:trHeight w:val="260"/>
        </w:trPr>
        <w:tc>
          <w:tcPr>
            <w:tcW w:w="3580" w:type="dxa"/>
            <w:tcBorders>
              <w:top w:val="nil"/>
              <w:left w:val="nil"/>
              <w:bottom w:val="nil"/>
              <w:right w:val="nil"/>
            </w:tcBorders>
            <w:shd w:val="clear" w:color="auto" w:fill="auto"/>
            <w:noWrap/>
            <w:vAlign w:val="bottom"/>
            <w:hideMark/>
          </w:tcPr>
          <w:p w14:paraId="1AA570A9" w14:textId="77777777" w:rsidR="002640E4" w:rsidRPr="00986F85" w:rsidRDefault="002640E4" w:rsidP="002640E4">
            <w:pPr>
              <w:suppressAutoHyphens w:val="0"/>
              <w:spacing w:after="0" w:line="240" w:lineRule="auto"/>
              <w:rPr>
                <w:rFonts w:eastAsia="Times New Roman" w:cs="Arial"/>
                <w:sz w:val="20"/>
                <w:szCs w:val="20"/>
                <w:lang w:val="en-US" w:eastAsia="en-US"/>
              </w:rPr>
            </w:pPr>
          </w:p>
        </w:tc>
        <w:tc>
          <w:tcPr>
            <w:tcW w:w="1580" w:type="dxa"/>
            <w:tcBorders>
              <w:top w:val="nil"/>
              <w:left w:val="nil"/>
              <w:bottom w:val="nil"/>
              <w:right w:val="nil"/>
            </w:tcBorders>
            <w:shd w:val="clear" w:color="000000" w:fill="FFFFFF"/>
            <w:noWrap/>
            <w:vAlign w:val="bottom"/>
            <w:hideMark/>
          </w:tcPr>
          <w:p w14:paraId="57DFCB06"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(0.122)</w:t>
            </w:r>
          </w:p>
        </w:tc>
        <w:tc>
          <w:tcPr>
            <w:tcW w:w="1518" w:type="dxa"/>
            <w:tcBorders>
              <w:top w:val="nil"/>
              <w:left w:val="nil"/>
              <w:bottom w:val="nil"/>
              <w:right w:val="nil"/>
            </w:tcBorders>
            <w:shd w:val="clear" w:color="000000" w:fill="FFFFFF"/>
            <w:noWrap/>
            <w:vAlign w:val="bottom"/>
            <w:hideMark/>
          </w:tcPr>
          <w:p w14:paraId="3F7C97E5"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(0.125)</w:t>
            </w:r>
          </w:p>
        </w:tc>
        <w:tc>
          <w:tcPr>
            <w:tcW w:w="1559" w:type="dxa"/>
            <w:tcBorders>
              <w:top w:val="nil"/>
              <w:left w:val="nil"/>
              <w:bottom w:val="nil"/>
              <w:right w:val="nil"/>
            </w:tcBorders>
            <w:shd w:val="clear" w:color="000000" w:fill="FFFFFF"/>
            <w:noWrap/>
            <w:vAlign w:val="bottom"/>
            <w:hideMark/>
          </w:tcPr>
          <w:p w14:paraId="29DC098E"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(0.126)</w:t>
            </w:r>
          </w:p>
        </w:tc>
        <w:tc>
          <w:tcPr>
            <w:tcW w:w="1559" w:type="dxa"/>
            <w:tcBorders>
              <w:top w:val="nil"/>
              <w:left w:val="nil"/>
              <w:bottom w:val="nil"/>
              <w:right w:val="nil"/>
            </w:tcBorders>
            <w:shd w:val="clear" w:color="000000" w:fill="FFFFFF"/>
            <w:noWrap/>
            <w:vAlign w:val="bottom"/>
            <w:hideMark/>
          </w:tcPr>
          <w:p w14:paraId="79674C7F"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(0.126)</w:t>
            </w:r>
          </w:p>
        </w:tc>
        <w:tc>
          <w:tcPr>
            <w:tcW w:w="1559" w:type="dxa"/>
            <w:tcBorders>
              <w:top w:val="nil"/>
              <w:left w:val="nil"/>
              <w:bottom w:val="nil"/>
              <w:right w:val="nil"/>
            </w:tcBorders>
            <w:shd w:val="clear" w:color="000000" w:fill="FFFFFF"/>
            <w:noWrap/>
            <w:vAlign w:val="bottom"/>
            <w:hideMark/>
          </w:tcPr>
          <w:p w14:paraId="0AEEA205"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(0.130)</w:t>
            </w:r>
          </w:p>
        </w:tc>
      </w:tr>
      <w:tr w:rsidR="002640E4" w:rsidRPr="00986F85" w14:paraId="7195394B" w14:textId="77777777" w:rsidTr="002640E4">
        <w:trPr>
          <w:trHeight w:val="260"/>
        </w:trPr>
        <w:tc>
          <w:tcPr>
            <w:tcW w:w="3580" w:type="dxa"/>
            <w:tcBorders>
              <w:top w:val="nil"/>
              <w:left w:val="nil"/>
              <w:bottom w:val="nil"/>
              <w:right w:val="nil"/>
            </w:tcBorders>
            <w:shd w:val="clear" w:color="auto" w:fill="auto"/>
            <w:noWrap/>
            <w:vAlign w:val="bottom"/>
            <w:hideMark/>
          </w:tcPr>
          <w:p w14:paraId="0FE9FD93"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Humán-egészségügyi, szociális ellátás</w:t>
            </w:r>
          </w:p>
        </w:tc>
        <w:tc>
          <w:tcPr>
            <w:tcW w:w="1580" w:type="dxa"/>
            <w:tcBorders>
              <w:top w:val="nil"/>
              <w:left w:val="nil"/>
              <w:bottom w:val="nil"/>
              <w:right w:val="nil"/>
            </w:tcBorders>
            <w:shd w:val="clear" w:color="000000" w:fill="FFFFFF"/>
            <w:noWrap/>
            <w:vAlign w:val="bottom"/>
            <w:hideMark/>
          </w:tcPr>
          <w:p w14:paraId="1EB1B32A"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-0.145</w:t>
            </w:r>
          </w:p>
        </w:tc>
        <w:tc>
          <w:tcPr>
            <w:tcW w:w="1518" w:type="dxa"/>
            <w:tcBorders>
              <w:top w:val="nil"/>
              <w:left w:val="nil"/>
              <w:bottom w:val="nil"/>
              <w:right w:val="nil"/>
            </w:tcBorders>
            <w:shd w:val="clear" w:color="000000" w:fill="FFFFFF"/>
            <w:noWrap/>
            <w:vAlign w:val="bottom"/>
            <w:hideMark/>
          </w:tcPr>
          <w:p w14:paraId="22332608"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0.0830</w:t>
            </w:r>
          </w:p>
        </w:tc>
        <w:tc>
          <w:tcPr>
            <w:tcW w:w="1559" w:type="dxa"/>
            <w:tcBorders>
              <w:top w:val="nil"/>
              <w:left w:val="nil"/>
              <w:bottom w:val="nil"/>
              <w:right w:val="nil"/>
            </w:tcBorders>
            <w:shd w:val="clear" w:color="000000" w:fill="FFFFFF"/>
            <w:noWrap/>
            <w:vAlign w:val="bottom"/>
            <w:hideMark/>
          </w:tcPr>
          <w:p w14:paraId="1F46B73B"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0.0893</w:t>
            </w:r>
          </w:p>
        </w:tc>
        <w:tc>
          <w:tcPr>
            <w:tcW w:w="1559" w:type="dxa"/>
            <w:tcBorders>
              <w:top w:val="nil"/>
              <w:left w:val="nil"/>
              <w:bottom w:val="nil"/>
              <w:right w:val="nil"/>
            </w:tcBorders>
            <w:shd w:val="clear" w:color="000000" w:fill="FFFFFF"/>
            <w:noWrap/>
            <w:vAlign w:val="bottom"/>
            <w:hideMark/>
          </w:tcPr>
          <w:p w14:paraId="76F0205B"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0.101</w:t>
            </w:r>
          </w:p>
        </w:tc>
        <w:tc>
          <w:tcPr>
            <w:tcW w:w="1559" w:type="dxa"/>
            <w:tcBorders>
              <w:top w:val="nil"/>
              <w:left w:val="nil"/>
              <w:bottom w:val="nil"/>
              <w:right w:val="nil"/>
            </w:tcBorders>
            <w:shd w:val="clear" w:color="000000" w:fill="FFFFFF"/>
            <w:noWrap/>
            <w:vAlign w:val="bottom"/>
            <w:hideMark/>
          </w:tcPr>
          <w:p w14:paraId="75163FA9"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0.311**</w:t>
            </w:r>
          </w:p>
        </w:tc>
      </w:tr>
      <w:tr w:rsidR="002640E4" w:rsidRPr="00986F85" w14:paraId="56363340" w14:textId="77777777" w:rsidTr="002640E4">
        <w:trPr>
          <w:trHeight w:val="260"/>
        </w:trPr>
        <w:tc>
          <w:tcPr>
            <w:tcW w:w="3580" w:type="dxa"/>
            <w:tcBorders>
              <w:top w:val="nil"/>
              <w:left w:val="nil"/>
              <w:bottom w:val="nil"/>
              <w:right w:val="nil"/>
            </w:tcBorders>
            <w:shd w:val="clear" w:color="auto" w:fill="auto"/>
            <w:noWrap/>
            <w:vAlign w:val="bottom"/>
            <w:hideMark/>
          </w:tcPr>
          <w:p w14:paraId="04C3D8AD" w14:textId="77777777" w:rsidR="002640E4" w:rsidRPr="00986F85" w:rsidRDefault="002640E4" w:rsidP="002640E4">
            <w:pPr>
              <w:suppressAutoHyphens w:val="0"/>
              <w:spacing w:after="0" w:line="240" w:lineRule="auto"/>
              <w:rPr>
                <w:rFonts w:eastAsia="Times New Roman" w:cs="Arial"/>
                <w:sz w:val="20"/>
                <w:szCs w:val="20"/>
                <w:lang w:val="en-US" w:eastAsia="en-US"/>
              </w:rPr>
            </w:pPr>
          </w:p>
        </w:tc>
        <w:tc>
          <w:tcPr>
            <w:tcW w:w="1580" w:type="dxa"/>
            <w:tcBorders>
              <w:top w:val="nil"/>
              <w:left w:val="nil"/>
              <w:bottom w:val="nil"/>
              <w:right w:val="nil"/>
            </w:tcBorders>
            <w:shd w:val="clear" w:color="000000" w:fill="FFFFFF"/>
            <w:noWrap/>
            <w:vAlign w:val="bottom"/>
            <w:hideMark/>
          </w:tcPr>
          <w:p w14:paraId="685C2403"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(0.143)</w:t>
            </w:r>
          </w:p>
        </w:tc>
        <w:tc>
          <w:tcPr>
            <w:tcW w:w="1518" w:type="dxa"/>
            <w:tcBorders>
              <w:top w:val="nil"/>
              <w:left w:val="nil"/>
              <w:bottom w:val="nil"/>
              <w:right w:val="nil"/>
            </w:tcBorders>
            <w:shd w:val="clear" w:color="000000" w:fill="FFFFFF"/>
            <w:noWrap/>
            <w:vAlign w:val="bottom"/>
            <w:hideMark/>
          </w:tcPr>
          <w:p w14:paraId="31DE65A7"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(0.147)</w:t>
            </w:r>
          </w:p>
        </w:tc>
        <w:tc>
          <w:tcPr>
            <w:tcW w:w="1559" w:type="dxa"/>
            <w:tcBorders>
              <w:top w:val="nil"/>
              <w:left w:val="nil"/>
              <w:bottom w:val="nil"/>
              <w:right w:val="nil"/>
            </w:tcBorders>
            <w:shd w:val="clear" w:color="000000" w:fill="FFFFFF"/>
            <w:noWrap/>
            <w:vAlign w:val="bottom"/>
            <w:hideMark/>
          </w:tcPr>
          <w:p w14:paraId="3BEE73FC"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(0.148)</w:t>
            </w:r>
          </w:p>
        </w:tc>
        <w:tc>
          <w:tcPr>
            <w:tcW w:w="1559" w:type="dxa"/>
            <w:tcBorders>
              <w:top w:val="nil"/>
              <w:left w:val="nil"/>
              <w:bottom w:val="nil"/>
              <w:right w:val="nil"/>
            </w:tcBorders>
            <w:shd w:val="clear" w:color="000000" w:fill="FFFFFF"/>
            <w:noWrap/>
            <w:vAlign w:val="bottom"/>
            <w:hideMark/>
          </w:tcPr>
          <w:p w14:paraId="45E46CDA"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(0.148)</w:t>
            </w:r>
          </w:p>
        </w:tc>
        <w:tc>
          <w:tcPr>
            <w:tcW w:w="1559" w:type="dxa"/>
            <w:tcBorders>
              <w:top w:val="nil"/>
              <w:left w:val="nil"/>
              <w:bottom w:val="nil"/>
              <w:right w:val="nil"/>
            </w:tcBorders>
            <w:shd w:val="clear" w:color="000000" w:fill="FFFFFF"/>
            <w:noWrap/>
            <w:vAlign w:val="bottom"/>
            <w:hideMark/>
          </w:tcPr>
          <w:p w14:paraId="6730CD05"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(0.153)</w:t>
            </w:r>
          </w:p>
        </w:tc>
      </w:tr>
      <w:tr w:rsidR="002640E4" w:rsidRPr="00986F85" w14:paraId="63C7429B" w14:textId="77777777" w:rsidTr="002640E4">
        <w:trPr>
          <w:trHeight w:val="260"/>
        </w:trPr>
        <w:tc>
          <w:tcPr>
            <w:tcW w:w="3580" w:type="dxa"/>
            <w:tcBorders>
              <w:top w:val="nil"/>
              <w:left w:val="nil"/>
              <w:bottom w:val="nil"/>
              <w:right w:val="nil"/>
            </w:tcBorders>
            <w:shd w:val="clear" w:color="auto" w:fill="auto"/>
            <w:noWrap/>
            <w:vAlign w:val="bottom"/>
            <w:hideMark/>
          </w:tcPr>
          <w:p w14:paraId="7858F071"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Információ, kommunikáció</w:t>
            </w:r>
          </w:p>
        </w:tc>
        <w:tc>
          <w:tcPr>
            <w:tcW w:w="1580" w:type="dxa"/>
            <w:tcBorders>
              <w:top w:val="nil"/>
              <w:left w:val="nil"/>
              <w:bottom w:val="nil"/>
              <w:right w:val="nil"/>
            </w:tcBorders>
            <w:shd w:val="clear" w:color="000000" w:fill="FFFFFF"/>
            <w:noWrap/>
            <w:vAlign w:val="bottom"/>
            <w:hideMark/>
          </w:tcPr>
          <w:p w14:paraId="070D2939"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0.213</w:t>
            </w:r>
          </w:p>
        </w:tc>
        <w:tc>
          <w:tcPr>
            <w:tcW w:w="1518" w:type="dxa"/>
            <w:tcBorders>
              <w:top w:val="nil"/>
              <w:left w:val="nil"/>
              <w:bottom w:val="nil"/>
              <w:right w:val="nil"/>
            </w:tcBorders>
            <w:shd w:val="clear" w:color="000000" w:fill="FFFFFF"/>
            <w:noWrap/>
            <w:vAlign w:val="bottom"/>
            <w:hideMark/>
          </w:tcPr>
          <w:p w14:paraId="1EF32116"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0.421***</w:t>
            </w:r>
          </w:p>
        </w:tc>
        <w:tc>
          <w:tcPr>
            <w:tcW w:w="1559" w:type="dxa"/>
            <w:tcBorders>
              <w:top w:val="nil"/>
              <w:left w:val="nil"/>
              <w:bottom w:val="nil"/>
              <w:right w:val="nil"/>
            </w:tcBorders>
            <w:shd w:val="clear" w:color="000000" w:fill="FFFFFF"/>
            <w:noWrap/>
            <w:vAlign w:val="bottom"/>
            <w:hideMark/>
          </w:tcPr>
          <w:p w14:paraId="7049175D"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0.426***</w:t>
            </w:r>
          </w:p>
        </w:tc>
        <w:tc>
          <w:tcPr>
            <w:tcW w:w="1559" w:type="dxa"/>
            <w:tcBorders>
              <w:top w:val="nil"/>
              <w:left w:val="nil"/>
              <w:bottom w:val="nil"/>
              <w:right w:val="nil"/>
            </w:tcBorders>
            <w:shd w:val="clear" w:color="000000" w:fill="FFFFFF"/>
            <w:noWrap/>
            <w:vAlign w:val="bottom"/>
            <w:hideMark/>
          </w:tcPr>
          <w:p w14:paraId="3F124AD7"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0.436***</w:t>
            </w:r>
          </w:p>
        </w:tc>
        <w:tc>
          <w:tcPr>
            <w:tcW w:w="1559" w:type="dxa"/>
            <w:tcBorders>
              <w:top w:val="nil"/>
              <w:left w:val="nil"/>
              <w:bottom w:val="nil"/>
              <w:right w:val="nil"/>
            </w:tcBorders>
            <w:shd w:val="clear" w:color="000000" w:fill="FFFFFF"/>
            <w:noWrap/>
            <w:vAlign w:val="bottom"/>
            <w:hideMark/>
          </w:tcPr>
          <w:p w14:paraId="3BCDDDEB"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0.481***</w:t>
            </w:r>
          </w:p>
        </w:tc>
      </w:tr>
      <w:tr w:rsidR="002640E4" w:rsidRPr="00986F85" w14:paraId="001925CD" w14:textId="77777777" w:rsidTr="002640E4">
        <w:trPr>
          <w:trHeight w:val="260"/>
        </w:trPr>
        <w:tc>
          <w:tcPr>
            <w:tcW w:w="3580" w:type="dxa"/>
            <w:tcBorders>
              <w:top w:val="nil"/>
              <w:left w:val="nil"/>
              <w:bottom w:val="nil"/>
              <w:right w:val="nil"/>
            </w:tcBorders>
            <w:shd w:val="clear" w:color="auto" w:fill="auto"/>
            <w:noWrap/>
            <w:vAlign w:val="bottom"/>
            <w:hideMark/>
          </w:tcPr>
          <w:p w14:paraId="6E532406" w14:textId="77777777" w:rsidR="002640E4" w:rsidRPr="00986F85" w:rsidRDefault="002640E4" w:rsidP="002640E4">
            <w:pPr>
              <w:suppressAutoHyphens w:val="0"/>
              <w:spacing w:after="0" w:line="240" w:lineRule="auto"/>
              <w:rPr>
                <w:rFonts w:eastAsia="Times New Roman" w:cs="Arial"/>
                <w:sz w:val="20"/>
                <w:szCs w:val="20"/>
                <w:lang w:val="en-US" w:eastAsia="en-US"/>
              </w:rPr>
            </w:pPr>
          </w:p>
        </w:tc>
        <w:tc>
          <w:tcPr>
            <w:tcW w:w="1580" w:type="dxa"/>
            <w:tcBorders>
              <w:top w:val="nil"/>
              <w:left w:val="nil"/>
              <w:bottom w:val="nil"/>
              <w:right w:val="nil"/>
            </w:tcBorders>
            <w:shd w:val="clear" w:color="000000" w:fill="FFFFFF"/>
            <w:noWrap/>
            <w:vAlign w:val="bottom"/>
            <w:hideMark/>
          </w:tcPr>
          <w:p w14:paraId="0699F3B8"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(0.135)</w:t>
            </w:r>
          </w:p>
        </w:tc>
        <w:tc>
          <w:tcPr>
            <w:tcW w:w="1518" w:type="dxa"/>
            <w:tcBorders>
              <w:top w:val="nil"/>
              <w:left w:val="nil"/>
              <w:bottom w:val="nil"/>
              <w:right w:val="nil"/>
            </w:tcBorders>
            <w:shd w:val="clear" w:color="000000" w:fill="FFFFFF"/>
            <w:noWrap/>
            <w:vAlign w:val="bottom"/>
            <w:hideMark/>
          </w:tcPr>
          <w:p w14:paraId="5B277EEF"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(0.139)</w:t>
            </w:r>
          </w:p>
        </w:tc>
        <w:tc>
          <w:tcPr>
            <w:tcW w:w="1559" w:type="dxa"/>
            <w:tcBorders>
              <w:top w:val="nil"/>
              <w:left w:val="nil"/>
              <w:bottom w:val="nil"/>
              <w:right w:val="nil"/>
            </w:tcBorders>
            <w:shd w:val="clear" w:color="000000" w:fill="FFFFFF"/>
            <w:noWrap/>
            <w:vAlign w:val="bottom"/>
            <w:hideMark/>
          </w:tcPr>
          <w:p w14:paraId="153D6D4B"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(0.139)</w:t>
            </w:r>
          </w:p>
        </w:tc>
        <w:tc>
          <w:tcPr>
            <w:tcW w:w="1559" w:type="dxa"/>
            <w:tcBorders>
              <w:top w:val="nil"/>
              <w:left w:val="nil"/>
              <w:bottom w:val="nil"/>
              <w:right w:val="nil"/>
            </w:tcBorders>
            <w:shd w:val="clear" w:color="000000" w:fill="FFFFFF"/>
            <w:noWrap/>
            <w:vAlign w:val="bottom"/>
            <w:hideMark/>
          </w:tcPr>
          <w:p w14:paraId="7096A13F"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(0.140)</w:t>
            </w:r>
          </w:p>
        </w:tc>
        <w:tc>
          <w:tcPr>
            <w:tcW w:w="1559" w:type="dxa"/>
            <w:tcBorders>
              <w:top w:val="nil"/>
              <w:left w:val="nil"/>
              <w:bottom w:val="nil"/>
              <w:right w:val="nil"/>
            </w:tcBorders>
            <w:shd w:val="clear" w:color="000000" w:fill="FFFFFF"/>
            <w:noWrap/>
            <w:vAlign w:val="bottom"/>
            <w:hideMark/>
          </w:tcPr>
          <w:p w14:paraId="5DB4E745"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(0.145)</w:t>
            </w:r>
          </w:p>
        </w:tc>
      </w:tr>
      <w:tr w:rsidR="002640E4" w:rsidRPr="00986F85" w14:paraId="220A5685" w14:textId="77777777" w:rsidTr="002640E4">
        <w:trPr>
          <w:trHeight w:val="260"/>
        </w:trPr>
        <w:tc>
          <w:tcPr>
            <w:tcW w:w="3580" w:type="dxa"/>
            <w:tcBorders>
              <w:top w:val="nil"/>
              <w:left w:val="nil"/>
              <w:bottom w:val="nil"/>
              <w:right w:val="nil"/>
            </w:tcBorders>
            <w:shd w:val="clear" w:color="auto" w:fill="auto"/>
            <w:noWrap/>
            <w:vAlign w:val="bottom"/>
            <w:hideMark/>
          </w:tcPr>
          <w:p w14:paraId="5FCBD3E1"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Ingatlanügyek</w:t>
            </w:r>
          </w:p>
        </w:tc>
        <w:tc>
          <w:tcPr>
            <w:tcW w:w="1580" w:type="dxa"/>
            <w:tcBorders>
              <w:top w:val="nil"/>
              <w:left w:val="nil"/>
              <w:bottom w:val="nil"/>
              <w:right w:val="nil"/>
            </w:tcBorders>
            <w:shd w:val="clear" w:color="000000" w:fill="FFFFFF"/>
            <w:noWrap/>
            <w:vAlign w:val="bottom"/>
            <w:hideMark/>
          </w:tcPr>
          <w:p w14:paraId="298C579A"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-0.0590</w:t>
            </w:r>
          </w:p>
        </w:tc>
        <w:tc>
          <w:tcPr>
            <w:tcW w:w="1518" w:type="dxa"/>
            <w:tcBorders>
              <w:top w:val="nil"/>
              <w:left w:val="nil"/>
              <w:bottom w:val="nil"/>
              <w:right w:val="nil"/>
            </w:tcBorders>
            <w:shd w:val="clear" w:color="000000" w:fill="FFFFFF"/>
            <w:noWrap/>
            <w:vAlign w:val="bottom"/>
            <w:hideMark/>
          </w:tcPr>
          <w:p w14:paraId="08096F8A"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0.152</w:t>
            </w:r>
          </w:p>
        </w:tc>
        <w:tc>
          <w:tcPr>
            <w:tcW w:w="1559" w:type="dxa"/>
            <w:tcBorders>
              <w:top w:val="nil"/>
              <w:left w:val="nil"/>
              <w:bottom w:val="nil"/>
              <w:right w:val="nil"/>
            </w:tcBorders>
            <w:shd w:val="clear" w:color="000000" w:fill="FFFFFF"/>
            <w:noWrap/>
            <w:vAlign w:val="bottom"/>
            <w:hideMark/>
          </w:tcPr>
          <w:p w14:paraId="6D08A446"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0.152</w:t>
            </w:r>
          </w:p>
        </w:tc>
        <w:tc>
          <w:tcPr>
            <w:tcW w:w="1559" w:type="dxa"/>
            <w:tcBorders>
              <w:top w:val="nil"/>
              <w:left w:val="nil"/>
              <w:bottom w:val="nil"/>
              <w:right w:val="nil"/>
            </w:tcBorders>
            <w:shd w:val="clear" w:color="000000" w:fill="FFFFFF"/>
            <w:noWrap/>
            <w:vAlign w:val="bottom"/>
            <w:hideMark/>
          </w:tcPr>
          <w:p w14:paraId="7F92F288"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0.160</w:t>
            </w:r>
          </w:p>
        </w:tc>
        <w:tc>
          <w:tcPr>
            <w:tcW w:w="1559" w:type="dxa"/>
            <w:tcBorders>
              <w:top w:val="nil"/>
              <w:left w:val="nil"/>
              <w:bottom w:val="nil"/>
              <w:right w:val="nil"/>
            </w:tcBorders>
            <w:shd w:val="clear" w:color="000000" w:fill="FFFFFF"/>
            <w:noWrap/>
            <w:vAlign w:val="bottom"/>
            <w:hideMark/>
          </w:tcPr>
          <w:p w14:paraId="436F5B32"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0.0582</w:t>
            </w:r>
          </w:p>
        </w:tc>
      </w:tr>
      <w:tr w:rsidR="002640E4" w:rsidRPr="00986F85" w14:paraId="7B37436D" w14:textId="77777777" w:rsidTr="002640E4">
        <w:trPr>
          <w:trHeight w:val="260"/>
        </w:trPr>
        <w:tc>
          <w:tcPr>
            <w:tcW w:w="3580" w:type="dxa"/>
            <w:tcBorders>
              <w:top w:val="nil"/>
              <w:left w:val="nil"/>
              <w:bottom w:val="nil"/>
              <w:right w:val="nil"/>
            </w:tcBorders>
            <w:shd w:val="clear" w:color="auto" w:fill="auto"/>
            <w:noWrap/>
            <w:vAlign w:val="bottom"/>
            <w:hideMark/>
          </w:tcPr>
          <w:p w14:paraId="01A5FF7E" w14:textId="77777777" w:rsidR="002640E4" w:rsidRPr="00986F85" w:rsidRDefault="002640E4" w:rsidP="002640E4">
            <w:pPr>
              <w:suppressAutoHyphens w:val="0"/>
              <w:spacing w:after="0" w:line="240" w:lineRule="auto"/>
              <w:rPr>
                <w:rFonts w:eastAsia="Times New Roman" w:cs="Arial"/>
                <w:sz w:val="20"/>
                <w:szCs w:val="20"/>
                <w:lang w:val="en-US" w:eastAsia="en-US"/>
              </w:rPr>
            </w:pPr>
          </w:p>
        </w:tc>
        <w:tc>
          <w:tcPr>
            <w:tcW w:w="1580" w:type="dxa"/>
            <w:tcBorders>
              <w:top w:val="nil"/>
              <w:left w:val="nil"/>
              <w:bottom w:val="nil"/>
              <w:right w:val="nil"/>
            </w:tcBorders>
            <w:shd w:val="clear" w:color="000000" w:fill="FFFFFF"/>
            <w:noWrap/>
            <w:vAlign w:val="bottom"/>
            <w:hideMark/>
          </w:tcPr>
          <w:p w14:paraId="584729B6"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(0.137)</w:t>
            </w:r>
          </w:p>
        </w:tc>
        <w:tc>
          <w:tcPr>
            <w:tcW w:w="1518" w:type="dxa"/>
            <w:tcBorders>
              <w:top w:val="nil"/>
              <w:left w:val="nil"/>
              <w:bottom w:val="nil"/>
              <w:right w:val="nil"/>
            </w:tcBorders>
            <w:shd w:val="clear" w:color="000000" w:fill="FFFFFF"/>
            <w:noWrap/>
            <w:vAlign w:val="bottom"/>
            <w:hideMark/>
          </w:tcPr>
          <w:p w14:paraId="3D181A03"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(0.141)</w:t>
            </w:r>
          </w:p>
        </w:tc>
        <w:tc>
          <w:tcPr>
            <w:tcW w:w="1559" w:type="dxa"/>
            <w:tcBorders>
              <w:top w:val="nil"/>
              <w:left w:val="nil"/>
              <w:bottom w:val="nil"/>
              <w:right w:val="nil"/>
            </w:tcBorders>
            <w:shd w:val="clear" w:color="000000" w:fill="FFFFFF"/>
            <w:noWrap/>
            <w:vAlign w:val="bottom"/>
            <w:hideMark/>
          </w:tcPr>
          <w:p w14:paraId="60AAC3CC"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(0.141)</w:t>
            </w:r>
          </w:p>
        </w:tc>
        <w:tc>
          <w:tcPr>
            <w:tcW w:w="1559" w:type="dxa"/>
            <w:tcBorders>
              <w:top w:val="nil"/>
              <w:left w:val="nil"/>
              <w:bottom w:val="nil"/>
              <w:right w:val="nil"/>
            </w:tcBorders>
            <w:shd w:val="clear" w:color="000000" w:fill="FFFFFF"/>
            <w:noWrap/>
            <w:vAlign w:val="bottom"/>
            <w:hideMark/>
          </w:tcPr>
          <w:p w14:paraId="122659BB"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(0.141)</w:t>
            </w:r>
          </w:p>
        </w:tc>
        <w:tc>
          <w:tcPr>
            <w:tcW w:w="1559" w:type="dxa"/>
            <w:tcBorders>
              <w:top w:val="nil"/>
              <w:left w:val="nil"/>
              <w:bottom w:val="nil"/>
              <w:right w:val="nil"/>
            </w:tcBorders>
            <w:shd w:val="clear" w:color="000000" w:fill="FFFFFF"/>
            <w:noWrap/>
            <w:vAlign w:val="bottom"/>
            <w:hideMark/>
          </w:tcPr>
          <w:p w14:paraId="644D0EA2"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(0.146)</w:t>
            </w:r>
          </w:p>
        </w:tc>
      </w:tr>
      <w:tr w:rsidR="002640E4" w:rsidRPr="00986F85" w14:paraId="778787BE" w14:textId="77777777" w:rsidTr="002640E4">
        <w:trPr>
          <w:trHeight w:val="260"/>
        </w:trPr>
        <w:tc>
          <w:tcPr>
            <w:tcW w:w="3580" w:type="dxa"/>
            <w:tcBorders>
              <w:top w:val="nil"/>
              <w:left w:val="nil"/>
              <w:bottom w:val="nil"/>
              <w:right w:val="nil"/>
            </w:tcBorders>
            <w:shd w:val="clear" w:color="auto" w:fill="auto"/>
            <w:noWrap/>
            <w:vAlign w:val="bottom"/>
            <w:hideMark/>
          </w:tcPr>
          <w:p w14:paraId="12229FFE"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Kereskedelem, gépjárműjavítás</w:t>
            </w:r>
          </w:p>
        </w:tc>
        <w:tc>
          <w:tcPr>
            <w:tcW w:w="1580" w:type="dxa"/>
            <w:tcBorders>
              <w:top w:val="nil"/>
              <w:left w:val="nil"/>
              <w:bottom w:val="nil"/>
              <w:right w:val="nil"/>
            </w:tcBorders>
            <w:shd w:val="clear" w:color="000000" w:fill="FFFFFF"/>
            <w:noWrap/>
            <w:vAlign w:val="bottom"/>
            <w:hideMark/>
          </w:tcPr>
          <w:p w14:paraId="55607C42"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0.124</w:t>
            </w:r>
          </w:p>
        </w:tc>
        <w:tc>
          <w:tcPr>
            <w:tcW w:w="1518" w:type="dxa"/>
            <w:tcBorders>
              <w:top w:val="nil"/>
              <w:left w:val="nil"/>
              <w:bottom w:val="nil"/>
              <w:right w:val="nil"/>
            </w:tcBorders>
            <w:shd w:val="clear" w:color="000000" w:fill="FFFFFF"/>
            <w:noWrap/>
            <w:vAlign w:val="bottom"/>
            <w:hideMark/>
          </w:tcPr>
          <w:p w14:paraId="718BD786"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0.331***</w:t>
            </w:r>
          </w:p>
        </w:tc>
        <w:tc>
          <w:tcPr>
            <w:tcW w:w="1559" w:type="dxa"/>
            <w:tcBorders>
              <w:top w:val="nil"/>
              <w:left w:val="nil"/>
              <w:bottom w:val="nil"/>
              <w:right w:val="nil"/>
            </w:tcBorders>
            <w:shd w:val="clear" w:color="000000" w:fill="FFFFFF"/>
            <w:noWrap/>
            <w:vAlign w:val="bottom"/>
            <w:hideMark/>
          </w:tcPr>
          <w:p w14:paraId="1CD830EF"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0.335***</w:t>
            </w:r>
          </w:p>
        </w:tc>
        <w:tc>
          <w:tcPr>
            <w:tcW w:w="1559" w:type="dxa"/>
            <w:tcBorders>
              <w:top w:val="nil"/>
              <w:left w:val="nil"/>
              <w:bottom w:val="nil"/>
              <w:right w:val="nil"/>
            </w:tcBorders>
            <w:shd w:val="clear" w:color="000000" w:fill="FFFFFF"/>
            <w:noWrap/>
            <w:vAlign w:val="bottom"/>
            <w:hideMark/>
          </w:tcPr>
          <w:p w14:paraId="2CDA010A"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0.347***</w:t>
            </w:r>
          </w:p>
        </w:tc>
        <w:tc>
          <w:tcPr>
            <w:tcW w:w="1559" w:type="dxa"/>
            <w:tcBorders>
              <w:top w:val="nil"/>
              <w:left w:val="nil"/>
              <w:bottom w:val="nil"/>
              <w:right w:val="nil"/>
            </w:tcBorders>
            <w:shd w:val="clear" w:color="000000" w:fill="FFFFFF"/>
            <w:noWrap/>
            <w:vAlign w:val="bottom"/>
            <w:hideMark/>
          </w:tcPr>
          <w:p w14:paraId="4266A9A9"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0.236*</w:t>
            </w:r>
          </w:p>
        </w:tc>
      </w:tr>
      <w:tr w:rsidR="002640E4" w:rsidRPr="00986F85" w14:paraId="3C69A4E8" w14:textId="77777777" w:rsidTr="002640E4">
        <w:trPr>
          <w:trHeight w:val="260"/>
        </w:trPr>
        <w:tc>
          <w:tcPr>
            <w:tcW w:w="3580" w:type="dxa"/>
            <w:tcBorders>
              <w:top w:val="nil"/>
              <w:left w:val="nil"/>
              <w:bottom w:val="nil"/>
              <w:right w:val="nil"/>
            </w:tcBorders>
            <w:shd w:val="clear" w:color="auto" w:fill="auto"/>
            <w:noWrap/>
            <w:vAlign w:val="bottom"/>
            <w:hideMark/>
          </w:tcPr>
          <w:p w14:paraId="256F6B94" w14:textId="77777777" w:rsidR="002640E4" w:rsidRPr="00986F85" w:rsidRDefault="002640E4" w:rsidP="002640E4">
            <w:pPr>
              <w:suppressAutoHyphens w:val="0"/>
              <w:spacing w:after="0" w:line="240" w:lineRule="auto"/>
              <w:rPr>
                <w:rFonts w:eastAsia="Times New Roman" w:cs="Arial"/>
                <w:sz w:val="20"/>
                <w:szCs w:val="20"/>
                <w:lang w:val="en-US" w:eastAsia="en-US"/>
              </w:rPr>
            </w:pPr>
          </w:p>
        </w:tc>
        <w:tc>
          <w:tcPr>
            <w:tcW w:w="1580" w:type="dxa"/>
            <w:tcBorders>
              <w:top w:val="nil"/>
              <w:left w:val="nil"/>
              <w:bottom w:val="nil"/>
              <w:right w:val="nil"/>
            </w:tcBorders>
            <w:shd w:val="clear" w:color="000000" w:fill="FFFFFF"/>
            <w:noWrap/>
            <w:vAlign w:val="bottom"/>
            <w:hideMark/>
          </w:tcPr>
          <w:p w14:paraId="3E7EC171"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(0.122)</w:t>
            </w:r>
          </w:p>
        </w:tc>
        <w:tc>
          <w:tcPr>
            <w:tcW w:w="1518" w:type="dxa"/>
            <w:tcBorders>
              <w:top w:val="nil"/>
              <w:left w:val="nil"/>
              <w:bottom w:val="nil"/>
              <w:right w:val="nil"/>
            </w:tcBorders>
            <w:shd w:val="clear" w:color="000000" w:fill="FFFFFF"/>
            <w:noWrap/>
            <w:vAlign w:val="bottom"/>
            <w:hideMark/>
          </w:tcPr>
          <w:p w14:paraId="1FCFDA21"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(0.125)</w:t>
            </w:r>
          </w:p>
        </w:tc>
        <w:tc>
          <w:tcPr>
            <w:tcW w:w="1559" w:type="dxa"/>
            <w:tcBorders>
              <w:top w:val="nil"/>
              <w:left w:val="nil"/>
              <w:bottom w:val="nil"/>
              <w:right w:val="nil"/>
            </w:tcBorders>
            <w:shd w:val="clear" w:color="000000" w:fill="FFFFFF"/>
            <w:noWrap/>
            <w:vAlign w:val="bottom"/>
            <w:hideMark/>
          </w:tcPr>
          <w:p w14:paraId="03EFE1CF"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(0.126)</w:t>
            </w:r>
          </w:p>
        </w:tc>
        <w:tc>
          <w:tcPr>
            <w:tcW w:w="1559" w:type="dxa"/>
            <w:tcBorders>
              <w:top w:val="nil"/>
              <w:left w:val="nil"/>
              <w:bottom w:val="nil"/>
              <w:right w:val="nil"/>
            </w:tcBorders>
            <w:shd w:val="clear" w:color="000000" w:fill="FFFFFF"/>
            <w:noWrap/>
            <w:vAlign w:val="bottom"/>
            <w:hideMark/>
          </w:tcPr>
          <w:p w14:paraId="24B6700F"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(0.126)</w:t>
            </w:r>
          </w:p>
        </w:tc>
        <w:tc>
          <w:tcPr>
            <w:tcW w:w="1559" w:type="dxa"/>
            <w:tcBorders>
              <w:top w:val="nil"/>
              <w:left w:val="nil"/>
              <w:bottom w:val="nil"/>
              <w:right w:val="nil"/>
            </w:tcBorders>
            <w:shd w:val="clear" w:color="000000" w:fill="FFFFFF"/>
            <w:noWrap/>
            <w:vAlign w:val="bottom"/>
            <w:hideMark/>
          </w:tcPr>
          <w:p w14:paraId="05F5A939"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(0.131)</w:t>
            </w:r>
          </w:p>
        </w:tc>
      </w:tr>
      <w:tr w:rsidR="002640E4" w:rsidRPr="00986F85" w14:paraId="44E17A5D" w14:textId="77777777" w:rsidTr="002640E4">
        <w:trPr>
          <w:trHeight w:val="260"/>
        </w:trPr>
        <w:tc>
          <w:tcPr>
            <w:tcW w:w="3580" w:type="dxa"/>
            <w:tcBorders>
              <w:top w:val="nil"/>
              <w:left w:val="nil"/>
              <w:bottom w:val="nil"/>
              <w:right w:val="nil"/>
            </w:tcBorders>
            <w:shd w:val="clear" w:color="auto" w:fill="auto"/>
            <w:noWrap/>
            <w:vAlign w:val="bottom"/>
            <w:hideMark/>
          </w:tcPr>
          <w:p w14:paraId="3BE830C6"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Közigazgatás, védelem; kötelező tb.</w:t>
            </w:r>
          </w:p>
        </w:tc>
        <w:tc>
          <w:tcPr>
            <w:tcW w:w="1580" w:type="dxa"/>
            <w:tcBorders>
              <w:top w:val="nil"/>
              <w:left w:val="nil"/>
              <w:bottom w:val="nil"/>
              <w:right w:val="nil"/>
            </w:tcBorders>
            <w:shd w:val="clear" w:color="000000" w:fill="FFFFFF"/>
            <w:noWrap/>
            <w:vAlign w:val="bottom"/>
            <w:hideMark/>
          </w:tcPr>
          <w:p w14:paraId="55A3E343"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0.458</w:t>
            </w:r>
          </w:p>
        </w:tc>
        <w:tc>
          <w:tcPr>
            <w:tcW w:w="1518" w:type="dxa"/>
            <w:tcBorders>
              <w:top w:val="nil"/>
              <w:left w:val="nil"/>
              <w:bottom w:val="nil"/>
              <w:right w:val="nil"/>
            </w:tcBorders>
            <w:shd w:val="clear" w:color="000000" w:fill="FFFFFF"/>
            <w:noWrap/>
            <w:vAlign w:val="bottom"/>
            <w:hideMark/>
          </w:tcPr>
          <w:p w14:paraId="0B52582F"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0.380</w:t>
            </w:r>
          </w:p>
        </w:tc>
        <w:tc>
          <w:tcPr>
            <w:tcW w:w="1559" w:type="dxa"/>
            <w:tcBorders>
              <w:top w:val="nil"/>
              <w:left w:val="nil"/>
              <w:bottom w:val="nil"/>
              <w:right w:val="nil"/>
            </w:tcBorders>
            <w:shd w:val="clear" w:color="000000" w:fill="FFFFFF"/>
            <w:noWrap/>
            <w:vAlign w:val="bottom"/>
            <w:hideMark/>
          </w:tcPr>
          <w:p w14:paraId="710DCA8E"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0.393</w:t>
            </w:r>
          </w:p>
        </w:tc>
        <w:tc>
          <w:tcPr>
            <w:tcW w:w="1559" w:type="dxa"/>
            <w:tcBorders>
              <w:top w:val="nil"/>
              <w:left w:val="nil"/>
              <w:bottom w:val="nil"/>
              <w:right w:val="nil"/>
            </w:tcBorders>
            <w:shd w:val="clear" w:color="000000" w:fill="FFFFFF"/>
            <w:noWrap/>
            <w:vAlign w:val="bottom"/>
            <w:hideMark/>
          </w:tcPr>
          <w:p w14:paraId="39208E5E"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0.401</w:t>
            </w:r>
          </w:p>
        </w:tc>
        <w:tc>
          <w:tcPr>
            <w:tcW w:w="1559" w:type="dxa"/>
            <w:tcBorders>
              <w:top w:val="nil"/>
              <w:left w:val="nil"/>
              <w:bottom w:val="nil"/>
              <w:right w:val="nil"/>
            </w:tcBorders>
            <w:shd w:val="clear" w:color="000000" w:fill="FFFFFF"/>
            <w:noWrap/>
            <w:vAlign w:val="bottom"/>
            <w:hideMark/>
          </w:tcPr>
          <w:p w14:paraId="31026B77"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0.780</w:t>
            </w:r>
          </w:p>
        </w:tc>
      </w:tr>
      <w:tr w:rsidR="002640E4" w:rsidRPr="00986F85" w14:paraId="5AC07633" w14:textId="77777777" w:rsidTr="002640E4">
        <w:trPr>
          <w:trHeight w:val="260"/>
        </w:trPr>
        <w:tc>
          <w:tcPr>
            <w:tcW w:w="3580" w:type="dxa"/>
            <w:tcBorders>
              <w:top w:val="nil"/>
              <w:left w:val="nil"/>
              <w:bottom w:val="nil"/>
              <w:right w:val="nil"/>
            </w:tcBorders>
            <w:shd w:val="clear" w:color="auto" w:fill="auto"/>
            <w:noWrap/>
            <w:vAlign w:val="bottom"/>
            <w:hideMark/>
          </w:tcPr>
          <w:p w14:paraId="19201C3A" w14:textId="77777777" w:rsidR="002640E4" w:rsidRPr="00986F85" w:rsidRDefault="002640E4" w:rsidP="002640E4">
            <w:pPr>
              <w:suppressAutoHyphens w:val="0"/>
              <w:spacing w:after="0" w:line="240" w:lineRule="auto"/>
              <w:rPr>
                <w:rFonts w:eastAsia="Times New Roman" w:cs="Arial"/>
                <w:sz w:val="20"/>
                <w:szCs w:val="20"/>
                <w:lang w:val="en-US" w:eastAsia="en-US"/>
              </w:rPr>
            </w:pPr>
          </w:p>
        </w:tc>
        <w:tc>
          <w:tcPr>
            <w:tcW w:w="1580" w:type="dxa"/>
            <w:tcBorders>
              <w:top w:val="nil"/>
              <w:left w:val="nil"/>
              <w:bottom w:val="nil"/>
              <w:right w:val="nil"/>
            </w:tcBorders>
            <w:shd w:val="clear" w:color="000000" w:fill="FFFFFF"/>
            <w:noWrap/>
            <w:vAlign w:val="bottom"/>
            <w:hideMark/>
          </w:tcPr>
          <w:p w14:paraId="7FE799C2"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(0.553)</w:t>
            </w:r>
          </w:p>
        </w:tc>
        <w:tc>
          <w:tcPr>
            <w:tcW w:w="1518" w:type="dxa"/>
            <w:tcBorders>
              <w:top w:val="nil"/>
              <w:left w:val="nil"/>
              <w:bottom w:val="nil"/>
              <w:right w:val="nil"/>
            </w:tcBorders>
            <w:shd w:val="clear" w:color="000000" w:fill="FFFFFF"/>
            <w:noWrap/>
            <w:vAlign w:val="bottom"/>
            <w:hideMark/>
          </w:tcPr>
          <w:p w14:paraId="7302AC9F"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(0.587)</w:t>
            </w:r>
          </w:p>
        </w:tc>
        <w:tc>
          <w:tcPr>
            <w:tcW w:w="1559" w:type="dxa"/>
            <w:tcBorders>
              <w:top w:val="nil"/>
              <w:left w:val="nil"/>
              <w:bottom w:val="nil"/>
              <w:right w:val="nil"/>
            </w:tcBorders>
            <w:shd w:val="clear" w:color="000000" w:fill="FFFFFF"/>
            <w:noWrap/>
            <w:vAlign w:val="bottom"/>
            <w:hideMark/>
          </w:tcPr>
          <w:p w14:paraId="48A5476C"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(0.586)</w:t>
            </w:r>
          </w:p>
        </w:tc>
        <w:tc>
          <w:tcPr>
            <w:tcW w:w="1559" w:type="dxa"/>
            <w:tcBorders>
              <w:top w:val="nil"/>
              <w:left w:val="nil"/>
              <w:bottom w:val="nil"/>
              <w:right w:val="nil"/>
            </w:tcBorders>
            <w:shd w:val="clear" w:color="000000" w:fill="FFFFFF"/>
            <w:noWrap/>
            <w:vAlign w:val="bottom"/>
            <w:hideMark/>
          </w:tcPr>
          <w:p w14:paraId="07B1D739"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(0.586)</w:t>
            </w:r>
          </w:p>
        </w:tc>
        <w:tc>
          <w:tcPr>
            <w:tcW w:w="1559" w:type="dxa"/>
            <w:tcBorders>
              <w:top w:val="nil"/>
              <w:left w:val="nil"/>
              <w:bottom w:val="nil"/>
              <w:right w:val="nil"/>
            </w:tcBorders>
            <w:shd w:val="clear" w:color="000000" w:fill="FFFFFF"/>
            <w:noWrap/>
            <w:vAlign w:val="bottom"/>
            <w:hideMark/>
          </w:tcPr>
          <w:p w14:paraId="4C9A6924"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(0.579)</w:t>
            </w:r>
          </w:p>
        </w:tc>
      </w:tr>
      <w:tr w:rsidR="002640E4" w:rsidRPr="00986F85" w14:paraId="3C47FFAF" w14:textId="77777777" w:rsidTr="002640E4">
        <w:trPr>
          <w:trHeight w:val="260"/>
        </w:trPr>
        <w:tc>
          <w:tcPr>
            <w:tcW w:w="3580" w:type="dxa"/>
            <w:tcBorders>
              <w:top w:val="nil"/>
              <w:left w:val="nil"/>
              <w:bottom w:val="nil"/>
              <w:right w:val="nil"/>
            </w:tcBorders>
            <w:shd w:val="clear" w:color="auto" w:fill="auto"/>
            <w:noWrap/>
            <w:vAlign w:val="bottom"/>
            <w:hideMark/>
          </w:tcPr>
          <w:p w14:paraId="2483607D"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Mezőgazdaság, erdőgazdaság, halászat</w:t>
            </w:r>
          </w:p>
        </w:tc>
        <w:tc>
          <w:tcPr>
            <w:tcW w:w="1580" w:type="dxa"/>
            <w:tcBorders>
              <w:top w:val="nil"/>
              <w:left w:val="nil"/>
              <w:bottom w:val="nil"/>
              <w:right w:val="nil"/>
            </w:tcBorders>
            <w:shd w:val="clear" w:color="000000" w:fill="FFFFFF"/>
            <w:noWrap/>
            <w:vAlign w:val="bottom"/>
            <w:hideMark/>
          </w:tcPr>
          <w:p w14:paraId="5F196CB5"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-1.072***</w:t>
            </w:r>
          </w:p>
        </w:tc>
        <w:tc>
          <w:tcPr>
            <w:tcW w:w="1518" w:type="dxa"/>
            <w:tcBorders>
              <w:top w:val="nil"/>
              <w:left w:val="nil"/>
              <w:bottom w:val="nil"/>
              <w:right w:val="nil"/>
            </w:tcBorders>
            <w:shd w:val="clear" w:color="000000" w:fill="FFFFFF"/>
            <w:noWrap/>
            <w:vAlign w:val="bottom"/>
            <w:hideMark/>
          </w:tcPr>
          <w:p w14:paraId="6D6C38AA"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-0.967***</w:t>
            </w:r>
          </w:p>
        </w:tc>
        <w:tc>
          <w:tcPr>
            <w:tcW w:w="1559" w:type="dxa"/>
            <w:tcBorders>
              <w:top w:val="nil"/>
              <w:left w:val="nil"/>
              <w:bottom w:val="nil"/>
              <w:right w:val="nil"/>
            </w:tcBorders>
            <w:shd w:val="clear" w:color="000000" w:fill="FFFFFF"/>
            <w:noWrap/>
            <w:vAlign w:val="bottom"/>
            <w:hideMark/>
          </w:tcPr>
          <w:p w14:paraId="6BC6B496"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-0.963***</w:t>
            </w:r>
          </w:p>
        </w:tc>
        <w:tc>
          <w:tcPr>
            <w:tcW w:w="1559" w:type="dxa"/>
            <w:tcBorders>
              <w:top w:val="nil"/>
              <w:left w:val="nil"/>
              <w:bottom w:val="nil"/>
              <w:right w:val="nil"/>
            </w:tcBorders>
            <w:shd w:val="clear" w:color="000000" w:fill="FFFFFF"/>
            <w:noWrap/>
            <w:vAlign w:val="bottom"/>
            <w:hideMark/>
          </w:tcPr>
          <w:p w14:paraId="410ACECF"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-0.954***</w:t>
            </w:r>
          </w:p>
        </w:tc>
        <w:tc>
          <w:tcPr>
            <w:tcW w:w="1559" w:type="dxa"/>
            <w:tcBorders>
              <w:top w:val="nil"/>
              <w:left w:val="nil"/>
              <w:bottom w:val="nil"/>
              <w:right w:val="nil"/>
            </w:tcBorders>
            <w:shd w:val="clear" w:color="000000" w:fill="FFFFFF"/>
            <w:noWrap/>
            <w:vAlign w:val="bottom"/>
            <w:hideMark/>
          </w:tcPr>
          <w:p w14:paraId="56ACBFD4"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-1.154***</w:t>
            </w:r>
          </w:p>
        </w:tc>
      </w:tr>
      <w:tr w:rsidR="002640E4" w:rsidRPr="00986F85" w14:paraId="0770A2CF" w14:textId="77777777" w:rsidTr="002640E4">
        <w:trPr>
          <w:trHeight w:val="260"/>
        </w:trPr>
        <w:tc>
          <w:tcPr>
            <w:tcW w:w="3580" w:type="dxa"/>
            <w:tcBorders>
              <w:top w:val="nil"/>
              <w:left w:val="nil"/>
              <w:bottom w:val="nil"/>
              <w:right w:val="nil"/>
            </w:tcBorders>
            <w:shd w:val="clear" w:color="auto" w:fill="auto"/>
            <w:noWrap/>
            <w:vAlign w:val="bottom"/>
            <w:hideMark/>
          </w:tcPr>
          <w:p w14:paraId="3128A3FB" w14:textId="77777777" w:rsidR="002640E4" w:rsidRPr="00986F85" w:rsidRDefault="002640E4" w:rsidP="002640E4">
            <w:pPr>
              <w:suppressAutoHyphens w:val="0"/>
              <w:spacing w:after="0" w:line="240" w:lineRule="auto"/>
              <w:rPr>
                <w:rFonts w:eastAsia="Times New Roman" w:cs="Arial"/>
                <w:sz w:val="20"/>
                <w:szCs w:val="20"/>
                <w:lang w:val="en-US" w:eastAsia="en-US"/>
              </w:rPr>
            </w:pPr>
          </w:p>
        </w:tc>
        <w:tc>
          <w:tcPr>
            <w:tcW w:w="1580" w:type="dxa"/>
            <w:tcBorders>
              <w:top w:val="nil"/>
              <w:left w:val="nil"/>
              <w:bottom w:val="nil"/>
              <w:right w:val="nil"/>
            </w:tcBorders>
            <w:shd w:val="clear" w:color="000000" w:fill="FFFFFF"/>
            <w:noWrap/>
            <w:vAlign w:val="bottom"/>
            <w:hideMark/>
          </w:tcPr>
          <w:p w14:paraId="7F27B1FE"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(0.189)</w:t>
            </w:r>
          </w:p>
        </w:tc>
        <w:tc>
          <w:tcPr>
            <w:tcW w:w="1518" w:type="dxa"/>
            <w:tcBorders>
              <w:top w:val="nil"/>
              <w:left w:val="nil"/>
              <w:bottom w:val="nil"/>
              <w:right w:val="nil"/>
            </w:tcBorders>
            <w:shd w:val="clear" w:color="000000" w:fill="FFFFFF"/>
            <w:noWrap/>
            <w:vAlign w:val="bottom"/>
            <w:hideMark/>
          </w:tcPr>
          <w:p w14:paraId="30E44700"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(0.192)</w:t>
            </w:r>
          </w:p>
        </w:tc>
        <w:tc>
          <w:tcPr>
            <w:tcW w:w="1559" w:type="dxa"/>
            <w:tcBorders>
              <w:top w:val="nil"/>
              <w:left w:val="nil"/>
              <w:bottom w:val="nil"/>
              <w:right w:val="nil"/>
            </w:tcBorders>
            <w:shd w:val="clear" w:color="000000" w:fill="FFFFFF"/>
            <w:noWrap/>
            <w:vAlign w:val="bottom"/>
            <w:hideMark/>
          </w:tcPr>
          <w:p w14:paraId="408489DD"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(0.192)</w:t>
            </w:r>
          </w:p>
        </w:tc>
        <w:tc>
          <w:tcPr>
            <w:tcW w:w="1559" w:type="dxa"/>
            <w:tcBorders>
              <w:top w:val="nil"/>
              <w:left w:val="nil"/>
              <w:bottom w:val="nil"/>
              <w:right w:val="nil"/>
            </w:tcBorders>
            <w:shd w:val="clear" w:color="000000" w:fill="FFFFFF"/>
            <w:noWrap/>
            <w:vAlign w:val="bottom"/>
            <w:hideMark/>
          </w:tcPr>
          <w:p w14:paraId="37A9CC56"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(0.193)</w:t>
            </w:r>
          </w:p>
        </w:tc>
        <w:tc>
          <w:tcPr>
            <w:tcW w:w="1559" w:type="dxa"/>
            <w:tcBorders>
              <w:top w:val="nil"/>
              <w:left w:val="nil"/>
              <w:bottom w:val="nil"/>
              <w:right w:val="nil"/>
            </w:tcBorders>
            <w:shd w:val="clear" w:color="000000" w:fill="FFFFFF"/>
            <w:noWrap/>
            <w:vAlign w:val="bottom"/>
            <w:hideMark/>
          </w:tcPr>
          <w:p w14:paraId="0810CC0C"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(0.194)</w:t>
            </w:r>
          </w:p>
        </w:tc>
      </w:tr>
      <w:tr w:rsidR="002640E4" w:rsidRPr="00986F85" w14:paraId="2BF5D1D0" w14:textId="77777777" w:rsidTr="002640E4">
        <w:trPr>
          <w:trHeight w:val="260"/>
        </w:trPr>
        <w:tc>
          <w:tcPr>
            <w:tcW w:w="3580" w:type="dxa"/>
            <w:tcBorders>
              <w:top w:val="nil"/>
              <w:left w:val="nil"/>
              <w:bottom w:val="nil"/>
              <w:right w:val="nil"/>
            </w:tcBorders>
            <w:shd w:val="clear" w:color="auto" w:fill="auto"/>
            <w:noWrap/>
            <w:vAlign w:val="bottom"/>
            <w:hideMark/>
          </w:tcPr>
          <w:p w14:paraId="07228664"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Művészet, szórakoztatás, szabadidő</w:t>
            </w:r>
          </w:p>
        </w:tc>
        <w:tc>
          <w:tcPr>
            <w:tcW w:w="1580" w:type="dxa"/>
            <w:tcBorders>
              <w:top w:val="nil"/>
              <w:left w:val="nil"/>
              <w:bottom w:val="nil"/>
              <w:right w:val="nil"/>
            </w:tcBorders>
            <w:shd w:val="clear" w:color="000000" w:fill="FFFFFF"/>
            <w:noWrap/>
            <w:vAlign w:val="bottom"/>
            <w:hideMark/>
          </w:tcPr>
          <w:p w14:paraId="528A5DBA"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-0.258</w:t>
            </w:r>
          </w:p>
        </w:tc>
        <w:tc>
          <w:tcPr>
            <w:tcW w:w="1518" w:type="dxa"/>
            <w:tcBorders>
              <w:top w:val="nil"/>
              <w:left w:val="nil"/>
              <w:bottom w:val="nil"/>
              <w:right w:val="nil"/>
            </w:tcBorders>
            <w:shd w:val="clear" w:color="000000" w:fill="FFFFFF"/>
            <w:noWrap/>
            <w:vAlign w:val="bottom"/>
            <w:hideMark/>
          </w:tcPr>
          <w:p w14:paraId="213A99A4"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-0.148</w:t>
            </w:r>
          </w:p>
        </w:tc>
        <w:tc>
          <w:tcPr>
            <w:tcW w:w="1559" w:type="dxa"/>
            <w:tcBorders>
              <w:top w:val="nil"/>
              <w:left w:val="nil"/>
              <w:bottom w:val="nil"/>
              <w:right w:val="nil"/>
            </w:tcBorders>
            <w:shd w:val="clear" w:color="000000" w:fill="FFFFFF"/>
            <w:noWrap/>
            <w:vAlign w:val="bottom"/>
            <w:hideMark/>
          </w:tcPr>
          <w:p w14:paraId="6024DFB9"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-0.143</w:t>
            </w:r>
          </w:p>
        </w:tc>
        <w:tc>
          <w:tcPr>
            <w:tcW w:w="1559" w:type="dxa"/>
            <w:tcBorders>
              <w:top w:val="nil"/>
              <w:left w:val="nil"/>
              <w:bottom w:val="nil"/>
              <w:right w:val="nil"/>
            </w:tcBorders>
            <w:shd w:val="clear" w:color="000000" w:fill="FFFFFF"/>
            <w:noWrap/>
            <w:vAlign w:val="bottom"/>
            <w:hideMark/>
          </w:tcPr>
          <w:p w14:paraId="01A7B06D"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-0.133</w:t>
            </w:r>
          </w:p>
        </w:tc>
        <w:tc>
          <w:tcPr>
            <w:tcW w:w="1559" w:type="dxa"/>
            <w:tcBorders>
              <w:top w:val="nil"/>
              <w:left w:val="nil"/>
              <w:bottom w:val="nil"/>
              <w:right w:val="nil"/>
            </w:tcBorders>
            <w:shd w:val="clear" w:color="000000" w:fill="FFFFFF"/>
            <w:noWrap/>
            <w:vAlign w:val="bottom"/>
            <w:hideMark/>
          </w:tcPr>
          <w:p w14:paraId="1927EE83"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-0.194</w:t>
            </w:r>
          </w:p>
        </w:tc>
      </w:tr>
      <w:tr w:rsidR="002640E4" w:rsidRPr="00986F85" w14:paraId="025E3FB2" w14:textId="77777777" w:rsidTr="002640E4">
        <w:trPr>
          <w:trHeight w:val="260"/>
        </w:trPr>
        <w:tc>
          <w:tcPr>
            <w:tcW w:w="3580" w:type="dxa"/>
            <w:tcBorders>
              <w:top w:val="nil"/>
              <w:left w:val="nil"/>
              <w:bottom w:val="nil"/>
              <w:right w:val="nil"/>
            </w:tcBorders>
            <w:shd w:val="clear" w:color="auto" w:fill="auto"/>
            <w:noWrap/>
            <w:vAlign w:val="bottom"/>
            <w:hideMark/>
          </w:tcPr>
          <w:p w14:paraId="107EDCB7" w14:textId="77777777" w:rsidR="002640E4" w:rsidRPr="00986F85" w:rsidRDefault="002640E4" w:rsidP="002640E4">
            <w:pPr>
              <w:suppressAutoHyphens w:val="0"/>
              <w:spacing w:after="0" w:line="240" w:lineRule="auto"/>
              <w:rPr>
                <w:rFonts w:eastAsia="Times New Roman" w:cs="Arial"/>
                <w:sz w:val="20"/>
                <w:szCs w:val="20"/>
                <w:lang w:val="en-US" w:eastAsia="en-US"/>
              </w:rPr>
            </w:pPr>
          </w:p>
        </w:tc>
        <w:tc>
          <w:tcPr>
            <w:tcW w:w="1580" w:type="dxa"/>
            <w:tcBorders>
              <w:top w:val="nil"/>
              <w:left w:val="nil"/>
              <w:bottom w:val="nil"/>
              <w:right w:val="nil"/>
            </w:tcBorders>
            <w:shd w:val="clear" w:color="000000" w:fill="FFFFFF"/>
            <w:noWrap/>
            <w:vAlign w:val="bottom"/>
            <w:hideMark/>
          </w:tcPr>
          <w:p w14:paraId="6DE60087"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(0.186)</w:t>
            </w:r>
          </w:p>
        </w:tc>
        <w:tc>
          <w:tcPr>
            <w:tcW w:w="1518" w:type="dxa"/>
            <w:tcBorders>
              <w:top w:val="nil"/>
              <w:left w:val="nil"/>
              <w:bottom w:val="nil"/>
              <w:right w:val="nil"/>
            </w:tcBorders>
            <w:shd w:val="clear" w:color="000000" w:fill="FFFFFF"/>
            <w:noWrap/>
            <w:vAlign w:val="bottom"/>
            <w:hideMark/>
          </w:tcPr>
          <w:p w14:paraId="2BAF2B66"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(0.192)</w:t>
            </w:r>
          </w:p>
        </w:tc>
        <w:tc>
          <w:tcPr>
            <w:tcW w:w="1559" w:type="dxa"/>
            <w:tcBorders>
              <w:top w:val="nil"/>
              <w:left w:val="nil"/>
              <w:bottom w:val="nil"/>
              <w:right w:val="nil"/>
            </w:tcBorders>
            <w:shd w:val="clear" w:color="000000" w:fill="FFFFFF"/>
            <w:noWrap/>
            <w:vAlign w:val="bottom"/>
            <w:hideMark/>
          </w:tcPr>
          <w:p w14:paraId="7A20BCF2"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(0.192)</w:t>
            </w:r>
          </w:p>
        </w:tc>
        <w:tc>
          <w:tcPr>
            <w:tcW w:w="1559" w:type="dxa"/>
            <w:tcBorders>
              <w:top w:val="nil"/>
              <w:left w:val="nil"/>
              <w:bottom w:val="nil"/>
              <w:right w:val="nil"/>
            </w:tcBorders>
            <w:shd w:val="clear" w:color="000000" w:fill="FFFFFF"/>
            <w:noWrap/>
            <w:vAlign w:val="bottom"/>
            <w:hideMark/>
          </w:tcPr>
          <w:p w14:paraId="54FD8866"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(0.193)</w:t>
            </w:r>
          </w:p>
        </w:tc>
        <w:tc>
          <w:tcPr>
            <w:tcW w:w="1559" w:type="dxa"/>
            <w:tcBorders>
              <w:top w:val="nil"/>
              <w:left w:val="nil"/>
              <w:bottom w:val="nil"/>
              <w:right w:val="nil"/>
            </w:tcBorders>
            <w:shd w:val="clear" w:color="000000" w:fill="FFFFFF"/>
            <w:noWrap/>
            <w:vAlign w:val="bottom"/>
            <w:hideMark/>
          </w:tcPr>
          <w:p w14:paraId="1D668DE5"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(0.201)</w:t>
            </w:r>
          </w:p>
        </w:tc>
      </w:tr>
      <w:tr w:rsidR="002640E4" w:rsidRPr="00986F85" w14:paraId="3D5D5C02" w14:textId="77777777" w:rsidTr="002640E4">
        <w:trPr>
          <w:trHeight w:val="260"/>
        </w:trPr>
        <w:tc>
          <w:tcPr>
            <w:tcW w:w="3580" w:type="dxa"/>
            <w:tcBorders>
              <w:top w:val="nil"/>
              <w:left w:val="nil"/>
              <w:bottom w:val="nil"/>
              <w:right w:val="nil"/>
            </w:tcBorders>
            <w:shd w:val="clear" w:color="auto" w:fill="auto"/>
            <w:noWrap/>
            <w:vAlign w:val="bottom"/>
            <w:hideMark/>
          </w:tcPr>
          <w:p w14:paraId="74BE374C"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Oktatás</w:t>
            </w:r>
          </w:p>
        </w:tc>
        <w:tc>
          <w:tcPr>
            <w:tcW w:w="1580" w:type="dxa"/>
            <w:tcBorders>
              <w:top w:val="nil"/>
              <w:left w:val="nil"/>
              <w:bottom w:val="nil"/>
              <w:right w:val="nil"/>
            </w:tcBorders>
            <w:shd w:val="clear" w:color="000000" w:fill="FFFFFF"/>
            <w:noWrap/>
            <w:vAlign w:val="bottom"/>
            <w:hideMark/>
          </w:tcPr>
          <w:p w14:paraId="405C6230"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0.105</w:t>
            </w:r>
          </w:p>
        </w:tc>
        <w:tc>
          <w:tcPr>
            <w:tcW w:w="1518" w:type="dxa"/>
            <w:tcBorders>
              <w:top w:val="nil"/>
              <w:left w:val="nil"/>
              <w:bottom w:val="nil"/>
              <w:right w:val="nil"/>
            </w:tcBorders>
            <w:shd w:val="clear" w:color="000000" w:fill="FFFFFF"/>
            <w:noWrap/>
            <w:vAlign w:val="bottom"/>
            <w:hideMark/>
          </w:tcPr>
          <w:p w14:paraId="332F947E"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0.354**</w:t>
            </w:r>
          </w:p>
        </w:tc>
        <w:tc>
          <w:tcPr>
            <w:tcW w:w="1559" w:type="dxa"/>
            <w:tcBorders>
              <w:top w:val="nil"/>
              <w:left w:val="nil"/>
              <w:bottom w:val="nil"/>
              <w:right w:val="nil"/>
            </w:tcBorders>
            <w:shd w:val="clear" w:color="000000" w:fill="FFFFFF"/>
            <w:noWrap/>
            <w:vAlign w:val="bottom"/>
            <w:hideMark/>
          </w:tcPr>
          <w:p w14:paraId="4360836F"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0.362**</w:t>
            </w:r>
          </w:p>
        </w:tc>
        <w:tc>
          <w:tcPr>
            <w:tcW w:w="1559" w:type="dxa"/>
            <w:tcBorders>
              <w:top w:val="nil"/>
              <w:left w:val="nil"/>
              <w:bottom w:val="nil"/>
              <w:right w:val="nil"/>
            </w:tcBorders>
            <w:shd w:val="clear" w:color="000000" w:fill="FFFFFF"/>
            <w:noWrap/>
            <w:vAlign w:val="bottom"/>
            <w:hideMark/>
          </w:tcPr>
          <w:p w14:paraId="689F151C"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0.371**</w:t>
            </w:r>
          </w:p>
        </w:tc>
        <w:tc>
          <w:tcPr>
            <w:tcW w:w="1559" w:type="dxa"/>
            <w:tcBorders>
              <w:top w:val="nil"/>
              <w:left w:val="nil"/>
              <w:bottom w:val="nil"/>
              <w:right w:val="nil"/>
            </w:tcBorders>
            <w:shd w:val="clear" w:color="000000" w:fill="FFFFFF"/>
            <w:noWrap/>
            <w:vAlign w:val="bottom"/>
            <w:hideMark/>
          </w:tcPr>
          <w:p w14:paraId="39F9C091"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0.542***</w:t>
            </w:r>
          </w:p>
        </w:tc>
      </w:tr>
      <w:tr w:rsidR="002640E4" w:rsidRPr="00986F85" w14:paraId="67CC649E" w14:textId="77777777" w:rsidTr="002640E4">
        <w:trPr>
          <w:trHeight w:val="260"/>
        </w:trPr>
        <w:tc>
          <w:tcPr>
            <w:tcW w:w="3580" w:type="dxa"/>
            <w:tcBorders>
              <w:top w:val="nil"/>
              <w:left w:val="nil"/>
              <w:bottom w:val="nil"/>
              <w:right w:val="nil"/>
            </w:tcBorders>
            <w:shd w:val="clear" w:color="auto" w:fill="auto"/>
            <w:noWrap/>
            <w:vAlign w:val="bottom"/>
            <w:hideMark/>
          </w:tcPr>
          <w:p w14:paraId="419F90B1" w14:textId="77777777" w:rsidR="002640E4" w:rsidRPr="00986F85" w:rsidRDefault="002640E4" w:rsidP="002640E4">
            <w:pPr>
              <w:suppressAutoHyphens w:val="0"/>
              <w:spacing w:after="0" w:line="240" w:lineRule="auto"/>
              <w:rPr>
                <w:rFonts w:eastAsia="Times New Roman" w:cs="Arial"/>
                <w:sz w:val="20"/>
                <w:szCs w:val="20"/>
                <w:lang w:val="en-US" w:eastAsia="en-US"/>
              </w:rPr>
            </w:pPr>
          </w:p>
        </w:tc>
        <w:tc>
          <w:tcPr>
            <w:tcW w:w="1580" w:type="dxa"/>
            <w:tcBorders>
              <w:top w:val="nil"/>
              <w:left w:val="nil"/>
              <w:bottom w:val="nil"/>
              <w:right w:val="nil"/>
            </w:tcBorders>
            <w:shd w:val="clear" w:color="000000" w:fill="FFFFFF"/>
            <w:noWrap/>
            <w:vAlign w:val="bottom"/>
            <w:hideMark/>
          </w:tcPr>
          <w:p w14:paraId="217EB995"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(0.171)</w:t>
            </w:r>
          </w:p>
        </w:tc>
        <w:tc>
          <w:tcPr>
            <w:tcW w:w="1518" w:type="dxa"/>
            <w:tcBorders>
              <w:top w:val="nil"/>
              <w:left w:val="nil"/>
              <w:bottom w:val="nil"/>
              <w:right w:val="nil"/>
            </w:tcBorders>
            <w:shd w:val="clear" w:color="000000" w:fill="FFFFFF"/>
            <w:noWrap/>
            <w:vAlign w:val="bottom"/>
            <w:hideMark/>
          </w:tcPr>
          <w:p w14:paraId="15A25675"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(0.175)</w:t>
            </w:r>
          </w:p>
        </w:tc>
        <w:tc>
          <w:tcPr>
            <w:tcW w:w="1559" w:type="dxa"/>
            <w:tcBorders>
              <w:top w:val="nil"/>
              <w:left w:val="nil"/>
              <w:bottom w:val="nil"/>
              <w:right w:val="nil"/>
            </w:tcBorders>
            <w:shd w:val="clear" w:color="000000" w:fill="FFFFFF"/>
            <w:noWrap/>
            <w:vAlign w:val="bottom"/>
            <w:hideMark/>
          </w:tcPr>
          <w:p w14:paraId="0FDB8B5E"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(0.176)</w:t>
            </w:r>
          </w:p>
        </w:tc>
        <w:tc>
          <w:tcPr>
            <w:tcW w:w="1559" w:type="dxa"/>
            <w:tcBorders>
              <w:top w:val="nil"/>
              <w:left w:val="nil"/>
              <w:bottom w:val="nil"/>
              <w:right w:val="nil"/>
            </w:tcBorders>
            <w:shd w:val="clear" w:color="000000" w:fill="FFFFFF"/>
            <w:noWrap/>
            <w:vAlign w:val="bottom"/>
            <w:hideMark/>
          </w:tcPr>
          <w:p w14:paraId="747E45D9"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(0.176)</w:t>
            </w:r>
          </w:p>
        </w:tc>
        <w:tc>
          <w:tcPr>
            <w:tcW w:w="1559" w:type="dxa"/>
            <w:tcBorders>
              <w:top w:val="nil"/>
              <w:left w:val="nil"/>
              <w:bottom w:val="nil"/>
              <w:right w:val="nil"/>
            </w:tcBorders>
            <w:shd w:val="clear" w:color="000000" w:fill="FFFFFF"/>
            <w:noWrap/>
            <w:vAlign w:val="bottom"/>
            <w:hideMark/>
          </w:tcPr>
          <w:p w14:paraId="2B4A9895"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(0.182)</w:t>
            </w:r>
          </w:p>
        </w:tc>
      </w:tr>
      <w:tr w:rsidR="002640E4" w:rsidRPr="00986F85" w14:paraId="4C585406" w14:textId="77777777" w:rsidTr="002640E4">
        <w:trPr>
          <w:trHeight w:val="260"/>
        </w:trPr>
        <w:tc>
          <w:tcPr>
            <w:tcW w:w="3580" w:type="dxa"/>
            <w:tcBorders>
              <w:top w:val="nil"/>
              <w:left w:val="nil"/>
              <w:bottom w:val="nil"/>
              <w:right w:val="nil"/>
            </w:tcBorders>
            <w:shd w:val="clear" w:color="auto" w:fill="auto"/>
            <w:noWrap/>
            <w:vAlign w:val="bottom"/>
            <w:hideMark/>
          </w:tcPr>
          <w:p w14:paraId="273CEF18"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Pénzügyi, biztosítási tevékenység</w:t>
            </w:r>
          </w:p>
        </w:tc>
        <w:tc>
          <w:tcPr>
            <w:tcW w:w="1580" w:type="dxa"/>
            <w:tcBorders>
              <w:top w:val="nil"/>
              <w:left w:val="nil"/>
              <w:bottom w:val="nil"/>
              <w:right w:val="nil"/>
            </w:tcBorders>
            <w:shd w:val="clear" w:color="000000" w:fill="FFFFFF"/>
            <w:noWrap/>
            <w:vAlign w:val="bottom"/>
            <w:hideMark/>
          </w:tcPr>
          <w:p w14:paraId="67AD428F"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0.271*</w:t>
            </w:r>
          </w:p>
        </w:tc>
        <w:tc>
          <w:tcPr>
            <w:tcW w:w="1518" w:type="dxa"/>
            <w:tcBorders>
              <w:top w:val="nil"/>
              <w:left w:val="nil"/>
              <w:bottom w:val="nil"/>
              <w:right w:val="nil"/>
            </w:tcBorders>
            <w:shd w:val="clear" w:color="000000" w:fill="FFFFFF"/>
            <w:noWrap/>
            <w:vAlign w:val="bottom"/>
            <w:hideMark/>
          </w:tcPr>
          <w:p w14:paraId="7CDF55CA"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0.305*</w:t>
            </w:r>
          </w:p>
        </w:tc>
        <w:tc>
          <w:tcPr>
            <w:tcW w:w="1559" w:type="dxa"/>
            <w:tcBorders>
              <w:top w:val="nil"/>
              <w:left w:val="nil"/>
              <w:bottom w:val="nil"/>
              <w:right w:val="nil"/>
            </w:tcBorders>
            <w:shd w:val="clear" w:color="000000" w:fill="FFFFFF"/>
            <w:noWrap/>
            <w:vAlign w:val="bottom"/>
            <w:hideMark/>
          </w:tcPr>
          <w:p w14:paraId="1EEB3187"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0.336*</w:t>
            </w:r>
          </w:p>
        </w:tc>
        <w:tc>
          <w:tcPr>
            <w:tcW w:w="1559" w:type="dxa"/>
            <w:tcBorders>
              <w:top w:val="nil"/>
              <w:left w:val="nil"/>
              <w:bottom w:val="nil"/>
              <w:right w:val="nil"/>
            </w:tcBorders>
            <w:shd w:val="clear" w:color="000000" w:fill="FFFFFF"/>
            <w:noWrap/>
            <w:vAlign w:val="bottom"/>
            <w:hideMark/>
          </w:tcPr>
          <w:p w14:paraId="3FD7C75C"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0.307*</w:t>
            </w:r>
          </w:p>
        </w:tc>
        <w:tc>
          <w:tcPr>
            <w:tcW w:w="1559" w:type="dxa"/>
            <w:tcBorders>
              <w:top w:val="nil"/>
              <w:left w:val="nil"/>
              <w:bottom w:val="nil"/>
              <w:right w:val="nil"/>
            </w:tcBorders>
            <w:shd w:val="clear" w:color="000000" w:fill="FFFFFF"/>
            <w:noWrap/>
            <w:vAlign w:val="bottom"/>
            <w:hideMark/>
          </w:tcPr>
          <w:p w14:paraId="5407DA8E"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0.253</w:t>
            </w:r>
          </w:p>
        </w:tc>
      </w:tr>
      <w:tr w:rsidR="002640E4" w:rsidRPr="00986F85" w14:paraId="698BE740" w14:textId="77777777" w:rsidTr="002640E4">
        <w:trPr>
          <w:trHeight w:val="240"/>
        </w:trPr>
        <w:tc>
          <w:tcPr>
            <w:tcW w:w="3580" w:type="dxa"/>
            <w:tcBorders>
              <w:top w:val="nil"/>
              <w:left w:val="nil"/>
              <w:bottom w:val="nil"/>
              <w:right w:val="nil"/>
            </w:tcBorders>
            <w:shd w:val="clear" w:color="000000" w:fill="FFFFFF"/>
            <w:noWrap/>
            <w:vAlign w:val="bottom"/>
            <w:hideMark/>
          </w:tcPr>
          <w:p w14:paraId="739C4D3B"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80" w:type="dxa"/>
            <w:tcBorders>
              <w:top w:val="nil"/>
              <w:left w:val="nil"/>
              <w:bottom w:val="nil"/>
              <w:right w:val="nil"/>
            </w:tcBorders>
            <w:shd w:val="clear" w:color="000000" w:fill="FFFFFF"/>
            <w:noWrap/>
            <w:vAlign w:val="bottom"/>
            <w:hideMark/>
          </w:tcPr>
          <w:p w14:paraId="4E4BD595"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(0.152)</w:t>
            </w:r>
          </w:p>
        </w:tc>
        <w:tc>
          <w:tcPr>
            <w:tcW w:w="1518" w:type="dxa"/>
            <w:tcBorders>
              <w:top w:val="nil"/>
              <w:left w:val="nil"/>
              <w:bottom w:val="nil"/>
              <w:right w:val="nil"/>
            </w:tcBorders>
            <w:shd w:val="clear" w:color="000000" w:fill="FFFFFF"/>
            <w:noWrap/>
            <w:vAlign w:val="bottom"/>
            <w:hideMark/>
          </w:tcPr>
          <w:p w14:paraId="4E4D866D"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(0.173)</w:t>
            </w:r>
          </w:p>
        </w:tc>
        <w:tc>
          <w:tcPr>
            <w:tcW w:w="1559" w:type="dxa"/>
            <w:tcBorders>
              <w:top w:val="nil"/>
              <w:left w:val="nil"/>
              <w:bottom w:val="nil"/>
              <w:right w:val="nil"/>
            </w:tcBorders>
            <w:shd w:val="clear" w:color="000000" w:fill="FFFFFF"/>
            <w:noWrap/>
            <w:vAlign w:val="bottom"/>
            <w:hideMark/>
          </w:tcPr>
          <w:p w14:paraId="0F2AE083"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(0.174)</w:t>
            </w:r>
          </w:p>
        </w:tc>
        <w:tc>
          <w:tcPr>
            <w:tcW w:w="1559" w:type="dxa"/>
            <w:tcBorders>
              <w:top w:val="nil"/>
              <w:left w:val="nil"/>
              <w:bottom w:val="nil"/>
              <w:right w:val="nil"/>
            </w:tcBorders>
            <w:shd w:val="clear" w:color="000000" w:fill="FFFFFF"/>
            <w:noWrap/>
            <w:vAlign w:val="bottom"/>
            <w:hideMark/>
          </w:tcPr>
          <w:p w14:paraId="7AF3BE0E"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(0.175)</w:t>
            </w:r>
          </w:p>
        </w:tc>
        <w:tc>
          <w:tcPr>
            <w:tcW w:w="1559" w:type="dxa"/>
            <w:tcBorders>
              <w:top w:val="nil"/>
              <w:left w:val="nil"/>
              <w:bottom w:val="nil"/>
              <w:right w:val="nil"/>
            </w:tcBorders>
            <w:shd w:val="clear" w:color="000000" w:fill="FFFFFF"/>
            <w:noWrap/>
            <w:vAlign w:val="bottom"/>
            <w:hideMark/>
          </w:tcPr>
          <w:p w14:paraId="73CF0F53"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(0.177)</w:t>
            </w:r>
          </w:p>
        </w:tc>
      </w:tr>
      <w:tr w:rsidR="002640E4" w:rsidRPr="00986F85" w14:paraId="2856C907" w14:textId="77777777" w:rsidTr="002640E4">
        <w:trPr>
          <w:trHeight w:val="260"/>
        </w:trPr>
        <w:tc>
          <w:tcPr>
            <w:tcW w:w="3580" w:type="dxa"/>
            <w:tcBorders>
              <w:top w:val="nil"/>
              <w:left w:val="nil"/>
              <w:bottom w:val="nil"/>
              <w:right w:val="nil"/>
            </w:tcBorders>
            <w:shd w:val="clear" w:color="auto" w:fill="auto"/>
            <w:noWrap/>
            <w:vAlign w:val="bottom"/>
            <w:hideMark/>
          </w:tcPr>
          <w:p w14:paraId="37336515"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Szakmai, tudományos, műszaki tev.</w:t>
            </w:r>
          </w:p>
        </w:tc>
        <w:tc>
          <w:tcPr>
            <w:tcW w:w="1580" w:type="dxa"/>
            <w:tcBorders>
              <w:top w:val="nil"/>
              <w:left w:val="nil"/>
              <w:bottom w:val="nil"/>
              <w:right w:val="nil"/>
            </w:tcBorders>
            <w:shd w:val="clear" w:color="000000" w:fill="FFFFFF"/>
            <w:noWrap/>
            <w:vAlign w:val="bottom"/>
            <w:hideMark/>
          </w:tcPr>
          <w:p w14:paraId="49B9A082"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0.000742</w:t>
            </w:r>
          </w:p>
        </w:tc>
        <w:tc>
          <w:tcPr>
            <w:tcW w:w="1518" w:type="dxa"/>
            <w:tcBorders>
              <w:top w:val="nil"/>
              <w:left w:val="nil"/>
              <w:bottom w:val="nil"/>
              <w:right w:val="nil"/>
            </w:tcBorders>
            <w:shd w:val="clear" w:color="000000" w:fill="FFFFFF"/>
            <w:noWrap/>
            <w:vAlign w:val="bottom"/>
            <w:hideMark/>
          </w:tcPr>
          <w:p w14:paraId="714F78CF"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0.245*</w:t>
            </w:r>
          </w:p>
        </w:tc>
        <w:tc>
          <w:tcPr>
            <w:tcW w:w="1559" w:type="dxa"/>
            <w:tcBorders>
              <w:top w:val="nil"/>
              <w:left w:val="nil"/>
              <w:bottom w:val="nil"/>
              <w:right w:val="nil"/>
            </w:tcBorders>
            <w:shd w:val="clear" w:color="000000" w:fill="FFFFFF"/>
            <w:noWrap/>
            <w:vAlign w:val="bottom"/>
            <w:hideMark/>
          </w:tcPr>
          <w:p w14:paraId="10DA9862"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0.251*</w:t>
            </w:r>
          </w:p>
        </w:tc>
        <w:tc>
          <w:tcPr>
            <w:tcW w:w="1559" w:type="dxa"/>
            <w:tcBorders>
              <w:top w:val="nil"/>
              <w:left w:val="nil"/>
              <w:bottom w:val="nil"/>
              <w:right w:val="nil"/>
            </w:tcBorders>
            <w:shd w:val="clear" w:color="000000" w:fill="FFFFFF"/>
            <w:noWrap/>
            <w:vAlign w:val="bottom"/>
            <w:hideMark/>
          </w:tcPr>
          <w:p w14:paraId="2D14B2C2"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0.261**</w:t>
            </w:r>
          </w:p>
        </w:tc>
        <w:tc>
          <w:tcPr>
            <w:tcW w:w="1559" w:type="dxa"/>
            <w:tcBorders>
              <w:top w:val="nil"/>
              <w:left w:val="nil"/>
              <w:bottom w:val="nil"/>
              <w:right w:val="nil"/>
            </w:tcBorders>
            <w:shd w:val="clear" w:color="000000" w:fill="FFFFFF"/>
            <w:noWrap/>
            <w:vAlign w:val="bottom"/>
            <w:hideMark/>
          </w:tcPr>
          <w:p w14:paraId="0E1A7713"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0.376***</w:t>
            </w:r>
          </w:p>
        </w:tc>
      </w:tr>
      <w:tr w:rsidR="002640E4" w:rsidRPr="00986F85" w14:paraId="1D6E53AC" w14:textId="77777777" w:rsidTr="002640E4">
        <w:trPr>
          <w:trHeight w:val="260"/>
        </w:trPr>
        <w:tc>
          <w:tcPr>
            <w:tcW w:w="3580" w:type="dxa"/>
            <w:tcBorders>
              <w:top w:val="nil"/>
              <w:left w:val="nil"/>
              <w:bottom w:val="nil"/>
              <w:right w:val="nil"/>
            </w:tcBorders>
            <w:shd w:val="clear" w:color="auto" w:fill="auto"/>
            <w:noWrap/>
            <w:vAlign w:val="bottom"/>
            <w:hideMark/>
          </w:tcPr>
          <w:p w14:paraId="246AE311" w14:textId="77777777" w:rsidR="002640E4" w:rsidRPr="00986F85" w:rsidRDefault="002640E4" w:rsidP="002640E4">
            <w:pPr>
              <w:suppressAutoHyphens w:val="0"/>
              <w:spacing w:after="0" w:line="240" w:lineRule="auto"/>
              <w:rPr>
                <w:rFonts w:eastAsia="Times New Roman" w:cs="Arial"/>
                <w:sz w:val="20"/>
                <w:szCs w:val="20"/>
                <w:lang w:val="en-US" w:eastAsia="en-US"/>
              </w:rPr>
            </w:pPr>
          </w:p>
        </w:tc>
        <w:tc>
          <w:tcPr>
            <w:tcW w:w="1580" w:type="dxa"/>
            <w:tcBorders>
              <w:top w:val="nil"/>
              <w:left w:val="nil"/>
              <w:bottom w:val="nil"/>
              <w:right w:val="nil"/>
            </w:tcBorders>
            <w:shd w:val="clear" w:color="000000" w:fill="FFFFFF"/>
            <w:noWrap/>
            <w:vAlign w:val="bottom"/>
            <w:hideMark/>
          </w:tcPr>
          <w:p w14:paraId="3395CEA1"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(0.128)</w:t>
            </w:r>
          </w:p>
        </w:tc>
        <w:tc>
          <w:tcPr>
            <w:tcW w:w="1518" w:type="dxa"/>
            <w:tcBorders>
              <w:top w:val="nil"/>
              <w:left w:val="nil"/>
              <w:bottom w:val="nil"/>
              <w:right w:val="nil"/>
            </w:tcBorders>
            <w:shd w:val="clear" w:color="000000" w:fill="FFFFFF"/>
            <w:noWrap/>
            <w:vAlign w:val="bottom"/>
            <w:hideMark/>
          </w:tcPr>
          <w:p w14:paraId="1524CCF5"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(0.132)</w:t>
            </w:r>
          </w:p>
        </w:tc>
        <w:tc>
          <w:tcPr>
            <w:tcW w:w="1559" w:type="dxa"/>
            <w:tcBorders>
              <w:top w:val="nil"/>
              <w:left w:val="nil"/>
              <w:bottom w:val="nil"/>
              <w:right w:val="nil"/>
            </w:tcBorders>
            <w:shd w:val="clear" w:color="000000" w:fill="FFFFFF"/>
            <w:noWrap/>
            <w:vAlign w:val="bottom"/>
            <w:hideMark/>
          </w:tcPr>
          <w:p w14:paraId="3FD79E02"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(0.132)</w:t>
            </w:r>
          </w:p>
        </w:tc>
        <w:tc>
          <w:tcPr>
            <w:tcW w:w="1559" w:type="dxa"/>
            <w:tcBorders>
              <w:top w:val="nil"/>
              <w:left w:val="nil"/>
              <w:bottom w:val="nil"/>
              <w:right w:val="nil"/>
            </w:tcBorders>
            <w:shd w:val="clear" w:color="000000" w:fill="FFFFFF"/>
            <w:noWrap/>
            <w:vAlign w:val="bottom"/>
            <w:hideMark/>
          </w:tcPr>
          <w:p w14:paraId="4DD585BF"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(0.132)</w:t>
            </w:r>
          </w:p>
        </w:tc>
        <w:tc>
          <w:tcPr>
            <w:tcW w:w="1559" w:type="dxa"/>
            <w:tcBorders>
              <w:top w:val="nil"/>
              <w:left w:val="nil"/>
              <w:bottom w:val="nil"/>
              <w:right w:val="nil"/>
            </w:tcBorders>
            <w:shd w:val="clear" w:color="000000" w:fill="FFFFFF"/>
            <w:noWrap/>
            <w:vAlign w:val="bottom"/>
            <w:hideMark/>
          </w:tcPr>
          <w:p w14:paraId="1378D41F"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(0.137)</w:t>
            </w:r>
          </w:p>
        </w:tc>
      </w:tr>
      <w:tr w:rsidR="002640E4" w:rsidRPr="00986F85" w14:paraId="7BB36036" w14:textId="77777777" w:rsidTr="002640E4">
        <w:trPr>
          <w:trHeight w:val="260"/>
        </w:trPr>
        <w:tc>
          <w:tcPr>
            <w:tcW w:w="3580" w:type="dxa"/>
            <w:tcBorders>
              <w:top w:val="nil"/>
              <w:left w:val="nil"/>
              <w:bottom w:val="nil"/>
              <w:right w:val="nil"/>
            </w:tcBorders>
            <w:shd w:val="clear" w:color="auto" w:fill="auto"/>
            <w:noWrap/>
            <w:vAlign w:val="bottom"/>
            <w:hideMark/>
          </w:tcPr>
          <w:p w14:paraId="2C8CBFFB"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Szálláshely-szolgáltatás, vendéglátás</w:t>
            </w:r>
          </w:p>
        </w:tc>
        <w:tc>
          <w:tcPr>
            <w:tcW w:w="1580" w:type="dxa"/>
            <w:tcBorders>
              <w:top w:val="nil"/>
              <w:left w:val="nil"/>
              <w:bottom w:val="nil"/>
              <w:right w:val="nil"/>
            </w:tcBorders>
            <w:shd w:val="clear" w:color="000000" w:fill="FFFFFF"/>
            <w:noWrap/>
            <w:vAlign w:val="bottom"/>
            <w:hideMark/>
          </w:tcPr>
          <w:p w14:paraId="2EADD980"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-0.0841</w:t>
            </w:r>
          </w:p>
        </w:tc>
        <w:tc>
          <w:tcPr>
            <w:tcW w:w="1518" w:type="dxa"/>
            <w:tcBorders>
              <w:top w:val="nil"/>
              <w:left w:val="nil"/>
              <w:bottom w:val="nil"/>
              <w:right w:val="nil"/>
            </w:tcBorders>
            <w:shd w:val="clear" w:color="000000" w:fill="FFFFFF"/>
            <w:noWrap/>
            <w:vAlign w:val="bottom"/>
            <w:hideMark/>
          </w:tcPr>
          <w:p w14:paraId="5E7DCAC1"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0.115</w:t>
            </w:r>
          </w:p>
        </w:tc>
        <w:tc>
          <w:tcPr>
            <w:tcW w:w="1559" w:type="dxa"/>
            <w:tcBorders>
              <w:top w:val="nil"/>
              <w:left w:val="nil"/>
              <w:bottom w:val="nil"/>
              <w:right w:val="nil"/>
            </w:tcBorders>
            <w:shd w:val="clear" w:color="000000" w:fill="FFFFFF"/>
            <w:noWrap/>
            <w:vAlign w:val="bottom"/>
            <w:hideMark/>
          </w:tcPr>
          <w:p w14:paraId="1AD8445A"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0.121</w:t>
            </w:r>
          </w:p>
        </w:tc>
        <w:tc>
          <w:tcPr>
            <w:tcW w:w="1559" w:type="dxa"/>
            <w:tcBorders>
              <w:top w:val="nil"/>
              <w:left w:val="nil"/>
              <w:bottom w:val="nil"/>
              <w:right w:val="nil"/>
            </w:tcBorders>
            <w:shd w:val="clear" w:color="000000" w:fill="FFFFFF"/>
            <w:noWrap/>
            <w:vAlign w:val="bottom"/>
            <w:hideMark/>
          </w:tcPr>
          <w:p w14:paraId="75C2FC4C"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0.133</w:t>
            </w:r>
          </w:p>
        </w:tc>
        <w:tc>
          <w:tcPr>
            <w:tcW w:w="1559" w:type="dxa"/>
            <w:tcBorders>
              <w:top w:val="nil"/>
              <w:left w:val="nil"/>
              <w:bottom w:val="nil"/>
              <w:right w:val="nil"/>
            </w:tcBorders>
            <w:shd w:val="clear" w:color="000000" w:fill="FFFFFF"/>
            <w:noWrap/>
            <w:vAlign w:val="bottom"/>
            <w:hideMark/>
          </w:tcPr>
          <w:p w14:paraId="5455D403"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0.266*</w:t>
            </w:r>
          </w:p>
        </w:tc>
      </w:tr>
      <w:tr w:rsidR="002640E4" w:rsidRPr="00986F85" w14:paraId="4BE9950E" w14:textId="77777777" w:rsidTr="002640E4">
        <w:trPr>
          <w:trHeight w:val="260"/>
        </w:trPr>
        <w:tc>
          <w:tcPr>
            <w:tcW w:w="3580" w:type="dxa"/>
            <w:tcBorders>
              <w:top w:val="nil"/>
              <w:left w:val="nil"/>
              <w:bottom w:val="nil"/>
              <w:right w:val="nil"/>
            </w:tcBorders>
            <w:shd w:val="clear" w:color="auto" w:fill="auto"/>
            <w:noWrap/>
            <w:vAlign w:val="bottom"/>
            <w:hideMark/>
          </w:tcPr>
          <w:p w14:paraId="2B7EF1C0" w14:textId="77777777" w:rsidR="002640E4" w:rsidRPr="00986F85" w:rsidRDefault="002640E4" w:rsidP="002640E4">
            <w:pPr>
              <w:suppressAutoHyphens w:val="0"/>
              <w:spacing w:after="0" w:line="240" w:lineRule="auto"/>
              <w:rPr>
                <w:rFonts w:eastAsia="Times New Roman" w:cs="Arial"/>
                <w:sz w:val="20"/>
                <w:szCs w:val="20"/>
                <w:lang w:val="en-US" w:eastAsia="en-US"/>
              </w:rPr>
            </w:pPr>
          </w:p>
        </w:tc>
        <w:tc>
          <w:tcPr>
            <w:tcW w:w="1580" w:type="dxa"/>
            <w:tcBorders>
              <w:top w:val="nil"/>
              <w:left w:val="nil"/>
              <w:bottom w:val="nil"/>
              <w:right w:val="nil"/>
            </w:tcBorders>
            <w:shd w:val="clear" w:color="000000" w:fill="FFFFFF"/>
            <w:noWrap/>
            <w:vAlign w:val="bottom"/>
            <w:hideMark/>
          </w:tcPr>
          <w:p w14:paraId="400D2F96"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(0.131)</w:t>
            </w:r>
          </w:p>
        </w:tc>
        <w:tc>
          <w:tcPr>
            <w:tcW w:w="1518" w:type="dxa"/>
            <w:tcBorders>
              <w:top w:val="nil"/>
              <w:left w:val="nil"/>
              <w:bottom w:val="nil"/>
              <w:right w:val="nil"/>
            </w:tcBorders>
            <w:shd w:val="clear" w:color="000000" w:fill="FFFFFF"/>
            <w:noWrap/>
            <w:vAlign w:val="bottom"/>
            <w:hideMark/>
          </w:tcPr>
          <w:p w14:paraId="54E7695A"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(0.134)</w:t>
            </w:r>
          </w:p>
        </w:tc>
        <w:tc>
          <w:tcPr>
            <w:tcW w:w="1559" w:type="dxa"/>
            <w:tcBorders>
              <w:top w:val="nil"/>
              <w:left w:val="nil"/>
              <w:bottom w:val="nil"/>
              <w:right w:val="nil"/>
            </w:tcBorders>
            <w:shd w:val="clear" w:color="000000" w:fill="FFFFFF"/>
            <w:noWrap/>
            <w:vAlign w:val="bottom"/>
            <w:hideMark/>
          </w:tcPr>
          <w:p w14:paraId="4CC1960F"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(0.135)</w:t>
            </w:r>
          </w:p>
        </w:tc>
        <w:tc>
          <w:tcPr>
            <w:tcW w:w="1559" w:type="dxa"/>
            <w:tcBorders>
              <w:top w:val="nil"/>
              <w:left w:val="nil"/>
              <w:bottom w:val="nil"/>
              <w:right w:val="nil"/>
            </w:tcBorders>
            <w:shd w:val="clear" w:color="000000" w:fill="FFFFFF"/>
            <w:noWrap/>
            <w:vAlign w:val="bottom"/>
            <w:hideMark/>
          </w:tcPr>
          <w:p w14:paraId="39A69AA9"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(0.135)</w:t>
            </w:r>
          </w:p>
        </w:tc>
        <w:tc>
          <w:tcPr>
            <w:tcW w:w="1559" w:type="dxa"/>
            <w:tcBorders>
              <w:top w:val="nil"/>
              <w:left w:val="nil"/>
              <w:bottom w:val="nil"/>
              <w:right w:val="nil"/>
            </w:tcBorders>
            <w:shd w:val="clear" w:color="000000" w:fill="FFFFFF"/>
            <w:noWrap/>
            <w:vAlign w:val="bottom"/>
            <w:hideMark/>
          </w:tcPr>
          <w:p w14:paraId="47881DBC"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(0.140)</w:t>
            </w:r>
          </w:p>
        </w:tc>
      </w:tr>
      <w:tr w:rsidR="002640E4" w:rsidRPr="00986F85" w14:paraId="5A27E8FB" w14:textId="77777777" w:rsidTr="002640E4">
        <w:trPr>
          <w:trHeight w:val="260"/>
        </w:trPr>
        <w:tc>
          <w:tcPr>
            <w:tcW w:w="3580" w:type="dxa"/>
            <w:tcBorders>
              <w:top w:val="nil"/>
              <w:left w:val="nil"/>
              <w:bottom w:val="nil"/>
              <w:right w:val="nil"/>
            </w:tcBorders>
            <w:shd w:val="clear" w:color="auto" w:fill="auto"/>
            <w:noWrap/>
            <w:vAlign w:val="bottom"/>
            <w:hideMark/>
          </w:tcPr>
          <w:p w14:paraId="5B08192B"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Szállítás, raktározás</w:t>
            </w:r>
          </w:p>
        </w:tc>
        <w:tc>
          <w:tcPr>
            <w:tcW w:w="1580" w:type="dxa"/>
            <w:tcBorders>
              <w:top w:val="nil"/>
              <w:left w:val="nil"/>
              <w:bottom w:val="nil"/>
              <w:right w:val="nil"/>
            </w:tcBorders>
            <w:shd w:val="clear" w:color="000000" w:fill="FFFFFF"/>
            <w:noWrap/>
            <w:vAlign w:val="bottom"/>
            <w:hideMark/>
          </w:tcPr>
          <w:p w14:paraId="60BA73B7"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0.0655</w:t>
            </w:r>
          </w:p>
        </w:tc>
        <w:tc>
          <w:tcPr>
            <w:tcW w:w="1518" w:type="dxa"/>
            <w:tcBorders>
              <w:top w:val="nil"/>
              <w:left w:val="nil"/>
              <w:bottom w:val="nil"/>
              <w:right w:val="nil"/>
            </w:tcBorders>
            <w:shd w:val="clear" w:color="000000" w:fill="FFFFFF"/>
            <w:noWrap/>
            <w:vAlign w:val="bottom"/>
            <w:hideMark/>
          </w:tcPr>
          <w:p w14:paraId="6BF61F4D"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0.216</w:t>
            </w:r>
          </w:p>
        </w:tc>
        <w:tc>
          <w:tcPr>
            <w:tcW w:w="1559" w:type="dxa"/>
            <w:tcBorders>
              <w:top w:val="nil"/>
              <w:left w:val="nil"/>
              <w:bottom w:val="nil"/>
              <w:right w:val="nil"/>
            </w:tcBorders>
            <w:shd w:val="clear" w:color="000000" w:fill="FFFFFF"/>
            <w:noWrap/>
            <w:vAlign w:val="bottom"/>
            <w:hideMark/>
          </w:tcPr>
          <w:p w14:paraId="5C1BB56C"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0.220</w:t>
            </w:r>
          </w:p>
        </w:tc>
        <w:tc>
          <w:tcPr>
            <w:tcW w:w="1559" w:type="dxa"/>
            <w:tcBorders>
              <w:top w:val="nil"/>
              <w:left w:val="nil"/>
              <w:bottom w:val="nil"/>
              <w:right w:val="nil"/>
            </w:tcBorders>
            <w:shd w:val="clear" w:color="000000" w:fill="FFFFFF"/>
            <w:noWrap/>
            <w:vAlign w:val="bottom"/>
            <w:hideMark/>
          </w:tcPr>
          <w:p w14:paraId="2E0BD22B"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0.235*</w:t>
            </w:r>
          </w:p>
        </w:tc>
        <w:tc>
          <w:tcPr>
            <w:tcW w:w="1559" w:type="dxa"/>
            <w:tcBorders>
              <w:top w:val="nil"/>
              <w:left w:val="nil"/>
              <w:bottom w:val="nil"/>
              <w:right w:val="nil"/>
            </w:tcBorders>
            <w:shd w:val="clear" w:color="000000" w:fill="FFFFFF"/>
            <w:noWrap/>
            <w:vAlign w:val="bottom"/>
            <w:hideMark/>
          </w:tcPr>
          <w:p w14:paraId="168A7E9C"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0.0477</w:t>
            </w:r>
          </w:p>
        </w:tc>
      </w:tr>
      <w:tr w:rsidR="002640E4" w:rsidRPr="00986F85" w14:paraId="42A68B4C" w14:textId="77777777" w:rsidTr="002640E4">
        <w:trPr>
          <w:trHeight w:val="260"/>
        </w:trPr>
        <w:tc>
          <w:tcPr>
            <w:tcW w:w="3580" w:type="dxa"/>
            <w:tcBorders>
              <w:top w:val="nil"/>
              <w:left w:val="nil"/>
              <w:bottom w:val="nil"/>
              <w:right w:val="nil"/>
            </w:tcBorders>
            <w:shd w:val="clear" w:color="auto" w:fill="auto"/>
            <w:noWrap/>
            <w:vAlign w:val="bottom"/>
            <w:hideMark/>
          </w:tcPr>
          <w:p w14:paraId="4821DBDF" w14:textId="77777777" w:rsidR="002640E4" w:rsidRPr="00986F85" w:rsidRDefault="002640E4" w:rsidP="002640E4">
            <w:pPr>
              <w:suppressAutoHyphens w:val="0"/>
              <w:spacing w:after="0" w:line="240" w:lineRule="auto"/>
              <w:rPr>
                <w:rFonts w:eastAsia="Times New Roman" w:cs="Arial"/>
                <w:sz w:val="20"/>
                <w:szCs w:val="20"/>
                <w:lang w:val="en-US" w:eastAsia="en-US"/>
              </w:rPr>
            </w:pPr>
          </w:p>
        </w:tc>
        <w:tc>
          <w:tcPr>
            <w:tcW w:w="1580" w:type="dxa"/>
            <w:tcBorders>
              <w:top w:val="nil"/>
              <w:left w:val="nil"/>
              <w:bottom w:val="nil"/>
              <w:right w:val="nil"/>
            </w:tcBorders>
            <w:shd w:val="clear" w:color="000000" w:fill="FFFFFF"/>
            <w:noWrap/>
            <w:vAlign w:val="bottom"/>
            <w:hideMark/>
          </w:tcPr>
          <w:p w14:paraId="55FCC90F"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(0.131)</w:t>
            </w:r>
          </w:p>
        </w:tc>
        <w:tc>
          <w:tcPr>
            <w:tcW w:w="1518" w:type="dxa"/>
            <w:tcBorders>
              <w:top w:val="nil"/>
              <w:left w:val="nil"/>
              <w:bottom w:val="nil"/>
              <w:right w:val="nil"/>
            </w:tcBorders>
            <w:shd w:val="clear" w:color="000000" w:fill="FFFFFF"/>
            <w:noWrap/>
            <w:vAlign w:val="bottom"/>
            <w:hideMark/>
          </w:tcPr>
          <w:p w14:paraId="5DBA367D"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(0.134)</w:t>
            </w:r>
          </w:p>
        </w:tc>
        <w:tc>
          <w:tcPr>
            <w:tcW w:w="1559" w:type="dxa"/>
            <w:tcBorders>
              <w:top w:val="nil"/>
              <w:left w:val="nil"/>
              <w:bottom w:val="nil"/>
              <w:right w:val="nil"/>
            </w:tcBorders>
            <w:shd w:val="clear" w:color="000000" w:fill="FFFFFF"/>
            <w:noWrap/>
            <w:vAlign w:val="bottom"/>
            <w:hideMark/>
          </w:tcPr>
          <w:p w14:paraId="4BC944C8"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(0.135)</w:t>
            </w:r>
          </w:p>
        </w:tc>
        <w:tc>
          <w:tcPr>
            <w:tcW w:w="1559" w:type="dxa"/>
            <w:tcBorders>
              <w:top w:val="nil"/>
              <w:left w:val="nil"/>
              <w:bottom w:val="nil"/>
              <w:right w:val="nil"/>
            </w:tcBorders>
            <w:shd w:val="clear" w:color="000000" w:fill="FFFFFF"/>
            <w:noWrap/>
            <w:vAlign w:val="bottom"/>
            <w:hideMark/>
          </w:tcPr>
          <w:p w14:paraId="036091AA"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(0.135)</w:t>
            </w:r>
          </w:p>
        </w:tc>
        <w:tc>
          <w:tcPr>
            <w:tcW w:w="1559" w:type="dxa"/>
            <w:tcBorders>
              <w:top w:val="nil"/>
              <w:left w:val="nil"/>
              <w:bottom w:val="nil"/>
              <w:right w:val="nil"/>
            </w:tcBorders>
            <w:shd w:val="clear" w:color="000000" w:fill="FFFFFF"/>
            <w:noWrap/>
            <w:vAlign w:val="bottom"/>
            <w:hideMark/>
          </w:tcPr>
          <w:p w14:paraId="2AC0D48A"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(0.140)</w:t>
            </w:r>
          </w:p>
        </w:tc>
      </w:tr>
      <w:tr w:rsidR="002640E4" w:rsidRPr="00986F85" w14:paraId="70BE6B85" w14:textId="77777777" w:rsidTr="002640E4">
        <w:trPr>
          <w:trHeight w:val="260"/>
        </w:trPr>
        <w:tc>
          <w:tcPr>
            <w:tcW w:w="3580" w:type="dxa"/>
            <w:tcBorders>
              <w:top w:val="nil"/>
              <w:left w:val="nil"/>
              <w:bottom w:val="nil"/>
              <w:right w:val="nil"/>
            </w:tcBorders>
            <w:shd w:val="clear" w:color="auto" w:fill="auto"/>
            <w:noWrap/>
            <w:vAlign w:val="bottom"/>
            <w:hideMark/>
          </w:tcPr>
          <w:p w14:paraId="0A3AC24C"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Villamosenergia-, gázellátás</w:t>
            </w:r>
          </w:p>
        </w:tc>
        <w:tc>
          <w:tcPr>
            <w:tcW w:w="1580" w:type="dxa"/>
            <w:tcBorders>
              <w:top w:val="nil"/>
              <w:left w:val="nil"/>
              <w:bottom w:val="nil"/>
              <w:right w:val="nil"/>
            </w:tcBorders>
            <w:shd w:val="clear" w:color="000000" w:fill="FFFFFF"/>
            <w:noWrap/>
            <w:vAlign w:val="bottom"/>
            <w:hideMark/>
          </w:tcPr>
          <w:p w14:paraId="0B3C8F5E"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0.282</w:t>
            </w:r>
          </w:p>
        </w:tc>
        <w:tc>
          <w:tcPr>
            <w:tcW w:w="1518" w:type="dxa"/>
            <w:tcBorders>
              <w:top w:val="nil"/>
              <w:left w:val="nil"/>
              <w:bottom w:val="nil"/>
              <w:right w:val="nil"/>
            </w:tcBorders>
            <w:shd w:val="clear" w:color="000000" w:fill="FFFFFF"/>
            <w:noWrap/>
            <w:vAlign w:val="bottom"/>
            <w:hideMark/>
          </w:tcPr>
          <w:p w14:paraId="2D54ADA4"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0.443</w:t>
            </w:r>
          </w:p>
        </w:tc>
        <w:tc>
          <w:tcPr>
            <w:tcW w:w="1559" w:type="dxa"/>
            <w:tcBorders>
              <w:top w:val="nil"/>
              <w:left w:val="nil"/>
              <w:bottom w:val="nil"/>
              <w:right w:val="nil"/>
            </w:tcBorders>
            <w:shd w:val="clear" w:color="000000" w:fill="FFFFFF"/>
            <w:noWrap/>
            <w:vAlign w:val="bottom"/>
            <w:hideMark/>
          </w:tcPr>
          <w:p w14:paraId="249631AA"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0.455</w:t>
            </w:r>
          </w:p>
        </w:tc>
        <w:tc>
          <w:tcPr>
            <w:tcW w:w="1559" w:type="dxa"/>
            <w:tcBorders>
              <w:top w:val="nil"/>
              <w:left w:val="nil"/>
              <w:bottom w:val="nil"/>
              <w:right w:val="nil"/>
            </w:tcBorders>
            <w:shd w:val="clear" w:color="000000" w:fill="FFFFFF"/>
            <w:noWrap/>
            <w:vAlign w:val="bottom"/>
            <w:hideMark/>
          </w:tcPr>
          <w:p w14:paraId="30FC0C5E"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0.456</w:t>
            </w:r>
          </w:p>
        </w:tc>
        <w:tc>
          <w:tcPr>
            <w:tcW w:w="1559" w:type="dxa"/>
            <w:tcBorders>
              <w:top w:val="nil"/>
              <w:left w:val="nil"/>
              <w:bottom w:val="nil"/>
              <w:right w:val="nil"/>
            </w:tcBorders>
            <w:shd w:val="clear" w:color="000000" w:fill="FFFFFF"/>
            <w:noWrap/>
            <w:vAlign w:val="bottom"/>
            <w:hideMark/>
          </w:tcPr>
          <w:p w14:paraId="5073422C"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0.119</w:t>
            </w:r>
          </w:p>
        </w:tc>
      </w:tr>
      <w:tr w:rsidR="002640E4" w:rsidRPr="00986F85" w14:paraId="75E2F4D5" w14:textId="77777777" w:rsidTr="002640E4">
        <w:trPr>
          <w:trHeight w:val="260"/>
        </w:trPr>
        <w:tc>
          <w:tcPr>
            <w:tcW w:w="3580" w:type="dxa"/>
            <w:tcBorders>
              <w:top w:val="nil"/>
              <w:left w:val="nil"/>
              <w:bottom w:val="nil"/>
              <w:right w:val="nil"/>
            </w:tcBorders>
            <w:shd w:val="clear" w:color="auto" w:fill="auto"/>
            <w:noWrap/>
            <w:vAlign w:val="bottom"/>
            <w:hideMark/>
          </w:tcPr>
          <w:p w14:paraId="542FCFD7" w14:textId="77777777" w:rsidR="002640E4" w:rsidRPr="00986F85" w:rsidRDefault="002640E4" w:rsidP="002640E4">
            <w:pPr>
              <w:suppressAutoHyphens w:val="0"/>
              <w:spacing w:after="0" w:line="240" w:lineRule="auto"/>
              <w:rPr>
                <w:rFonts w:eastAsia="Times New Roman" w:cs="Arial"/>
                <w:sz w:val="20"/>
                <w:szCs w:val="20"/>
                <w:lang w:val="en-US" w:eastAsia="en-US"/>
              </w:rPr>
            </w:pPr>
          </w:p>
        </w:tc>
        <w:tc>
          <w:tcPr>
            <w:tcW w:w="1580" w:type="dxa"/>
            <w:tcBorders>
              <w:top w:val="nil"/>
              <w:left w:val="nil"/>
              <w:bottom w:val="nil"/>
              <w:right w:val="nil"/>
            </w:tcBorders>
            <w:shd w:val="clear" w:color="000000" w:fill="FFFFFF"/>
            <w:noWrap/>
            <w:vAlign w:val="bottom"/>
            <w:hideMark/>
          </w:tcPr>
          <w:p w14:paraId="49455521"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(0.271)</w:t>
            </w:r>
          </w:p>
        </w:tc>
        <w:tc>
          <w:tcPr>
            <w:tcW w:w="1518" w:type="dxa"/>
            <w:tcBorders>
              <w:top w:val="nil"/>
              <w:left w:val="nil"/>
              <w:bottom w:val="nil"/>
              <w:right w:val="nil"/>
            </w:tcBorders>
            <w:shd w:val="clear" w:color="000000" w:fill="FFFFFF"/>
            <w:noWrap/>
            <w:vAlign w:val="bottom"/>
            <w:hideMark/>
          </w:tcPr>
          <w:p w14:paraId="03DFADA8"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(0.281)</w:t>
            </w:r>
          </w:p>
        </w:tc>
        <w:tc>
          <w:tcPr>
            <w:tcW w:w="1559" w:type="dxa"/>
            <w:tcBorders>
              <w:top w:val="nil"/>
              <w:left w:val="nil"/>
              <w:bottom w:val="nil"/>
              <w:right w:val="nil"/>
            </w:tcBorders>
            <w:shd w:val="clear" w:color="000000" w:fill="FFFFFF"/>
            <w:noWrap/>
            <w:vAlign w:val="bottom"/>
            <w:hideMark/>
          </w:tcPr>
          <w:p w14:paraId="3715B144"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(0.280)</w:t>
            </w:r>
          </w:p>
        </w:tc>
        <w:tc>
          <w:tcPr>
            <w:tcW w:w="1559" w:type="dxa"/>
            <w:tcBorders>
              <w:top w:val="nil"/>
              <w:left w:val="nil"/>
              <w:bottom w:val="nil"/>
              <w:right w:val="nil"/>
            </w:tcBorders>
            <w:shd w:val="clear" w:color="000000" w:fill="FFFFFF"/>
            <w:noWrap/>
            <w:vAlign w:val="bottom"/>
            <w:hideMark/>
          </w:tcPr>
          <w:p w14:paraId="563E5020"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(0.281)</w:t>
            </w:r>
          </w:p>
        </w:tc>
        <w:tc>
          <w:tcPr>
            <w:tcW w:w="1559" w:type="dxa"/>
            <w:tcBorders>
              <w:top w:val="nil"/>
              <w:left w:val="nil"/>
              <w:bottom w:val="nil"/>
              <w:right w:val="nil"/>
            </w:tcBorders>
            <w:shd w:val="clear" w:color="000000" w:fill="FFFFFF"/>
            <w:noWrap/>
            <w:vAlign w:val="bottom"/>
            <w:hideMark/>
          </w:tcPr>
          <w:p w14:paraId="2F94ADF9"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(0.279)</w:t>
            </w:r>
          </w:p>
        </w:tc>
      </w:tr>
      <w:tr w:rsidR="002640E4" w:rsidRPr="00986F85" w14:paraId="1728CB64" w14:textId="77777777" w:rsidTr="002640E4">
        <w:trPr>
          <w:trHeight w:val="260"/>
        </w:trPr>
        <w:tc>
          <w:tcPr>
            <w:tcW w:w="3580" w:type="dxa"/>
            <w:tcBorders>
              <w:top w:val="nil"/>
              <w:left w:val="nil"/>
              <w:bottom w:val="nil"/>
              <w:right w:val="nil"/>
            </w:tcBorders>
            <w:shd w:val="clear" w:color="auto" w:fill="auto"/>
            <w:noWrap/>
            <w:vAlign w:val="bottom"/>
            <w:hideMark/>
          </w:tcPr>
          <w:p w14:paraId="1ED7853E"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Közép-Magyarország</w:t>
            </w:r>
          </w:p>
        </w:tc>
        <w:tc>
          <w:tcPr>
            <w:tcW w:w="1580" w:type="dxa"/>
            <w:tcBorders>
              <w:top w:val="nil"/>
              <w:left w:val="nil"/>
              <w:bottom w:val="nil"/>
              <w:right w:val="nil"/>
            </w:tcBorders>
            <w:shd w:val="clear" w:color="000000" w:fill="FFFFFF"/>
            <w:noWrap/>
            <w:vAlign w:val="bottom"/>
            <w:hideMark/>
          </w:tcPr>
          <w:p w14:paraId="4D1F6AB9"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-0.365***</w:t>
            </w:r>
          </w:p>
        </w:tc>
        <w:tc>
          <w:tcPr>
            <w:tcW w:w="1518" w:type="dxa"/>
            <w:tcBorders>
              <w:top w:val="nil"/>
              <w:left w:val="nil"/>
              <w:bottom w:val="nil"/>
              <w:right w:val="nil"/>
            </w:tcBorders>
            <w:shd w:val="clear" w:color="000000" w:fill="FFFFFF"/>
            <w:noWrap/>
            <w:vAlign w:val="bottom"/>
            <w:hideMark/>
          </w:tcPr>
          <w:p w14:paraId="494E14D2"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-0.382***</w:t>
            </w:r>
          </w:p>
        </w:tc>
        <w:tc>
          <w:tcPr>
            <w:tcW w:w="1559" w:type="dxa"/>
            <w:tcBorders>
              <w:top w:val="nil"/>
              <w:left w:val="nil"/>
              <w:bottom w:val="nil"/>
              <w:right w:val="nil"/>
            </w:tcBorders>
            <w:shd w:val="clear" w:color="000000" w:fill="FFFFFF"/>
            <w:noWrap/>
            <w:vAlign w:val="bottom"/>
            <w:hideMark/>
          </w:tcPr>
          <w:p w14:paraId="53819F6B"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-0.383***</w:t>
            </w:r>
          </w:p>
        </w:tc>
        <w:tc>
          <w:tcPr>
            <w:tcW w:w="1559" w:type="dxa"/>
            <w:tcBorders>
              <w:top w:val="nil"/>
              <w:left w:val="nil"/>
              <w:bottom w:val="nil"/>
              <w:right w:val="nil"/>
            </w:tcBorders>
            <w:shd w:val="clear" w:color="000000" w:fill="FFFFFF"/>
            <w:noWrap/>
            <w:vAlign w:val="bottom"/>
            <w:hideMark/>
          </w:tcPr>
          <w:p w14:paraId="2ECDB1A0"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-0.384***</w:t>
            </w:r>
          </w:p>
        </w:tc>
        <w:tc>
          <w:tcPr>
            <w:tcW w:w="1559" w:type="dxa"/>
            <w:tcBorders>
              <w:top w:val="nil"/>
              <w:left w:val="nil"/>
              <w:bottom w:val="nil"/>
              <w:right w:val="nil"/>
            </w:tcBorders>
            <w:shd w:val="clear" w:color="000000" w:fill="FFFFFF"/>
            <w:noWrap/>
            <w:vAlign w:val="bottom"/>
            <w:hideMark/>
          </w:tcPr>
          <w:p w14:paraId="2424143A"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-0.422***</w:t>
            </w:r>
          </w:p>
        </w:tc>
      </w:tr>
      <w:tr w:rsidR="002640E4" w:rsidRPr="00986F85" w14:paraId="55C24E22" w14:textId="77777777" w:rsidTr="002640E4">
        <w:trPr>
          <w:trHeight w:val="260"/>
        </w:trPr>
        <w:tc>
          <w:tcPr>
            <w:tcW w:w="3580" w:type="dxa"/>
            <w:tcBorders>
              <w:top w:val="nil"/>
              <w:left w:val="nil"/>
              <w:bottom w:val="nil"/>
              <w:right w:val="nil"/>
            </w:tcBorders>
            <w:shd w:val="clear" w:color="auto" w:fill="auto"/>
            <w:noWrap/>
            <w:vAlign w:val="bottom"/>
            <w:hideMark/>
          </w:tcPr>
          <w:p w14:paraId="130F7866" w14:textId="77777777" w:rsidR="002640E4" w:rsidRPr="00986F85" w:rsidRDefault="002640E4" w:rsidP="002640E4">
            <w:pPr>
              <w:suppressAutoHyphens w:val="0"/>
              <w:spacing w:after="0" w:line="240" w:lineRule="auto"/>
              <w:rPr>
                <w:rFonts w:eastAsia="Times New Roman" w:cs="Arial"/>
                <w:sz w:val="20"/>
                <w:szCs w:val="20"/>
                <w:lang w:val="en-US" w:eastAsia="en-US"/>
              </w:rPr>
            </w:pPr>
          </w:p>
        </w:tc>
        <w:tc>
          <w:tcPr>
            <w:tcW w:w="1580" w:type="dxa"/>
            <w:tcBorders>
              <w:top w:val="nil"/>
              <w:left w:val="nil"/>
              <w:bottom w:val="nil"/>
              <w:right w:val="nil"/>
            </w:tcBorders>
            <w:shd w:val="clear" w:color="000000" w:fill="FFFFFF"/>
            <w:noWrap/>
            <w:vAlign w:val="bottom"/>
            <w:hideMark/>
          </w:tcPr>
          <w:p w14:paraId="538A95F4"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(0.0408)</w:t>
            </w:r>
          </w:p>
        </w:tc>
        <w:tc>
          <w:tcPr>
            <w:tcW w:w="1518" w:type="dxa"/>
            <w:tcBorders>
              <w:top w:val="nil"/>
              <w:left w:val="nil"/>
              <w:bottom w:val="nil"/>
              <w:right w:val="nil"/>
            </w:tcBorders>
            <w:shd w:val="clear" w:color="000000" w:fill="FFFFFF"/>
            <w:noWrap/>
            <w:vAlign w:val="bottom"/>
            <w:hideMark/>
          </w:tcPr>
          <w:p w14:paraId="06A794A0"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(0.0426)</w:t>
            </w:r>
          </w:p>
        </w:tc>
        <w:tc>
          <w:tcPr>
            <w:tcW w:w="1559" w:type="dxa"/>
            <w:tcBorders>
              <w:top w:val="nil"/>
              <w:left w:val="nil"/>
              <w:bottom w:val="nil"/>
              <w:right w:val="nil"/>
            </w:tcBorders>
            <w:shd w:val="clear" w:color="000000" w:fill="FFFFFF"/>
            <w:noWrap/>
            <w:vAlign w:val="bottom"/>
            <w:hideMark/>
          </w:tcPr>
          <w:p w14:paraId="65FD6F93"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(0.0427)</w:t>
            </w:r>
          </w:p>
        </w:tc>
        <w:tc>
          <w:tcPr>
            <w:tcW w:w="1559" w:type="dxa"/>
            <w:tcBorders>
              <w:top w:val="nil"/>
              <w:left w:val="nil"/>
              <w:bottom w:val="nil"/>
              <w:right w:val="nil"/>
            </w:tcBorders>
            <w:shd w:val="clear" w:color="000000" w:fill="FFFFFF"/>
            <w:noWrap/>
            <w:vAlign w:val="bottom"/>
            <w:hideMark/>
          </w:tcPr>
          <w:p w14:paraId="46AE561C"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(0.0427)</w:t>
            </w:r>
          </w:p>
        </w:tc>
        <w:tc>
          <w:tcPr>
            <w:tcW w:w="1559" w:type="dxa"/>
            <w:tcBorders>
              <w:top w:val="nil"/>
              <w:left w:val="nil"/>
              <w:bottom w:val="nil"/>
              <w:right w:val="nil"/>
            </w:tcBorders>
            <w:shd w:val="clear" w:color="000000" w:fill="FFFFFF"/>
            <w:noWrap/>
            <w:vAlign w:val="bottom"/>
            <w:hideMark/>
          </w:tcPr>
          <w:p w14:paraId="292A45BE"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(0.0446)</w:t>
            </w:r>
          </w:p>
        </w:tc>
      </w:tr>
      <w:tr w:rsidR="002640E4" w:rsidRPr="00986F85" w14:paraId="2B71ADE9" w14:textId="77777777" w:rsidTr="002640E4">
        <w:trPr>
          <w:trHeight w:val="260"/>
        </w:trPr>
        <w:tc>
          <w:tcPr>
            <w:tcW w:w="3580" w:type="dxa"/>
            <w:tcBorders>
              <w:top w:val="nil"/>
              <w:left w:val="nil"/>
              <w:bottom w:val="nil"/>
              <w:right w:val="nil"/>
            </w:tcBorders>
            <w:shd w:val="clear" w:color="auto" w:fill="auto"/>
            <w:noWrap/>
            <w:vAlign w:val="bottom"/>
            <w:hideMark/>
          </w:tcPr>
          <w:p w14:paraId="1A3C4C77"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Közép-Dunántúl</w:t>
            </w:r>
          </w:p>
        </w:tc>
        <w:tc>
          <w:tcPr>
            <w:tcW w:w="1580" w:type="dxa"/>
            <w:tcBorders>
              <w:top w:val="nil"/>
              <w:left w:val="nil"/>
              <w:bottom w:val="nil"/>
              <w:right w:val="nil"/>
            </w:tcBorders>
            <w:shd w:val="clear" w:color="000000" w:fill="FFFFFF"/>
            <w:noWrap/>
            <w:vAlign w:val="bottom"/>
            <w:hideMark/>
          </w:tcPr>
          <w:p w14:paraId="164E2A1B"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-0.108**</w:t>
            </w:r>
          </w:p>
        </w:tc>
        <w:tc>
          <w:tcPr>
            <w:tcW w:w="1518" w:type="dxa"/>
            <w:tcBorders>
              <w:top w:val="nil"/>
              <w:left w:val="nil"/>
              <w:bottom w:val="nil"/>
              <w:right w:val="nil"/>
            </w:tcBorders>
            <w:shd w:val="clear" w:color="000000" w:fill="FFFFFF"/>
            <w:noWrap/>
            <w:vAlign w:val="bottom"/>
            <w:hideMark/>
          </w:tcPr>
          <w:p w14:paraId="4FB1FC1D"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-0.110**</w:t>
            </w:r>
          </w:p>
        </w:tc>
        <w:tc>
          <w:tcPr>
            <w:tcW w:w="1559" w:type="dxa"/>
            <w:tcBorders>
              <w:top w:val="nil"/>
              <w:left w:val="nil"/>
              <w:bottom w:val="nil"/>
              <w:right w:val="nil"/>
            </w:tcBorders>
            <w:shd w:val="clear" w:color="000000" w:fill="FFFFFF"/>
            <w:noWrap/>
            <w:vAlign w:val="bottom"/>
            <w:hideMark/>
          </w:tcPr>
          <w:p w14:paraId="7A21C81D"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-0.111**</w:t>
            </w:r>
          </w:p>
        </w:tc>
        <w:tc>
          <w:tcPr>
            <w:tcW w:w="1559" w:type="dxa"/>
            <w:tcBorders>
              <w:top w:val="nil"/>
              <w:left w:val="nil"/>
              <w:bottom w:val="nil"/>
              <w:right w:val="nil"/>
            </w:tcBorders>
            <w:shd w:val="clear" w:color="000000" w:fill="FFFFFF"/>
            <w:noWrap/>
            <w:vAlign w:val="bottom"/>
            <w:hideMark/>
          </w:tcPr>
          <w:p w14:paraId="7D06E9BB"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-0.111**</w:t>
            </w:r>
          </w:p>
        </w:tc>
        <w:tc>
          <w:tcPr>
            <w:tcW w:w="1559" w:type="dxa"/>
            <w:tcBorders>
              <w:top w:val="nil"/>
              <w:left w:val="nil"/>
              <w:bottom w:val="nil"/>
              <w:right w:val="nil"/>
            </w:tcBorders>
            <w:shd w:val="clear" w:color="000000" w:fill="FFFFFF"/>
            <w:noWrap/>
            <w:vAlign w:val="bottom"/>
            <w:hideMark/>
          </w:tcPr>
          <w:p w14:paraId="0D41AC0A"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-0.139***</w:t>
            </w:r>
          </w:p>
        </w:tc>
      </w:tr>
      <w:tr w:rsidR="002640E4" w:rsidRPr="00986F85" w14:paraId="469BA9B2" w14:textId="77777777" w:rsidTr="002640E4">
        <w:trPr>
          <w:trHeight w:val="260"/>
        </w:trPr>
        <w:tc>
          <w:tcPr>
            <w:tcW w:w="3580" w:type="dxa"/>
            <w:tcBorders>
              <w:top w:val="nil"/>
              <w:left w:val="nil"/>
              <w:bottom w:val="nil"/>
              <w:right w:val="nil"/>
            </w:tcBorders>
            <w:shd w:val="clear" w:color="auto" w:fill="auto"/>
            <w:noWrap/>
            <w:vAlign w:val="bottom"/>
            <w:hideMark/>
          </w:tcPr>
          <w:p w14:paraId="432998EA" w14:textId="77777777" w:rsidR="002640E4" w:rsidRPr="00986F85" w:rsidRDefault="002640E4" w:rsidP="002640E4">
            <w:pPr>
              <w:suppressAutoHyphens w:val="0"/>
              <w:spacing w:after="0" w:line="240" w:lineRule="auto"/>
              <w:rPr>
                <w:rFonts w:eastAsia="Times New Roman" w:cs="Arial"/>
                <w:sz w:val="20"/>
                <w:szCs w:val="20"/>
                <w:lang w:val="en-US" w:eastAsia="en-US"/>
              </w:rPr>
            </w:pPr>
          </w:p>
        </w:tc>
        <w:tc>
          <w:tcPr>
            <w:tcW w:w="1580" w:type="dxa"/>
            <w:tcBorders>
              <w:top w:val="nil"/>
              <w:left w:val="nil"/>
              <w:bottom w:val="nil"/>
              <w:right w:val="nil"/>
            </w:tcBorders>
            <w:shd w:val="clear" w:color="000000" w:fill="FFFFFF"/>
            <w:noWrap/>
            <w:vAlign w:val="bottom"/>
            <w:hideMark/>
          </w:tcPr>
          <w:p w14:paraId="2DDC179C"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(0.0441)</w:t>
            </w:r>
          </w:p>
        </w:tc>
        <w:tc>
          <w:tcPr>
            <w:tcW w:w="1518" w:type="dxa"/>
            <w:tcBorders>
              <w:top w:val="nil"/>
              <w:left w:val="nil"/>
              <w:bottom w:val="nil"/>
              <w:right w:val="nil"/>
            </w:tcBorders>
            <w:shd w:val="clear" w:color="000000" w:fill="FFFFFF"/>
            <w:noWrap/>
            <w:vAlign w:val="bottom"/>
            <w:hideMark/>
          </w:tcPr>
          <w:p w14:paraId="6F8283E6"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(0.0458)</w:t>
            </w:r>
          </w:p>
        </w:tc>
        <w:tc>
          <w:tcPr>
            <w:tcW w:w="1559" w:type="dxa"/>
            <w:tcBorders>
              <w:top w:val="nil"/>
              <w:left w:val="nil"/>
              <w:bottom w:val="nil"/>
              <w:right w:val="nil"/>
            </w:tcBorders>
            <w:shd w:val="clear" w:color="000000" w:fill="FFFFFF"/>
            <w:noWrap/>
            <w:vAlign w:val="bottom"/>
            <w:hideMark/>
          </w:tcPr>
          <w:p w14:paraId="7D0B12A6"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(0.0458)</w:t>
            </w:r>
          </w:p>
        </w:tc>
        <w:tc>
          <w:tcPr>
            <w:tcW w:w="1559" w:type="dxa"/>
            <w:tcBorders>
              <w:top w:val="nil"/>
              <w:left w:val="nil"/>
              <w:bottom w:val="nil"/>
              <w:right w:val="nil"/>
            </w:tcBorders>
            <w:shd w:val="clear" w:color="000000" w:fill="FFFFFF"/>
            <w:noWrap/>
            <w:vAlign w:val="bottom"/>
            <w:hideMark/>
          </w:tcPr>
          <w:p w14:paraId="2CD77380"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(0.0458)</w:t>
            </w:r>
          </w:p>
        </w:tc>
        <w:tc>
          <w:tcPr>
            <w:tcW w:w="1559" w:type="dxa"/>
            <w:tcBorders>
              <w:top w:val="nil"/>
              <w:left w:val="nil"/>
              <w:bottom w:val="nil"/>
              <w:right w:val="nil"/>
            </w:tcBorders>
            <w:shd w:val="clear" w:color="000000" w:fill="FFFFFF"/>
            <w:noWrap/>
            <w:vAlign w:val="bottom"/>
            <w:hideMark/>
          </w:tcPr>
          <w:p w14:paraId="6076BF74"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(0.0478)</w:t>
            </w:r>
          </w:p>
        </w:tc>
      </w:tr>
      <w:tr w:rsidR="002640E4" w:rsidRPr="00986F85" w14:paraId="2594F8A7" w14:textId="77777777" w:rsidTr="002640E4">
        <w:trPr>
          <w:trHeight w:val="260"/>
        </w:trPr>
        <w:tc>
          <w:tcPr>
            <w:tcW w:w="3580" w:type="dxa"/>
            <w:tcBorders>
              <w:top w:val="nil"/>
              <w:left w:val="nil"/>
              <w:bottom w:val="nil"/>
              <w:right w:val="nil"/>
            </w:tcBorders>
            <w:shd w:val="clear" w:color="auto" w:fill="auto"/>
            <w:noWrap/>
            <w:vAlign w:val="bottom"/>
            <w:hideMark/>
          </w:tcPr>
          <w:p w14:paraId="5CC9E25C"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Nyugat-Dunántúl</w:t>
            </w:r>
          </w:p>
        </w:tc>
        <w:tc>
          <w:tcPr>
            <w:tcW w:w="1580" w:type="dxa"/>
            <w:tcBorders>
              <w:top w:val="nil"/>
              <w:left w:val="nil"/>
              <w:bottom w:val="nil"/>
              <w:right w:val="nil"/>
            </w:tcBorders>
            <w:shd w:val="clear" w:color="000000" w:fill="FFFFFF"/>
            <w:noWrap/>
            <w:vAlign w:val="bottom"/>
            <w:hideMark/>
          </w:tcPr>
          <w:p w14:paraId="47FDD550"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-0.0561</w:t>
            </w:r>
          </w:p>
        </w:tc>
        <w:tc>
          <w:tcPr>
            <w:tcW w:w="1518" w:type="dxa"/>
            <w:tcBorders>
              <w:top w:val="nil"/>
              <w:left w:val="nil"/>
              <w:bottom w:val="nil"/>
              <w:right w:val="nil"/>
            </w:tcBorders>
            <w:shd w:val="clear" w:color="000000" w:fill="FFFFFF"/>
            <w:noWrap/>
            <w:vAlign w:val="bottom"/>
            <w:hideMark/>
          </w:tcPr>
          <w:p w14:paraId="6FED3B7F"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-0.0580</w:t>
            </w:r>
          </w:p>
        </w:tc>
        <w:tc>
          <w:tcPr>
            <w:tcW w:w="1559" w:type="dxa"/>
            <w:tcBorders>
              <w:top w:val="nil"/>
              <w:left w:val="nil"/>
              <w:bottom w:val="nil"/>
              <w:right w:val="nil"/>
            </w:tcBorders>
            <w:shd w:val="clear" w:color="000000" w:fill="FFFFFF"/>
            <w:noWrap/>
            <w:vAlign w:val="bottom"/>
            <w:hideMark/>
          </w:tcPr>
          <w:p w14:paraId="7B106461"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-0.0583</w:t>
            </w:r>
          </w:p>
        </w:tc>
        <w:tc>
          <w:tcPr>
            <w:tcW w:w="1559" w:type="dxa"/>
            <w:tcBorders>
              <w:top w:val="nil"/>
              <w:left w:val="nil"/>
              <w:bottom w:val="nil"/>
              <w:right w:val="nil"/>
            </w:tcBorders>
            <w:shd w:val="clear" w:color="000000" w:fill="FFFFFF"/>
            <w:noWrap/>
            <w:vAlign w:val="bottom"/>
            <w:hideMark/>
          </w:tcPr>
          <w:p w14:paraId="3EE7D726"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-0.0572</w:t>
            </w:r>
          </w:p>
        </w:tc>
        <w:tc>
          <w:tcPr>
            <w:tcW w:w="1559" w:type="dxa"/>
            <w:tcBorders>
              <w:top w:val="nil"/>
              <w:left w:val="nil"/>
              <w:bottom w:val="nil"/>
              <w:right w:val="nil"/>
            </w:tcBorders>
            <w:shd w:val="clear" w:color="000000" w:fill="FFFFFF"/>
            <w:noWrap/>
            <w:vAlign w:val="bottom"/>
            <w:hideMark/>
          </w:tcPr>
          <w:p w14:paraId="5F3594A9"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-0.0911*</w:t>
            </w:r>
          </w:p>
        </w:tc>
      </w:tr>
      <w:tr w:rsidR="002640E4" w:rsidRPr="00986F85" w14:paraId="26A95AB8" w14:textId="77777777" w:rsidTr="002640E4">
        <w:trPr>
          <w:trHeight w:val="260"/>
        </w:trPr>
        <w:tc>
          <w:tcPr>
            <w:tcW w:w="3580" w:type="dxa"/>
            <w:tcBorders>
              <w:top w:val="nil"/>
              <w:left w:val="nil"/>
              <w:bottom w:val="nil"/>
              <w:right w:val="nil"/>
            </w:tcBorders>
            <w:shd w:val="clear" w:color="auto" w:fill="auto"/>
            <w:noWrap/>
            <w:vAlign w:val="bottom"/>
            <w:hideMark/>
          </w:tcPr>
          <w:p w14:paraId="5F13EFAA" w14:textId="77777777" w:rsidR="002640E4" w:rsidRPr="00986F85" w:rsidRDefault="002640E4" w:rsidP="002640E4">
            <w:pPr>
              <w:suppressAutoHyphens w:val="0"/>
              <w:spacing w:after="0" w:line="240" w:lineRule="auto"/>
              <w:rPr>
                <w:rFonts w:eastAsia="Times New Roman" w:cs="Arial"/>
                <w:sz w:val="20"/>
                <w:szCs w:val="20"/>
                <w:lang w:val="en-US" w:eastAsia="en-US"/>
              </w:rPr>
            </w:pPr>
          </w:p>
        </w:tc>
        <w:tc>
          <w:tcPr>
            <w:tcW w:w="1580" w:type="dxa"/>
            <w:tcBorders>
              <w:top w:val="nil"/>
              <w:left w:val="nil"/>
              <w:bottom w:val="nil"/>
              <w:right w:val="nil"/>
            </w:tcBorders>
            <w:shd w:val="clear" w:color="000000" w:fill="FFFFFF"/>
            <w:noWrap/>
            <w:vAlign w:val="bottom"/>
            <w:hideMark/>
          </w:tcPr>
          <w:p w14:paraId="1ADE3429"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(0.0439)</w:t>
            </w:r>
          </w:p>
        </w:tc>
        <w:tc>
          <w:tcPr>
            <w:tcW w:w="1518" w:type="dxa"/>
            <w:tcBorders>
              <w:top w:val="nil"/>
              <w:left w:val="nil"/>
              <w:bottom w:val="nil"/>
              <w:right w:val="nil"/>
            </w:tcBorders>
            <w:shd w:val="clear" w:color="000000" w:fill="FFFFFF"/>
            <w:noWrap/>
            <w:vAlign w:val="bottom"/>
            <w:hideMark/>
          </w:tcPr>
          <w:p w14:paraId="5983D5D8"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(0.0454)</w:t>
            </w:r>
          </w:p>
        </w:tc>
        <w:tc>
          <w:tcPr>
            <w:tcW w:w="1559" w:type="dxa"/>
            <w:tcBorders>
              <w:top w:val="nil"/>
              <w:left w:val="nil"/>
              <w:bottom w:val="nil"/>
              <w:right w:val="nil"/>
            </w:tcBorders>
            <w:shd w:val="clear" w:color="000000" w:fill="FFFFFF"/>
            <w:noWrap/>
            <w:vAlign w:val="bottom"/>
            <w:hideMark/>
          </w:tcPr>
          <w:p w14:paraId="31AFAE37"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(0.0455)</w:t>
            </w:r>
          </w:p>
        </w:tc>
        <w:tc>
          <w:tcPr>
            <w:tcW w:w="1559" w:type="dxa"/>
            <w:tcBorders>
              <w:top w:val="nil"/>
              <w:left w:val="nil"/>
              <w:bottom w:val="nil"/>
              <w:right w:val="nil"/>
            </w:tcBorders>
            <w:shd w:val="clear" w:color="000000" w:fill="FFFFFF"/>
            <w:noWrap/>
            <w:vAlign w:val="bottom"/>
            <w:hideMark/>
          </w:tcPr>
          <w:p w14:paraId="3BBB394A"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(0.0455)</w:t>
            </w:r>
          </w:p>
        </w:tc>
        <w:tc>
          <w:tcPr>
            <w:tcW w:w="1559" w:type="dxa"/>
            <w:tcBorders>
              <w:top w:val="nil"/>
              <w:left w:val="nil"/>
              <w:bottom w:val="nil"/>
              <w:right w:val="nil"/>
            </w:tcBorders>
            <w:shd w:val="clear" w:color="000000" w:fill="FFFFFF"/>
            <w:noWrap/>
            <w:vAlign w:val="bottom"/>
            <w:hideMark/>
          </w:tcPr>
          <w:p w14:paraId="1891A666"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(0.0475)</w:t>
            </w:r>
          </w:p>
        </w:tc>
      </w:tr>
      <w:tr w:rsidR="002640E4" w:rsidRPr="00986F85" w14:paraId="135393D9" w14:textId="77777777" w:rsidTr="002640E4">
        <w:trPr>
          <w:trHeight w:val="260"/>
        </w:trPr>
        <w:tc>
          <w:tcPr>
            <w:tcW w:w="3580" w:type="dxa"/>
            <w:tcBorders>
              <w:top w:val="nil"/>
              <w:left w:val="nil"/>
              <w:bottom w:val="nil"/>
              <w:right w:val="nil"/>
            </w:tcBorders>
            <w:shd w:val="clear" w:color="auto" w:fill="auto"/>
            <w:noWrap/>
            <w:vAlign w:val="bottom"/>
            <w:hideMark/>
          </w:tcPr>
          <w:p w14:paraId="4A09F925"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Dél-Dunántúl</w:t>
            </w:r>
          </w:p>
        </w:tc>
        <w:tc>
          <w:tcPr>
            <w:tcW w:w="1580" w:type="dxa"/>
            <w:tcBorders>
              <w:top w:val="nil"/>
              <w:left w:val="nil"/>
              <w:bottom w:val="nil"/>
              <w:right w:val="nil"/>
            </w:tcBorders>
            <w:shd w:val="clear" w:color="000000" w:fill="FFFFFF"/>
            <w:noWrap/>
            <w:vAlign w:val="bottom"/>
            <w:hideMark/>
          </w:tcPr>
          <w:p w14:paraId="7BA7D209"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-0.0532</w:t>
            </w:r>
          </w:p>
        </w:tc>
        <w:tc>
          <w:tcPr>
            <w:tcW w:w="1518" w:type="dxa"/>
            <w:tcBorders>
              <w:top w:val="nil"/>
              <w:left w:val="nil"/>
              <w:bottom w:val="nil"/>
              <w:right w:val="nil"/>
            </w:tcBorders>
            <w:shd w:val="clear" w:color="000000" w:fill="FFFFFF"/>
            <w:noWrap/>
            <w:vAlign w:val="bottom"/>
            <w:hideMark/>
          </w:tcPr>
          <w:p w14:paraId="70319C0D"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-0.0407</w:t>
            </w:r>
          </w:p>
        </w:tc>
        <w:tc>
          <w:tcPr>
            <w:tcW w:w="1559" w:type="dxa"/>
            <w:tcBorders>
              <w:top w:val="nil"/>
              <w:left w:val="nil"/>
              <w:bottom w:val="nil"/>
              <w:right w:val="nil"/>
            </w:tcBorders>
            <w:shd w:val="clear" w:color="000000" w:fill="FFFFFF"/>
            <w:noWrap/>
            <w:vAlign w:val="bottom"/>
            <w:hideMark/>
          </w:tcPr>
          <w:p w14:paraId="3A3C976F"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-0.0400</w:t>
            </w:r>
          </w:p>
        </w:tc>
        <w:tc>
          <w:tcPr>
            <w:tcW w:w="1559" w:type="dxa"/>
            <w:tcBorders>
              <w:top w:val="nil"/>
              <w:left w:val="nil"/>
              <w:bottom w:val="nil"/>
              <w:right w:val="nil"/>
            </w:tcBorders>
            <w:shd w:val="clear" w:color="000000" w:fill="FFFFFF"/>
            <w:noWrap/>
            <w:vAlign w:val="bottom"/>
            <w:hideMark/>
          </w:tcPr>
          <w:p w14:paraId="418A48C7"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-0.0395</w:t>
            </w:r>
          </w:p>
        </w:tc>
        <w:tc>
          <w:tcPr>
            <w:tcW w:w="1559" w:type="dxa"/>
            <w:tcBorders>
              <w:top w:val="nil"/>
              <w:left w:val="nil"/>
              <w:bottom w:val="nil"/>
              <w:right w:val="nil"/>
            </w:tcBorders>
            <w:shd w:val="clear" w:color="000000" w:fill="FFFFFF"/>
            <w:noWrap/>
            <w:vAlign w:val="bottom"/>
            <w:hideMark/>
          </w:tcPr>
          <w:p w14:paraId="7116D0C2"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-0.0556</w:t>
            </w:r>
          </w:p>
        </w:tc>
      </w:tr>
      <w:tr w:rsidR="002640E4" w:rsidRPr="00986F85" w14:paraId="60F81901" w14:textId="77777777" w:rsidTr="002640E4">
        <w:trPr>
          <w:trHeight w:val="260"/>
        </w:trPr>
        <w:tc>
          <w:tcPr>
            <w:tcW w:w="3580" w:type="dxa"/>
            <w:tcBorders>
              <w:top w:val="nil"/>
              <w:left w:val="nil"/>
              <w:bottom w:val="nil"/>
              <w:right w:val="nil"/>
            </w:tcBorders>
            <w:shd w:val="clear" w:color="auto" w:fill="auto"/>
            <w:noWrap/>
            <w:vAlign w:val="bottom"/>
            <w:hideMark/>
          </w:tcPr>
          <w:p w14:paraId="085B9891" w14:textId="77777777" w:rsidR="002640E4" w:rsidRPr="00986F85" w:rsidRDefault="002640E4" w:rsidP="002640E4">
            <w:pPr>
              <w:suppressAutoHyphens w:val="0"/>
              <w:spacing w:after="0" w:line="240" w:lineRule="auto"/>
              <w:rPr>
                <w:rFonts w:eastAsia="Times New Roman" w:cs="Arial"/>
                <w:sz w:val="20"/>
                <w:szCs w:val="20"/>
                <w:lang w:val="en-US" w:eastAsia="en-US"/>
              </w:rPr>
            </w:pPr>
          </w:p>
        </w:tc>
        <w:tc>
          <w:tcPr>
            <w:tcW w:w="1580" w:type="dxa"/>
            <w:tcBorders>
              <w:top w:val="nil"/>
              <w:left w:val="nil"/>
              <w:bottom w:val="nil"/>
              <w:right w:val="nil"/>
            </w:tcBorders>
            <w:shd w:val="clear" w:color="000000" w:fill="FFFFFF"/>
            <w:noWrap/>
            <w:vAlign w:val="bottom"/>
            <w:hideMark/>
          </w:tcPr>
          <w:p w14:paraId="3CF8B703"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(0.0457)</w:t>
            </w:r>
          </w:p>
        </w:tc>
        <w:tc>
          <w:tcPr>
            <w:tcW w:w="1518" w:type="dxa"/>
            <w:tcBorders>
              <w:top w:val="nil"/>
              <w:left w:val="nil"/>
              <w:bottom w:val="nil"/>
              <w:right w:val="nil"/>
            </w:tcBorders>
            <w:shd w:val="clear" w:color="000000" w:fill="FFFFFF"/>
            <w:noWrap/>
            <w:vAlign w:val="bottom"/>
            <w:hideMark/>
          </w:tcPr>
          <w:p w14:paraId="2C91BABE"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(0.0472)</w:t>
            </w:r>
          </w:p>
        </w:tc>
        <w:tc>
          <w:tcPr>
            <w:tcW w:w="1559" w:type="dxa"/>
            <w:tcBorders>
              <w:top w:val="nil"/>
              <w:left w:val="nil"/>
              <w:bottom w:val="nil"/>
              <w:right w:val="nil"/>
            </w:tcBorders>
            <w:shd w:val="clear" w:color="000000" w:fill="FFFFFF"/>
            <w:noWrap/>
            <w:vAlign w:val="bottom"/>
            <w:hideMark/>
          </w:tcPr>
          <w:p w14:paraId="6DB5DDE4"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(0.0472)</w:t>
            </w:r>
          </w:p>
        </w:tc>
        <w:tc>
          <w:tcPr>
            <w:tcW w:w="1559" w:type="dxa"/>
            <w:tcBorders>
              <w:top w:val="nil"/>
              <w:left w:val="nil"/>
              <w:bottom w:val="nil"/>
              <w:right w:val="nil"/>
            </w:tcBorders>
            <w:shd w:val="clear" w:color="000000" w:fill="FFFFFF"/>
            <w:noWrap/>
            <w:vAlign w:val="bottom"/>
            <w:hideMark/>
          </w:tcPr>
          <w:p w14:paraId="750E6FFB"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(0.0472)</w:t>
            </w:r>
          </w:p>
        </w:tc>
        <w:tc>
          <w:tcPr>
            <w:tcW w:w="1559" w:type="dxa"/>
            <w:tcBorders>
              <w:top w:val="nil"/>
              <w:left w:val="nil"/>
              <w:bottom w:val="nil"/>
              <w:right w:val="nil"/>
            </w:tcBorders>
            <w:shd w:val="clear" w:color="000000" w:fill="FFFFFF"/>
            <w:noWrap/>
            <w:vAlign w:val="bottom"/>
            <w:hideMark/>
          </w:tcPr>
          <w:p w14:paraId="45EAEFA3"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(0.0493)</w:t>
            </w:r>
          </w:p>
        </w:tc>
      </w:tr>
      <w:tr w:rsidR="002640E4" w:rsidRPr="00986F85" w14:paraId="0BEBA5EE" w14:textId="77777777" w:rsidTr="002640E4">
        <w:trPr>
          <w:trHeight w:val="260"/>
        </w:trPr>
        <w:tc>
          <w:tcPr>
            <w:tcW w:w="3580" w:type="dxa"/>
            <w:tcBorders>
              <w:top w:val="nil"/>
              <w:left w:val="nil"/>
              <w:bottom w:val="nil"/>
              <w:right w:val="nil"/>
            </w:tcBorders>
            <w:shd w:val="clear" w:color="auto" w:fill="auto"/>
            <w:noWrap/>
            <w:vAlign w:val="bottom"/>
            <w:hideMark/>
          </w:tcPr>
          <w:p w14:paraId="28E41E92"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Észak-Magyarország</w:t>
            </w:r>
          </w:p>
        </w:tc>
        <w:tc>
          <w:tcPr>
            <w:tcW w:w="1580" w:type="dxa"/>
            <w:tcBorders>
              <w:top w:val="nil"/>
              <w:left w:val="nil"/>
              <w:bottom w:val="nil"/>
              <w:right w:val="nil"/>
            </w:tcBorders>
            <w:shd w:val="clear" w:color="000000" w:fill="FFFFFF"/>
            <w:noWrap/>
            <w:vAlign w:val="bottom"/>
            <w:hideMark/>
          </w:tcPr>
          <w:p w14:paraId="52758D65"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-0.0416</w:t>
            </w:r>
          </w:p>
        </w:tc>
        <w:tc>
          <w:tcPr>
            <w:tcW w:w="1518" w:type="dxa"/>
            <w:tcBorders>
              <w:top w:val="nil"/>
              <w:left w:val="nil"/>
              <w:bottom w:val="nil"/>
              <w:right w:val="nil"/>
            </w:tcBorders>
            <w:shd w:val="clear" w:color="000000" w:fill="FFFFFF"/>
            <w:noWrap/>
            <w:vAlign w:val="bottom"/>
            <w:hideMark/>
          </w:tcPr>
          <w:p w14:paraId="02BE4B0A"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-0.0277</w:t>
            </w:r>
          </w:p>
        </w:tc>
        <w:tc>
          <w:tcPr>
            <w:tcW w:w="1559" w:type="dxa"/>
            <w:tcBorders>
              <w:top w:val="nil"/>
              <w:left w:val="nil"/>
              <w:bottom w:val="nil"/>
              <w:right w:val="nil"/>
            </w:tcBorders>
            <w:shd w:val="clear" w:color="000000" w:fill="FFFFFF"/>
            <w:noWrap/>
            <w:vAlign w:val="bottom"/>
            <w:hideMark/>
          </w:tcPr>
          <w:p w14:paraId="59516EF6"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-0.0283</w:t>
            </w:r>
          </w:p>
        </w:tc>
        <w:tc>
          <w:tcPr>
            <w:tcW w:w="1559" w:type="dxa"/>
            <w:tcBorders>
              <w:top w:val="nil"/>
              <w:left w:val="nil"/>
              <w:bottom w:val="nil"/>
              <w:right w:val="nil"/>
            </w:tcBorders>
            <w:shd w:val="clear" w:color="000000" w:fill="FFFFFF"/>
            <w:noWrap/>
            <w:vAlign w:val="bottom"/>
            <w:hideMark/>
          </w:tcPr>
          <w:p w14:paraId="241AB348"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-0.0278</w:t>
            </w:r>
          </w:p>
        </w:tc>
        <w:tc>
          <w:tcPr>
            <w:tcW w:w="1559" w:type="dxa"/>
            <w:tcBorders>
              <w:top w:val="nil"/>
              <w:left w:val="nil"/>
              <w:bottom w:val="nil"/>
              <w:right w:val="nil"/>
            </w:tcBorders>
            <w:shd w:val="clear" w:color="000000" w:fill="FFFFFF"/>
            <w:noWrap/>
            <w:vAlign w:val="bottom"/>
            <w:hideMark/>
          </w:tcPr>
          <w:p w14:paraId="2F5C8874"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-0.0283</w:t>
            </w:r>
          </w:p>
        </w:tc>
      </w:tr>
      <w:tr w:rsidR="002640E4" w:rsidRPr="00986F85" w14:paraId="4A3D0FE3" w14:textId="77777777" w:rsidTr="002640E4">
        <w:trPr>
          <w:trHeight w:val="260"/>
        </w:trPr>
        <w:tc>
          <w:tcPr>
            <w:tcW w:w="3580" w:type="dxa"/>
            <w:tcBorders>
              <w:top w:val="nil"/>
              <w:left w:val="nil"/>
              <w:bottom w:val="nil"/>
              <w:right w:val="nil"/>
            </w:tcBorders>
            <w:shd w:val="clear" w:color="auto" w:fill="auto"/>
            <w:noWrap/>
            <w:vAlign w:val="bottom"/>
            <w:hideMark/>
          </w:tcPr>
          <w:p w14:paraId="6A49627E" w14:textId="77777777" w:rsidR="002640E4" w:rsidRPr="00986F85" w:rsidRDefault="002640E4" w:rsidP="002640E4">
            <w:pPr>
              <w:suppressAutoHyphens w:val="0"/>
              <w:spacing w:after="0" w:line="240" w:lineRule="auto"/>
              <w:rPr>
                <w:rFonts w:eastAsia="Times New Roman" w:cs="Arial"/>
                <w:sz w:val="20"/>
                <w:szCs w:val="20"/>
                <w:lang w:val="en-US" w:eastAsia="en-US"/>
              </w:rPr>
            </w:pPr>
          </w:p>
        </w:tc>
        <w:tc>
          <w:tcPr>
            <w:tcW w:w="1580" w:type="dxa"/>
            <w:tcBorders>
              <w:top w:val="nil"/>
              <w:left w:val="nil"/>
              <w:bottom w:val="nil"/>
              <w:right w:val="nil"/>
            </w:tcBorders>
            <w:shd w:val="clear" w:color="000000" w:fill="FFFFFF"/>
            <w:noWrap/>
            <w:vAlign w:val="bottom"/>
            <w:hideMark/>
          </w:tcPr>
          <w:p w14:paraId="1C545D1C"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(0.0464)</w:t>
            </w:r>
          </w:p>
        </w:tc>
        <w:tc>
          <w:tcPr>
            <w:tcW w:w="1518" w:type="dxa"/>
            <w:tcBorders>
              <w:top w:val="nil"/>
              <w:left w:val="nil"/>
              <w:bottom w:val="nil"/>
              <w:right w:val="nil"/>
            </w:tcBorders>
            <w:shd w:val="clear" w:color="000000" w:fill="FFFFFF"/>
            <w:noWrap/>
            <w:vAlign w:val="bottom"/>
            <w:hideMark/>
          </w:tcPr>
          <w:p w14:paraId="6B84ACC6"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(0.0480)</w:t>
            </w:r>
          </w:p>
        </w:tc>
        <w:tc>
          <w:tcPr>
            <w:tcW w:w="1559" w:type="dxa"/>
            <w:tcBorders>
              <w:top w:val="nil"/>
              <w:left w:val="nil"/>
              <w:bottom w:val="nil"/>
              <w:right w:val="nil"/>
            </w:tcBorders>
            <w:shd w:val="clear" w:color="000000" w:fill="FFFFFF"/>
            <w:noWrap/>
            <w:vAlign w:val="bottom"/>
            <w:hideMark/>
          </w:tcPr>
          <w:p w14:paraId="5BE50B35"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(0.0480)</w:t>
            </w:r>
          </w:p>
        </w:tc>
        <w:tc>
          <w:tcPr>
            <w:tcW w:w="1559" w:type="dxa"/>
            <w:tcBorders>
              <w:top w:val="nil"/>
              <w:left w:val="nil"/>
              <w:bottom w:val="nil"/>
              <w:right w:val="nil"/>
            </w:tcBorders>
            <w:shd w:val="clear" w:color="000000" w:fill="FFFFFF"/>
            <w:noWrap/>
            <w:vAlign w:val="bottom"/>
            <w:hideMark/>
          </w:tcPr>
          <w:p w14:paraId="7CEBE404"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(0.0480)</w:t>
            </w:r>
          </w:p>
        </w:tc>
        <w:tc>
          <w:tcPr>
            <w:tcW w:w="1559" w:type="dxa"/>
            <w:tcBorders>
              <w:top w:val="nil"/>
              <w:left w:val="nil"/>
              <w:bottom w:val="nil"/>
              <w:right w:val="nil"/>
            </w:tcBorders>
            <w:shd w:val="clear" w:color="000000" w:fill="FFFFFF"/>
            <w:noWrap/>
            <w:vAlign w:val="bottom"/>
            <w:hideMark/>
          </w:tcPr>
          <w:p w14:paraId="00975FA6"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(0.0499)</w:t>
            </w:r>
          </w:p>
        </w:tc>
      </w:tr>
      <w:tr w:rsidR="002640E4" w:rsidRPr="00986F85" w14:paraId="740955AA" w14:textId="77777777" w:rsidTr="002640E4">
        <w:trPr>
          <w:trHeight w:val="260"/>
        </w:trPr>
        <w:tc>
          <w:tcPr>
            <w:tcW w:w="3580" w:type="dxa"/>
            <w:tcBorders>
              <w:top w:val="nil"/>
              <w:left w:val="nil"/>
              <w:bottom w:val="nil"/>
              <w:right w:val="nil"/>
            </w:tcBorders>
            <w:shd w:val="clear" w:color="auto" w:fill="auto"/>
            <w:noWrap/>
            <w:vAlign w:val="bottom"/>
            <w:hideMark/>
          </w:tcPr>
          <w:p w14:paraId="2397543B"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Észak-Alföld</w:t>
            </w:r>
          </w:p>
        </w:tc>
        <w:tc>
          <w:tcPr>
            <w:tcW w:w="1580" w:type="dxa"/>
            <w:tcBorders>
              <w:top w:val="nil"/>
              <w:left w:val="nil"/>
              <w:bottom w:val="nil"/>
              <w:right w:val="nil"/>
            </w:tcBorders>
            <w:shd w:val="clear" w:color="000000" w:fill="FFFFFF"/>
            <w:noWrap/>
            <w:vAlign w:val="bottom"/>
            <w:hideMark/>
          </w:tcPr>
          <w:p w14:paraId="7F87156D"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-0.0412</w:t>
            </w:r>
          </w:p>
        </w:tc>
        <w:tc>
          <w:tcPr>
            <w:tcW w:w="1518" w:type="dxa"/>
            <w:tcBorders>
              <w:top w:val="nil"/>
              <w:left w:val="nil"/>
              <w:bottom w:val="nil"/>
              <w:right w:val="nil"/>
            </w:tcBorders>
            <w:shd w:val="clear" w:color="000000" w:fill="FFFFFF"/>
            <w:noWrap/>
            <w:vAlign w:val="bottom"/>
            <w:hideMark/>
          </w:tcPr>
          <w:p w14:paraId="7C4DE710"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-0.0440</w:t>
            </w:r>
          </w:p>
        </w:tc>
        <w:tc>
          <w:tcPr>
            <w:tcW w:w="1559" w:type="dxa"/>
            <w:tcBorders>
              <w:top w:val="nil"/>
              <w:left w:val="nil"/>
              <w:bottom w:val="nil"/>
              <w:right w:val="nil"/>
            </w:tcBorders>
            <w:shd w:val="clear" w:color="000000" w:fill="FFFFFF"/>
            <w:noWrap/>
            <w:vAlign w:val="bottom"/>
            <w:hideMark/>
          </w:tcPr>
          <w:p w14:paraId="53A64361"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-0.0449</w:t>
            </w:r>
          </w:p>
        </w:tc>
        <w:tc>
          <w:tcPr>
            <w:tcW w:w="1559" w:type="dxa"/>
            <w:tcBorders>
              <w:top w:val="nil"/>
              <w:left w:val="nil"/>
              <w:bottom w:val="nil"/>
              <w:right w:val="nil"/>
            </w:tcBorders>
            <w:shd w:val="clear" w:color="000000" w:fill="FFFFFF"/>
            <w:noWrap/>
            <w:vAlign w:val="bottom"/>
            <w:hideMark/>
          </w:tcPr>
          <w:p w14:paraId="2C73AFBD"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-0.0442</w:t>
            </w:r>
          </w:p>
        </w:tc>
        <w:tc>
          <w:tcPr>
            <w:tcW w:w="1559" w:type="dxa"/>
            <w:tcBorders>
              <w:top w:val="nil"/>
              <w:left w:val="nil"/>
              <w:bottom w:val="nil"/>
              <w:right w:val="nil"/>
            </w:tcBorders>
            <w:shd w:val="clear" w:color="000000" w:fill="FFFFFF"/>
            <w:noWrap/>
            <w:vAlign w:val="bottom"/>
            <w:hideMark/>
          </w:tcPr>
          <w:p w14:paraId="6D29B4C8"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-0.0565</w:t>
            </w:r>
          </w:p>
        </w:tc>
      </w:tr>
      <w:tr w:rsidR="002640E4" w:rsidRPr="00986F85" w14:paraId="783D43C9" w14:textId="77777777" w:rsidTr="002640E4">
        <w:trPr>
          <w:trHeight w:val="280"/>
        </w:trPr>
        <w:tc>
          <w:tcPr>
            <w:tcW w:w="3580" w:type="dxa"/>
            <w:tcBorders>
              <w:top w:val="nil"/>
              <w:left w:val="nil"/>
              <w:bottom w:val="nil"/>
              <w:right w:val="nil"/>
            </w:tcBorders>
            <w:shd w:val="clear" w:color="auto" w:fill="auto"/>
            <w:noWrap/>
            <w:vAlign w:val="bottom"/>
            <w:hideMark/>
          </w:tcPr>
          <w:p w14:paraId="25284216" w14:textId="77777777" w:rsidR="002640E4" w:rsidRPr="00986F85" w:rsidRDefault="002640E4" w:rsidP="002640E4">
            <w:pPr>
              <w:suppressAutoHyphens w:val="0"/>
              <w:spacing w:after="0" w:line="240" w:lineRule="auto"/>
              <w:rPr>
                <w:rFonts w:eastAsia="Times New Roman" w:cs="Arial"/>
                <w:sz w:val="20"/>
                <w:szCs w:val="20"/>
                <w:lang w:val="en-US" w:eastAsia="en-US"/>
              </w:rPr>
            </w:pPr>
          </w:p>
        </w:tc>
        <w:tc>
          <w:tcPr>
            <w:tcW w:w="1580" w:type="dxa"/>
            <w:tcBorders>
              <w:top w:val="nil"/>
              <w:left w:val="nil"/>
              <w:bottom w:val="nil"/>
              <w:right w:val="nil"/>
            </w:tcBorders>
            <w:shd w:val="clear" w:color="000000" w:fill="FFFFFF"/>
            <w:noWrap/>
            <w:vAlign w:val="bottom"/>
            <w:hideMark/>
          </w:tcPr>
          <w:p w14:paraId="147C0C0E"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(0.0425)</w:t>
            </w:r>
          </w:p>
        </w:tc>
        <w:tc>
          <w:tcPr>
            <w:tcW w:w="1518" w:type="dxa"/>
            <w:tcBorders>
              <w:top w:val="nil"/>
              <w:left w:val="nil"/>
              <w:bottom w:val="nil"/>
              <w:right w:val="nil"/>
            </w:tcBorders>
            <w:shd w:val="clear" w:color="000000" w:fill="FFFFFF"/>
            <w:noWrap/>
            <w:vAlign w:val="bottom"/>
            <w:hideMark/>
          </w:tcPr>
          <w:p w14:paraId="75E72231"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(0.0442)</w:t>
            </w:r>
          </w:p>
        </w:tc>
        <w:tc>
          <w:tcPr>
            <w:tcW w:w="1559" w:type="dxa"/>
            <w:tcBorders>
              <w:top w:val="nil"/>
              <w:left w:val="nil"/>
              <w:bottom w:val="nil"/>
              <w:right w:val="nil"/>
            </w:tcBorders>
            <w:shd w:val="clear" w:color="000000" w:fill="FFFFFF"/>
            <w:noWrap/>
            <w:vAlign w:val="bottom"/>
            <w:hideMark/>
          </w:tcPr>
          <w:p w14:paraId="3F1798FA"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(0.0442)</w:t>
            </w:r>
          </w:p>
        </w:tc>
        <w:tc>
          <w:tcPr>
            <w:tcW w:w="1559" w:type="dxa"/>
            <w:tcBorders>
              <w:top w:val="nil"/>
              <w:left w:val="nil"/>
              <w:bottom w:val="nil"/>
              <w:right w:val="nil"/>
            </w:tcBorders>
            <w:shd w:val="clear" w:color="000000" w:fill="FFFFFF"/>
            <w:noWrap/>
            <w:vAlign w:val="bottom"/>
            <w:hideMark/>
          </w:tcPr>
          <w:p w14:paraId="07548D4F"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(0.0442)</w:t>
            </w:r>
          </w:p>
        </w:tc>
        <w:tc>
          <w:tcPr>
            <w:tcW w:w="1559" w:type="dxa"/>
            <w:tcBorders>
              <w:top w:val="nil"/>
              <w:left w:val="nil"/>
              <w:bottom w:val="nil"/>
              <w:right w:val="nil"/>
            </w:tcBorders>
            <w:shd w:val="clear" w:color="000000" w:fill="FFFFFF"/>
            <w:noWrap/>
            <w:vAlign w:val="bottom"/>
            <w:hideMark/>
          </w:tcPr>
          <w:p w14:paraId="51BDC50C"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(0.0461)</w:t>
            </w:r>
          </w:p>
        </w:tc>
      </w:tr>
      <w:tr w:rsidR="002640E4" w:rsidRPr="00986F85" w14:paraId="392D12E4" w14:textId="77777777" w:rsidTr="002640E4">
        <w:trPr>
          <w:trHeight w:val="260"/>
        </w:trPr>
        <w:tc>
          <w:tcPr>
            <w:tcW w:w="3580" w:type="dxa"/>
            <w:tcBorders>
              <w:top w:val="single" w:sz="8" w:space="0" w:color="BFBFBF"/>
              <w:left w:val="single" w:sz="8" w:space="0" w:color="BFBFBF"/>
              <w:bottom w:val="single" w:sz="8" w:space="0" w:color="BFBFBF"/>
              <w:right w:val="single" w:sz="8" w:space="0" w:color="BFBFBF"/>
            </w:tcBorders>
            <w:shd w:val="clear" w:color="000000" w:fill="FFFFFF"/>
            <w:vAlign w:val="center"/>
            <w:hideMark/>
          </w:tcPr>
          <w:p w14:paraId="615E5B79"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Vállalat kora</w:t>
            </w:r>
          </w:p>
        </w:tc>
        <w:tc>
          <w:tcPr>
            <w:tcW w:w="1580" w:type="dxa"/>
            <w:tcBorders>
              <w:top w:val="nil"/>
              <w:left w:val="nil"/>
              <w:bottom w:val="nil"/>
              <w:right w:val="nil"/>
            </w:tcBorders>
            <w:shd w:val="clear" w:color="000000" w:fill="FFFFFF"/>
            <w:noWrap/>
            <w:vAlign w:val="bottom"/>
            <w:hideMark/>
          </w:tcPr>
          <w:p w14:paraId="7BE808B2"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-0.00630</w:t>
            </w:r>
          </w:p>
        </w:tc>
        <w:tc>
          <w:tcPr>
            <w:tcW w:w="1518" w:type="dxa"/>
            <w:tcBorders>
              <w:top w:val="nil"/>
              <w:left w:val="nil"/>
              <w:bottom w:val="nil"/>
              <w:right w:val="nil"/>
            </w:tcBorders>
            <w:shd w:val="clear" w:color="000000" w:fill="FFFFFF"/>
            <w:noWrap/>
            <w:vAlign w:val="bottom"/>
            <w:hideMark/>
          </w:tcPr>
          <w:p w14:paraId="0FA28968"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0.00383</w:t>
            </w:r>
          </w:p>
        </w:tc>
        <w:tc>
          <w:tcPr>
            <w:tcW w:w="1559" w:type="dxa"/>
            <w:tcBorders>
              <w:top w:val="nil"/>
              <w:left w:val="nil"/>
              <w:bottom w:val="nil"/>
              <w:right w:val="nil"/>
            </w:tcBorders>
            <w:shd w:val="clear" w:color="000000" w:fill="FFFFFF"/>
            <w:noWrap/>
            <w:vAlign w:val="bottom"/>
            <w:hideMark/>
          </w:tcPr>
          <w:p w14:paraId="697E0E41"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0.00280</w:t>
            </w:r>
          </w:p>
        </w:tc>
        <w:tc>
          <w:tcPr>
            <w:tcW w:w="1559" w:type="dxa"/>
            <w:tcBorders>
              <w:top w:val="nil"/>
              <w:left w:val="nil"/>
              <w:bottom w:val="nil"/>
              <w:right w:val="nil"/>
            </w:tcBorders>
            <w:shd w:val="clear" w:color="000000" w:fill="FFFFFF"/>
            <w:noWrap/>
            <w:vAlign w:val="bottom"/>
            <w:hideMark/>
          </w:tcPr>
          <w:p w14:paraId="23F5CBA7"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0.00291</w:t>
            </w:r>
          </w:p>
        </w:tc>
        <w:tc>
          <w:tcPr>
            <w:tcW w:w="1559" w:type="dxa"/>
            <w:tcBorders>
              <w:top w:val="nil"/>
              <w:left w:val="nil"/>
              <w:bottom w:val="nil"/>
              <w:right w:val="nil"/>
            </w:tcBorders>
            <w:shd w:val="clear" w:color="000000" w:fill="FFFFFF"/>
            <w:noWrap/>
            <w:vAlign w:val="bottom"/>
            <w:hideMark/>
          </w:tcPr>
          <w:p w14:paraId="279278B2"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-0.0334***</w:t>
            </w:r>
          </w:p>
        </w:tc>
      </w:tr>
      <w:tr w:rsidR="002640E4" w:rsidRPr="00986F85" w14:paraId="6E0FC9E8" w14:textId="77777777" w:rsidTr="002640E4">
        <w:trPr>
          <w:trHeight w:val="260"/>
        </w:trPr>
        <w:tc>
          <w:tcPr>
            <w:tcW w:w="3580" w:type="dxa"/>
            <w:tcBorders>
              <w:top w:val="nil"/>
              <w:left w:val="single" w:sz="8" w:space="0" w:color="BFBFBF"/>
              <w:bottom w:val="single" w:sz="8" w:space="0" w:color="BFBFBF"/>
              <w:right w:val="single" w:sz="8" w:space="0" w:color="BFBFBF"/>
            </w:tcBorders>
            <w:shd w:val="clear" w:color="000000" w:fill="FFFFFF"/>
            <w:vAlign w:val="center"/>
            <w:hideMark/>
          </w:tcPr>
          <w:p w14:paraId="113A8095"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 </w:t>
            </w:r>
          </w:p>
        </w:tc>
        <w:tc>
          <w:tcPr>
            <w:tcW w:w="1580" w:type="dxa"/>
            <w:tcBorders>
              <w:top w:val="nil"/>
              <w:left w:val="nil"/>
              <w:bottom w:val="nil"/>
              <w:right w:val="nil"/>
            </w:tcBorders>
            <w:shd w:val="clear" w:color="000000" w:fill="FFFFFF"/>
            <w:noWrap/>
            <w:vAlign w:val="bottom"/>
            <w:hideMark/>
          </w:tcPr>
          <w:p w14:paraId="0C63A01C"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(0.00671)</w:t>
            </w:r>
          </w:p>
        </w:tc>
        <w:tc>
          <w:tcPr>
            <w:tcW w:w="1518" w:type="dxa"/>
            <w:tcBorders>
              <w:top w:val="nil"/>
              <w:left w:val="nil"/>
              <w:bottom w:val="nil"/>
              <w:right w:val="nil"/>
            </w:tcBorders>
            <w:shd w:val="clear" w:color="000000" w:fill="FFFFFF"/>
            <w:noWrap/>
            <w:vAlign w:val="bottom"/>
            <w:hideMark/>
          </w:tcPr>
          <w:p w14:paraId="65020CB0"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(0.00744)</w:t>
            </w:r>
          </w:p>
        </w:tc>
        <w:tc>
          <w:tcPr>
            <w:tcW w:w="1559" w:type="dxa"/>
            <w:tcBorders>
              <w:top w:val="nil"/>
              <w:left w:val="nil"/>
              <w:bottom w:val="nil"/>
              <w:right w:val="nil"/>
            </w:tcBorders>
            <w:shd w:val="clear" w:color="000000" w:fill="FFFFFF"/>
            <w:noWrap/>
            <w:vAlign w:val="bottom"/>
            <w:hideMark/>
          </w:tcPr>
          <w:p w14:paraId="1AADB6D3"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(0.00745)</w:t>
            </w:r>
          </w:p>
        </w:tc>
        <w:tc>
          <w:tcPr>
            <w:tcW w:w="1559" w:type="dxa"/>
            <w:tcBorders>
              <w:top w:val="nil"/>
              <w:left w:val="nil"/>
              <w:bottom w:val="nil"/>
              <w:right w:val="nil"/>
            </w:tcBorders>
            <w:shd w:val="clear" w:color="000000" w:fill="FFFFFF"/>
            <w:noWrap/>
            <w:vAlign w:val="bottom"/>
            <w:hideMark/>
          </w:tcPr>
          <w:p w14:paraId="154B6BEF"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(0.00745)</w:t>
            </w:r>
          </w:p>
        </w:tc>
        <w:tc>
          <w:tcPr>
            <w:tcW w:w="1559" w:type="dxa"/>
            <w:tcBorders>
              <w:top w:val="nil"/>
              <w:left w:val="nil"/>
              <w:bottom w:val="nil"/>
              <w:right w:val="nil"/>
            </w:tcBorders>
            <w:shd w:val="clear" w:color="000000" w:fill="FFFFFF"/>
            <w:noWrap/>
            <w:vAlign w:val="bottom"/>
            <w:hideMark/>
          </w:tcPr>
          <w:p w14:paraId="09787AE8"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(0.00789)</w:t>
            </w:r>
          </w:p>
        </w:tc>
      </w:tr>
      <w:tr w:rsidR="002640E4" w:rsidRPr="00986F85" w14:paraId="503EC989" w14:textId="77777777" w:rsidTr="002640E4">
        <w:trPr>
          <w:trHeight w:hRule="exact" w:val="260"/>
        </w:trPr>
        <w:tc>
          <w:tcPr>
            <w:tcW w:w="3580" w:type="dxa"/>
            <w:tcBorders>
              <w:top w:val="nil"/>
              <w:left w:val="single" w:sz="8" w:space="0" w:color="BFBFBF"/>
              <w:bottom w:val="single" w:sz="8" w:space="0" w:color="BFBFBF"/>
              <w:right w:val="single" w:sz="8" w:space="0" w:color="BFBFBF"/>
            </w:tcBorders>
            <w:shd w:val="clear" w:color="000000" w:fill="FFFFFF"/>
            <w:vAlign w:val="center"/>
            <w:hideMark/>
          </w:tcPr>
          <w:p w14:paraId="6EC1A8E3"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Vállalat kora – négyzetes tag</w:t>
            </w:r>
          </w:p>
        </w:tc>
        <w:tc>
          <w:tcPr>
            <w:tcW w:w="1580" w:type="dxa"/>
            <w:tcBorders>
              <w:top w:val="nil"/>
              <w:left w:val="nil"/>
              <w:bottom w:val="nil"/>
              <w:right w:val="nil"/>
            </w:tcBorders>
            <w:shd w:val="clear" w:color="000000" w:fill="FFFFFF"/>
            <w:noWrap/>
            <w:vAlign w:val="bottom"/>
            <w:hideMark/>
          </w:tcPr>
          <w:p w14:paraId="167903FA"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0.000665**</w:t>
            </w:r>
          </w:p>
        </w:tc>
        <w:tc>
          <w:tcPr>
            <w:tcW w:w="1518" w:type="dxa"/>
            <w:tcBorders>
              <w:top w:val="nil"/>
              <w:left w:val="nil"/>
              <w:bottom w:val="nil"/>
              <w:right w:val="nil"/>
            </w:tcBorders>
            <w:shd w:val="clear" w:color="000000" w:fill="FFFFFF"/>
            <w:noWrap/>
            <w:vAlign w:val="bottom"/>
            <w:hideMark/>
          </w:tcPr>
          <w:p w14:paraId="3B9A5CDF"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-0.000488</w:t>
            </w:r>
          </w:p>
        </w:tc>
        <w:tc>
          <w:tcPr>
            <w:tcW w:w="1559" w:type="dxa"/>
            <w:tcBorders>
              <w:top w:val="nil"/>
              <w:left w:val="nil"/>
              <w:bottom w:val="nil"/>
              <w:right w:val="nil"/>
            </w:tcBorders>
            <w:shd w:val="clear" w:color="000000" w:fill="FFFFFF"/>
            <w:noWrap/>
            <w:vAlign w:val="bottom"/>
            <w:hideMark/>
          </w:tcPr>
          <w:p w14:paraId="2BE9A2B1"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-0.000427</w:t>
            </w:r>
          </w:p>
        </w:tc>
        <w:tc>
          <w:tcPr>
            <w:tcW w:w="1559" w:type="dxa"/>
            <w:tcBorders>
              <w:top w:val="nil"/>
              <w:left w:val="nil"/>
              <w:bottom w:val="nil"/>
              <w:right w:val="nil"/>
            </w:tcBorders>
            <w:shd w:val="clear" w:color="000000" w:fill="FFFFFF"/>
            <w:noWrap/>
            <w:vAlign w:val="bottom"/>
            <w:hideMark/>
          </w:tcPr>
          <w:p w14:paraId="3D13254F"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-0.000441</w:t>
            </w:r>
          </w:p>
        </w:tc>
        <w:tc>
          <w:tcPr>
            <w:tcW w:w="1559" w:type="dxa"/>
            <w:tcBorders>
              <w:top w:val="nil"/>
              <w:left w:val="nil"/>
              <w:bottom w:val="nil"/>
              <w:right w:val="nil"/>
            </w:tcBorders>
            <w:shd w:val="clear" w:color="000000" w:fill="FFFFFF"/>
            <w:noWrap/>
            <w:vAlign w:val="bottom"/>
            <w:hideMark/>
          </w:tcPr>
          <w:p w14:paraId="228B2CB4"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0.000875**</w:t>
            </w:r>
          </w:p>
        </w:tc>
      </w:tr>
      <w:tr w:rsidR="002640E4" w:rsidRPr="00986F85" w14:paraId="18E8CBD5" w14:textId="77777777" w:rsidTr="002640E4">
        <w:trPr>
          <w:trHeight w:hRule="exact" w:val="260"/>
        </w:trPr>
        <w:tc>
          <w:tcPr>
            <w:tcW w:w="3580" w:type="dxa"/>
            <w:tcBorders>
              <w:top w:val="nil"/>
              <w:left w:val="single" w:sz="8" w:space="0" w:color="BFBFBF"/>
              <w:bottom w:val="single" w:sz="8" w:space="0" w:color="BFBFBF"/>
              <w:right w:val="single" w:sz="8" w:space="0" w:color="BFBFBF"/>
            </w:tcBorders>
            <w:shd w:val="clear" w:color="000000" w:fill="FFFFFF"/>
            <w:vAlign w:val="center"/>
            <w:hideMark/>
          </w:tcPr>
          <w:p w14:paraId="13C665F0"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 </w:t>
            </w:r>
          </w:p>
        </w:tc>
        <w:tc>
          <w:tcPr>
            <w:tcW w:w="1580" w:type="dxa"/>
            <w:tcBorders>
              <w:top w:val="nil"/>
              <w:left w:val="nil"/>
              <w:bottom w:val="nil"/>
              <w:right w:val="nil"/>
            </w:tcBorders>
            <w:shd w:val="clear" w:color="000000" w:fill="FFFFFF"/>
            <w:noWrap/>
            <w:vAlign w:val="bottom"/>
            <w:hideMark/>
          </w:tcPr>
          <w:p w14:paraId="3D416182"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(0.000335)</w:t>
            </w:r>
          </w:p>
        </w:tc>
        <w:tc>
          <w:tcPr>
            <w:tcW w:w="1518" w:type="dxa"/>
            <w:tcBorders>
              <w:top w:val="nil"/>
              <w:left w:val="nil"/>
              <w:bottom w:val="nil"/>
              <w:right w:val="nil"/>
            </w:tcBorders>
            <w:shd w:val="clear" w:color="000000" w:fill="FFFFFF"/>
            <w:noWrap/>
            <w:vAlign w:val="bottom"/>
            <w:hideMark/>
          </w:tcPr>
          <w:p w14:paraId="10469058"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(0.000386)</w:t>
            </w:r>
          </w:p>
        </w:tc>
        <w:tc>
          <w:tcPr>
            <w:tcW w:w="1559" w:type="dxa"/>
            <w:tcBorders>
              <w:top w:val="nil"/>
              <w:left w:val="nil"/>
              <w:bottom w:val="nil"/>
              <w:right w:val="nil"/>
            </w:tcBorders>
            <w:shd w:val="clear" w:color="000000" w:fill="FFFFFF"/>
            <w:noWrap/>
            <w:vAlign w:val="bottom"/>
            <w:hideMark/>
          </w:tcPr>
          <w:p w14:paraId="7E1C4AD2"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(0.000387)</w:t>
            </w:r>
          </w:p>
        </w:tc>
        <w:tc>
          <w:tcPr>
            <w:tcW w:w="1559" w:type="dxa"/>
            <w:tcBorders>
              <w:top w:val="nil"/>
              <w:left w:val="nil"/>
              <w:bottom w:val="nil"/>
              <w:right w:val="nil"/>
            </w:tcBorders>
            <w:shd w:val="clear" w:color="000000" w:fill="FFFFFF"/>
            <w:noWrap/>
            <w:vAlign w:val="bottom"/>
            <w:hideMark/>
          </w:tcPr>
          <w:p w14:paraId="1E6F45BD"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(0.000387)</w:t>
            </w:r>
          </w:p>
        </w:tc>
        <w:tc>
          <w:tcPr>
            <w:tcW w:w="1559" w:type="dxa"/>
            <w:tcBorders>
              <w:top w:val="nil"/>
              <w:left w:val="nil"/>
              <w:bottom w:val="nil"/>
              <w:right w:val="nil"/>
            </w:tcBorders>
            <w:shd w:val="clear" w:color="000000" w:fill="FFFFFF"/>
            <w:noWrap/>
            <w:vAlign w:val="bottom"/>
            <w:hideMark/>
          </w:tcPr>
          <w:p w14:paraId="2DD3296B"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(0.000400)</w:t>
            </w:r>
          </w:p>
        </w:tc>
      </w:tr>
      <w:tr w:rsidR="002640E4" w:rsidRPr="00986F85" w14:paraId="5F59F00C" w14:textId="77777777" w:rsidTr="002640E4">
        <w:trPr>
          <w:trHeight w:hRule="exact" w:val="500"/>
        </w:trPr>
        <w:tc>
          <w:tcPr>
            <w:tcW w:w="3580" w:type="dxa"/>
            <w:tcBorders>
              <w:top w:val="nil"/>
              <w:left w:val="single" w:sz="8" w:space="0" w:color="BFBFBF"/>
              <w:bottom w:val="single" w:sz="8" w:space="0" w:color="BFBFBF"/>
              <w:right w:val="single" w:sz="8" w:space="0" w:color="BFBFBF"/>
            </w:tcBorders>
            <w:shd w:val="clear" w:color="000000" w:fill="FFFFFF"/>
            <w:vAlign w:val="center"/>
            <w:hideMark/>
          </w:tcPr>
          <w:p w14:paraId="35E07BAD"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Hátrányos helyzetű kistétségben található vállakozás (LHH33)</w:t>
            </w:r>
          </w:p>
        </w:tc>
        <w:tc>
          <w:tcPr>
            <w:tcW w:w="1580" w:type="dxa"/>
            <w:tcBorders>
              <w:top w:val="nil"/>
              <w:left w:val="nil"/>
              <w:bottom w:val="nil"/>
              <w:right w:val="nil"/>
            </w:tcBorders>
            <w:shd w:val="clear" w:color="000000" w:fill="FFFFFF"/>
            <w:noWrap/>
            <w:vAlign w:val="bottom"/>
            <w:hideMark/>
          </w:tcPr>
          <w:p w14:paraId="7FF578C1"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0.139***</w:t>
            </w:r>
          </w:p>
        </w:tc>
        <w:tc>
          <w:tcPr>
            <w:tcW w:w="1518" w:type="dxa"/>
            <w:tcBorders>
              <w:top w:val="nil"/>
              <w:left w:val="nil"/>
              <w:bottom w:val="nil"/>
              <w:right w:val="nil"/>
            </w:tcBorders>
            <w:shd w:val="clear" w:color="000000" w:fill="FFFFFF"/>
            <w:noWrap/>
            <w:vAlign w:val="bottom"/>
            <w:hideMark/>
          </w:tcPr>
          <w:p w14:paraId="07268D50"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0.123***</w:t>
            </w:r>
          </w:p>
        </w:tc>
        <w:tc>
          <w:tcPr>
            <w:tcW w:w="1559" w:type="dxa"/>
            <w:tcBorders>
              <w:top w:val="nil"/>
              <w:left w:val="nil"/>
              <w:bottom w:val="nil"/>
              <w:right w:val="nil"/>
            </w:tcBorders>
            <w:shd w:val="clear" w:color="000000" w:fill="FFFFFF"/>
            <w:noWrap/>
            <w:vAlign w:val="bottom"/>
            <w:hideMark/>
          </w:tcPr>
          <w:p w14:paraId="6D07D9A7"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0.124***</w:t>
            </w:r>
          </w:p>
        </w:tc>
        <w:tc>
          <w:tcPr>
            <w:tcW w:w="1559" w:type="dxa"/>
            <w:tcBorders>
              <w:top w:val="nil"/>
              <w:left w:val="nil"/>
              <w:bottom w:val="nil"/>
              <w:right w:val="nil"/>
            </w:tcBorders>
            <w:shd w:val="clear" w:color="000000" w:fill="FFFFFF"/>
            <w:noWrap/>
            <w:vAlign w:val="bottom"/>
            <w:hideMark/>
          </w:tcPr>
          <w:p w14:paraId="6135C038"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0.124***</w:t>
            </w:r>
          </w:p>
        </w:tc>
        <w:tc>
          <w:tcPr>
            <w:tcW w:w="1559" w:type="dxa"/>
            <w:tcBorders>
              <w:top w:val="nil"/>
              <w:left w:val="nil"/>
              <w:bottom w:val="nil"/>
              <w:right w:val="nil"/>
            </w:tcBorders>
            <w:shd w:val="clear" w:color="000000" w:fill="FFFFFF"/>
            <w:noWrap/>
            <w:vAlign w:val="bottom"/>
            <w:hideMark/>
          </w:tcPr>
          <w:p w14:paraId="661C1B8D"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0.117**</w:t>
            </w:r>
          </w:p>
        </w:tc>
      </w:tr>
      <w:tr w:rsidR="002640E4" w:rsidRPr="00986F85" w14:paraId="250078F0" w14:textId="77777777" w:rsidTr="002640E4">
        <w:trPr>
          <w:trHeight w:val="260"/>
        </w:trPr>
        <w:tc>
          <w:tcPr>
            <w:tcW w:w="3580" w:type="dxa"/>
            <w:tcBorders>
              <w:top w:val="nil"/>
              <w:left w:val="single" w:sz="8" w:space="0" w:color="BFBFBF"/>
              <w:bottom w:val="single" w:sz="8" w:space="0" w:color="BFBFBF"/>
              <w:right w:val="single" w:sz="8" w:space="0" w:color="BFBFBF"/>
            </w:tcBorders>
            <w:shd w:val="clear" w:color="000000" w:fill="FFFFFF"/>
            <w:vAlign w:val="center"/>
            <w:hideMark/>
          </w:tcPr>
          <w:p w14:paraId="185AF7EB"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lastRenderedPageBreak/>
              <w:t> </w:t>
            </w:r>
          </w:p>
        </w:tc>
        <w:tc>
          <w:tcPr>
            <w:tcW w:w="1580" w:type="dxa"/>
            <w:tcBorders>
              <w:top w:val="nil"/>
              <w:left w:val="nil"/>
              <w:bottom w:val="nil"/>
              <w:right w:val="nil"/>
            </w:tcBorders>
            <w:shd w:val="clear" w:color="000000" w:fill="FFFFFF"/>
            <w:noWrap/>
            <w:vAlign w:val="bottom"/>
            <w:hideMark/>
          </w:tcPr>
          <w:p w14:paraId="74E5BA00"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(0.0434)</w:t>
            </w:r>
          </w:p>
        </w:tc>
        <w:tc>
          <w:tcPr>
            <w:tcW w:w="1518" w:type="dxa"/>
            <w:tcBorders>
              <w:top w:val="nil"/>
              <w:left w:val="nil"/>
              <w:bottom w:val="nil"/>
              <w:right w:val="nil"/>
            </w:tcBorders>
            <w:shd w:val="clear" w:color="000000" w:fill="FFFFFF"/>
            <w:noWrap/>
            <w:vAlign w:val="bottom"/>
            <w:hideMark/>
          </w:tcPr>
          <w:p w14:paraId="2C1D84B7"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(0.0449)</w:t>
            </w:r>
          </w:p>
        </w:tc>
        <w:tc>
          <w:tcPr>
            <w:tcW w:w="1559" w:type="dxa"/>
            <w:tcBorders>
              <w:top w:val="nil"/>
              <w:left w:val="nil"/>
              <w:bottom w:val="nil"/>
              <w:right w:val="nil"/>
            </w:tcBorders>
            <w:shd w:val="clear" w:color="000000" w:fill="FFFFFF"/>
            <w:noWrap/>
            <w:vAlign w:val="bottom"/>
            <w:hideMark/>
          </w:tcPr>
          <w:p w14:paraId="03793DEC"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(0.0449)</w:t>
            </w:r>
          </w:p>
        </w:tc>
        <w:tc>
          <w:tcPr>
            <w:tcW w:w="1559" w:type="dxa"/>
            <w:tcBorders>
              <w:top w:val="nil"/>
              <w:left w:val="nil"/>
              <w:bottom w:val="nil"/>
              <w:right w:val="nil"/>
            </w:tcBorders>
            <w:shd w:val="clear" w:color="000000" w:fill="FFFFFF"/>
            <w:noWrap/>
            <w:vAlign w:val="bottom"/>
            <w:hideMark/>
          </w:tcPr>
          <w:p w14:paraId="5D492740"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(0.0449)</w:t>
            </w:r>
          </w:p>
        </w:tc>
        <w:tc>
          <w:tcPr>
            <w:tcW w:w="1559" w:type="dxa"/>
            <w:tcBorders>
              <w:top w:val="nil"/>
              <w:left w:val="nil"/>
              <w:bottom w:val="nil"/>
              <w:right w:val="nil"/>
            </w:tcBorders>
            <w:shd w:val="clear" w:color="000000" w:fill="FFFFFF"/>
            <w:noWrap/>
            <w:vAlign w:val="bottom"/>
            <w:hideMark/>
          </w:tcPr>
          <w:p w14:paraId="5A73BC02"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(0.0468)</w:t>
            </w:r>
          </w:p>
        </w:tc>
      </w:tr>
      <w:tr w:rsidR="002640E4" w:rsidRPr="00986F85" w14:paraId="7408BCC3" w14:textId="77777777" w:rsidTr="002640E4">
        <w:trPr>
          <w:trHeight w:hRule="exact" w:val="260"/>
        </w:trPr>
        <w:tc>
          <w:tcPr>
            <w:tcW w:w="3580" w:type="dxa"/>
            <w:tcBorders>
              <w:top w:val="nil"/>
              <w:left w:val="single" w:sz="8" w:space="0" w:color="BFBFBF"/>
              <w:bottom w:val="single" w:sz="8" w:space="0" w:color="BFBFBF"/>
              <w:right w:val="single" w:sz="8" w:space="0" w:color="BFBFBF"/>
            </w:tcBorders>
            <w:shd w:val="clear" w:color="000000" w:fill="FFFFFF"/>
            <w:vAlign w:val="center"/>
            <w:hideMark/>
          </w:tcPr>
          <w:p w14:paraId="1E2C4B5B"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 xml:space="preserve">Vállalatsűrűség </w:t>
            </w:r>
          </w:p>
        </w:tc>
        <w:tc>
          <w:tcPr>
            <w:tcW w:w="1580" w:type="dxa"/>
            <w:tcBorders>
              <w:top w:val="nil"/>
              <w:left w:val="nil"/>
              <w:bottom w:val="nil"/>
              <w:right w:val="nil"/>
            </w:tcBorders>
            <w:shd w:val="clear" w:color="000000" w:fill="FFFFFF"/>
            <w:noWrap/>
            <w:vAlign w:val="bottom"/>
            <w:hideMark/>
          </w:tcPr>
          <w:p w14:paraId="2453B66E"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-0.0867</w:t>
            </w:r>
          </w:p>
        </w:tc>
        <w:tc>
          <w:tcPr>
            <w:tcW w:w="1518" w:type="dxa"/>
            <w:tcBorders>
              <w:top w:val="nil"/>
              <w:left w:val="nil"/>
              <w:bottom w:val="nil"/>
              <w:right w:val="nil"/>
            </w:tcBorders>
            <w:shd w:val="clear" w:color="000000" w:fill="FFFFFF"/>
            <w:noWrap/>
            <w:vAlign w:val="bottom"/>
            <w:hideMark/>
          </w:tcPr>
          <w:p w14:paraId="3A8A61AB"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0.125</w:t>
            </w:r>
          </w:p>
        </w:tc>
        <w:tc>
          <w:tcPr>
            <w:tcW w:w="1559" w:type="dxa"/>
            <w:tcBorders>
              <w:top w:val="nil"/>
              <w:left w:val="nil"/>
              <w:bottom w:val="nil"/>
              <w:right w:val="nil"/>
            </w:tcBorders>
            <w:shd w:val="clear" w:color="000000" w:fill="FFFFFF"/>
            <w:noWrap/>
            <w:vAlign w:val="bottom"/>
            <w:hideMark/>
          </w:tcPr>
          <w:p w14:paraId="69D1B070"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0.113</w:t>
            </w:r>
          </w:p>
        </w:tc>
        <w:tc>
          <w:tcPr>
            <w:tcW w:w="1559" w:type="dxa"/>
            <w:tcBorders>
              <w:top w:val="nil"/>
              <w:left w:val="nil"/>
              <w:bottom w:val="nil"/>
              <w:right w:val="nil"/>
            </w:tcBorders>
            <w:shd w:val="clear" w:color="000000" w:fill="FFFFFF"/>
            <w:noWrap/>
            <w:vAlign w:val="bottom"/>
            <w:hideMark/>
          </w:tcPr>
          <w:p w14:paraId="2C6AB84B"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0.110</w:t>
            </w:r>
          </w:p>
        </w:tc>
        <w:tc>
          <w:tcPr>
            <w:tcW w:w="1559" w:type="dxa"/>
            <w:tcBorders>
              <w:top w:val="nil"/>
              <w:left w:val="nil"/>
              <w:bottom w:val="nil"/>
              <w:right w:val="nil"/>
            </w:tcBorders>
            <w:shd w:val="clear" w:color="000000" w:fill="FFFFFF"/>
            <w:noWrap/>
            <w:vAlign w:val="bottom"/>
            <w:hideMark/>
          </w:tcPr>
          <w:p w14:paraId="152CD58A"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0.0551</w:t>
            </w:r>
          </w:p>
        </w:tc>
      </w:tr>
      <w:tr w:rsidR="002640E4" w:rsidRPr="00986F85" w14:paraId="7DEF9832" w14:textId="77777777" w:rsidTr="002640E4">
        <w:trPr>
          <w:trHeight w:hRule="exact" w:val="260"/>
        </w:trPr>
        <w:tc>
          <w:tcPr>
            <w:tcW w:w="3580" w:type="dxa"/>
            <w:tcBorders>
              <w:top w:val="nil"/>
              <w:left w:val="single" w:sz="8" w:space="0" w:color="BFBFBF"/>
              <w:bottom w:val="single" w:sz="8" w:space="0" w:color="BFBFBF"/>
              <w:right w:val="single" w:sz="8" w:space="0" w:color="BFBFBF"/>
            </w:tcBorders>
            <w:shd w:val="clear" w:color="000000" w:fill="FFFFFF"/>
            <w:vAlign w:val="center"/>
            <w:hideMark/>
          </w:tcPr>
          <w:p w14:paraId="0E3E766F"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 </w:t>
            </w:r>
          </w:p>
        </w:tc>
        <w:tc>
          <w:tcPr>
            <w:tcW w:w="1580" w:type="dxa"/>
            <w:tcBorders>
              <w:top w:val="nil"/>
              <w:left w:val="nil"/>
              <w:bottom w:val="nil"/>
              <w:right w:val="nil"/>
            </w:tcBorders>
            <w:shd w:val="clear" w:color="000000" w:fill="FFFFFF"/>
            <w:noWrap/>
            <w:vAlign w:val="bottom"/>
            <w:hideMark/>
          </w:tcPr>
          <w:p w14:paraId="0D5241E4"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(0.315)</w:t>
            </w:r>
          </w:p>
        </w:tc>
        <w:tc>
          <w:tcPr>
            <w:tcW w:w="1518" w:type="dxa"/>
            <w:tcBorders>
              <w:top w:val="nil"/>
              <w:left w:val="nil"/>
              <w:bottom w:val="nil"/>
              <w:right w:val="nil"/>
            </w:tcBorders>
            <w:shd w:val="clear" w:color="000000" w:fill="FFFFFF"/>
            <w:noWrap/>
            <w:vAlign w:val="bottom"/>
            <w:hideMark/>
          </w:tcPr>
          <w:p w14:paraId="27B678D5"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(0.330)</w:t>
            </w:r>
          </w:p>
        </w:tc>
        <w:tc>
          <w:tcPr>
            <w:tcW w:w="1559" w:type="dxa"/>
            <w:tcBorders>
              <w:top w:val="nil"/>
              <w:left w:val="nil"/>
              <w:bottom w:val="nil"/>
              <w:right w:val="nil"/>
            </w:tcBorders>
            <w:shd w:val="clear" w:color="000000" w:fill="FFFFFF"/>
            <w:noWrap/>
            <w:vAlign w:val="bottom"/>
            <w:hideMark/>
          </w:tcPr>
          <w:p w14:paraId="1E465547"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(0.330)</w:t>
            </w:r>
          </w:p>
        </w:tc>
        <w:tc>
          <w:tcPr>
            <w:tcW w:w="1559" w:type="dxa"/>
            <w:tcBorders>
              <w:top w:val="nil"/>
              <w:left w:val="nil"/>
              <w:bottom w:val="nil"/>
              <w:right w:val="nil"/>
            </w:tcBorders>
            <w:shd w:val="clear" w:color="000000" w:fill="FFFFFF"/>
            <w:noWrap/>
            <w:vAlign w:val="bottom"/>
            <w:hideMark/>
          </w:tcPr>
          <w:p w14:paraId="0B424CBA"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(0.330)</w:t>
            </w:r>
          </w:p>
        </w:tc>
        <w:tc>
          <w:tcPr>
            <w:tcW w:w="1559" w:type="dxa"/>
            <w:tcBorders>
              <w:top w:val="nil"/>
              <w:left w:val="nil"/>
              <w:bottom w:val="nil"/>
              <w:right w:val="nil"/>
            </w:tcBorders>
            <w:shd w:val="clear" w:color="000000" w:fill="FFFFFF"/>
            <w:noWrap/>
            <w:vAlign w:val="bottom"/>
            <w:hideMark/>
          </w:tcPr>
          <w:p w14:paraId="09863D70"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(0.347)</w:t>
            </w:r>
          </w:p>
        </w:tc>
      </w:tr>
      <w:tr w:rsidR="002640E4" w:rsidRPr="00986F85" w14:paraId="0702CE4E" w14:textId="77777777" w:rsidTr="002640E4">
        <w:trPr>
          <w:trHeight w:hRule="exact" w:val="260"/>
        </w:trPr>
        <w:tc>
          <w:tcPr>
            <w:tcW w:w="3580" w:type="dxa"/>
            <w:tcBorders>
              <w:top w:val="nil"/>
              <w:left w:val="nil"/>
              <w:bottom w:val="nil"/>
              <w:right w:val="nil"/>
            </w:tcBorders>
            <w:shd w:val="clear" w:color="auto" w:fill="auto"/>
            <w:noWrap/>
            <w:vAlign w:val="bottom"/>
            <w:hideMark/>
          </w:tcPr>
          <w:p w14:paraId="6BAEC44D"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 xml:space="preserve">Jegyzett tőke </w:t>
            </w:r>
          </w:p>
        </w:tc>
        <w:tc>
          <w:tcPr>
            <w:tcW w:w="1580" w:type="dxa"/>
            <w:tcBorders>
              <w:top w:val="nil"/>
              <w:left w:val="nil"/>
              <w:bottom w:val="nil"/>
              <w:right w:val="nil"/>
            </w:tcBorders>
            <w:shd w:val="clear" w:color="000000" w:fill="FFFFFF"/>
            <w:noWrap/>
            <w:vAlign w:val="bottom"/>
            <w:hideMark/>
          </w:tcPr>
          <w:p w14:paraId="2AADADD8"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18" w:type="dxa"/>
            <w:tcBorders>
              <w:top w:val="nil"/>
              <w:left w:val="nil"/>
              <w:bottom w:val="nil"/>
              <w:right w:val="nil"/>
            </w:tcBorders>
            <w:shd w:val="clear" w:color="000000" w:fill="FFFFFF"/>
            <w:noWrap/>
            <w:vAlign w:val="bottom"/>
            <w:hideMark/>
          </w:tcPr>
          <w:p w14:paraId="63F2F249"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-9.14e-07***</w:t>
            </w:r>
          </w:p>
        </w:tc>
        <w:tc>
          <w:tcPr>
            <w:tcW w:w="1559" w:type="dxa"/>
            <w:tcBorders>
              <w:top w:val="nil"/>
              <w:left w:val="nil"/>
              <w:bottom w:val="nil"/>
              <w:right w:val="nil"/>
            </w:tcBorders>
            <w:shd w:val="clear" w:color="000000" w:fill="FFFFFF"/>
            <w:noWrap/>
            <w:vAlign w:val="bottom"/>
            <w:hideMark/>
          </w:tcPr>
          <w:p w14:paraId="7A45CAE9"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-1.03e-06***</w:t>
            </w:r>
          </w:p>
        </w:tc>
        <w:tc>
          <w:tcPr>
            <w:tcW w:w="1559" w:type="dxa"/>
            <w:tcBorders>
              <w:top w:val="nil"/>
              <w:left w:val="nil"/>
              <w:bottom w:val="nil"/>
              <w:right w:val="nil"/>
            </w:tcBorders>
            <w:shd w:val="clear" w:color="000000" w:fill="FFFFFF"/>
            <w:noWrap/>
            <w:vAlign w:val="bottom"/>
            <w:hideMark/>
          </w:tcPr>
          <w:p w14:paraId="6286382A"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-9.90e-07***</w:t>
            </w:r>
          </w:p>
        </w:tc>
        <w:tc>
          <w:tcPr>
            <w:tcW w:w="1559" w:type="dxa"/>
            <w:tcBorders>
              <w:top w:val="nil"/>
              <w:left w:val="nil"/>
              <w:bottom w:val="nil"/>
              <w:right w:val="nil"/>
            </w:tcBorders>
            <w:shd w:val="clear" w:color="000000" w:fill="FFFFFF"/>
            <w:noWrap/>
            <w:vAlign w:val="bottom"/>
            <w:hideMark/>
          </w:tcPr>
          <w:p w14:paraId="52259646"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 </w:t>
            </w:r>
          </w:p>
        </w:tc>
      </w:tr>
      <w:tr w:rsidR="002640E4" w:rsidRPr="00986F85" w14:paraId="3981F16E" w14:textId="77777777" w:rsidTr="002640E4">
        <w:trPr>
          <w:trHeight w:val="260"/>
        </w:trPr>
        <w:tc>
          <w:tcPr>
            <w:tcW w:w="3580" w:type="dxa"/>
            <w:tcBorders>
              <w:top w:val="nil"/>
              <w:left w:val="nil"/>
              <w:bottom w:val="nil"/>
              <w:right w:val="nil"/>
            </w:tcBorders>
            <w:shd w:val="clear" w:color="auto" w:fill="auto"/>
            <w:noWrap/>
            <w:vAlign w:val="bottom"/>
            <w:hideMark/>
          </w:tcPr>
          <w:p w14:paraId="11B135C5" w14:textId="77777777" w:rsidR="002640E4" w:rsidRPr="00986F85" w:rsidRDefault="002640E4" w:rsidP="002640E4">
            <w:pPr>
              <w:suppressAutoHyphens w:val="0"/>
              <w:spacing w:after="0" w:line="240" w:lineRule="auto"/>
              <w:rPr>
                <w:rFonts w:eastAsia="Times New Roman" w:cs="Arial"/>
                <w:sz w:val="20"/>
                <w:szCs w:val="20"/>
                <w:lang w:val="en-US" w:eastAsia="en-US"/>
              </w:rPr>
            </w:pPr>
          </w:p>
        </w:tc>
        <w:tc>
          <w:tcPr>
            <w:tcW w:w="1580" w:type="dxa"/>
            <w:tcBorders>
              <w:top w:val="nil"/>
              <w:left w:val="nil"/>
              <w:bottom w:val="nil"/>
              <w:right w:val="nil"/>
            </w:tcBorders>
            <w:shd w:val="clear" w:color="000000" w:fill="FFFFFF"/>
            <w:noWrap/>
            <w:vAlign w:val="bottom"/>
            <w:hideMark/>
          </w:tcPr>
          <w:p w14:paraId="56687938"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18" w:type="dxa"/>
            <w:tcBorders>
              <w:top w:val="nil"/>
              <w:left w:val="nil"/>
              <w:bottom w:val="nil"/>
              <w:right w:val="nil"/>
            </w:tcBorders>
            <w:shd w:val="clear" w:color="000000" w:fill="FFFFFF"/>
            <w:noWrap/>
            <w:vAlign w:val="bottom"/>
            <w:hideMark/>
          </w:tcPr>
          <w:p w14:paraId="00FF2B18"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(1.78e-07)</w:t>
            </w:r>
          </w:p>
        </w:tc>
        <w:tc>
          <w:tcPr>
            <w:tcW w:w="1559" w:type="dxa"/>
            <w:tcBorders>
              <w:top w:val="nil"/>
              <w:left w:val="nil"/>
              <w:bottom w:val="nil"/>
              <w:right w:val="nil"/>
            </w:tcBorders>
            <w:shd w:val="clear" w:color="000000" w:fill="FFFFFF"/>
            <w:noWrap/>
            <w:vAlign w:val="bottom"/>
            <w:hideMark/>
          </w:tcPr>
          <w:p w14:paraId="5824F1B6"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(1.84e-07)</w:t>
            </w:r>
          </w:p>
        </w:tc>
        <w:tc>
          <w:tcPr>
            <w:tcW w:w="1559" w:type="dxa"/>
            <w:tcBorders>
              <w:top w:val="nil"/>
              <w:left w:val="nil"/>
              <w:bottom w:val="nil"/>
              <w:right w:val="nil"/>
            </w:tcBorders>
            <w:shd w:val="clear" w:color="000000" w:fill="FFFFFF"/>
            <w:noWrap/>
            <w:vAlign w:val="bottom"/>
            <w:hideMark/>
          </w:tcPr>
          <w:p w14:paraId="1C59C397"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(1.81e-07)</w:t>
            </w:r>
          </w:p>
        </w:tc>
        <w:tc>
          <w:tcPr>
            <w:tcW w:w="1559" w:type="dxa"/>
            <w:tcBorders>
              <w:top w:val="nil"/>
              <w:left w:val="nil"/>
              <w:bottom w:val="nil"/>
              <w:right w:val="nil"/>
            </w:tcBorders>
            <w:shd w:val="clear" w:color="000000" w:fill="FFFFFF"/>
            <w:noWrap/>
            <w:vAlign w:val="bottom"/>
            <w:hideMark/>
          </w:tcPr>
          <w:p w14:paraId="3AB12916"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 </w:t>
            </w:r>
          </w:p>
        </w:tc>
      </w:tr>
      <w:tr w:rsidR="002640E4" w:rsidRPr="00986F85" w14:paraId="54B0CEF2" w14:textId="77777777" w:rsidTr="002640E4">
        <w:trPr>
          <w:trHeight w:val="260"/>
        </w:trPr>
        <w:tc>
          <w:tcPr>
            <w:tcW w:w="3580" w:type="dxa"/>
            <w:tcBorders>
              <w:top w:val="nil"/>
              <w:left w:val="nil"/>
              <w:bottom w:val="nil"/>
              <w:right w:val="nil"/>
            </w:tcBorders>
            <w:shd w:val="clear" w:color="auto" w:fill="auto"/>
            <w:noWrap/>
            <w:vAlign w:val="bottom"/>
            <w:hideMark/>
          </w:tcPr>
          <w:p w14:paraId="4917EAE4"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Foglalkoztatotti létszám</w:t>
            </w:r>
          </w:p>
        </w:tc>
        <w:tc>
          <w:tcPr>
            <w:tcW w:w="1580" w:type="dxa"/>
            <w:tcBorders>
              <w:top w:val="nil"/>
              <w:left w:val="nil"/>
              <w:bottom w:val="nil"/>
              <w:right w:val="nil"/>
            </w:tcBorders>
            <w:shd w:val="clear" w:color="000000" w:fill="FFFFFF"/>
            <w:noWrap/>
            <w:vAlign w:val="bottom"/>
            <w:hideMark/>
          </w:tcPr>
          <w:p w14:paraId="359B162E"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18" w:type="dxa"/>
            <w:tcBorders>
              <w:top w:val="nil"/>
              <w:left w:val="nil"/>
              <w:bottom w:val="nil"/>
              <w:right w:val="nil"/>
            </w:tcBorders>
            <w:shd w:val="clear" w:color="000000" w:fill="FFFFFF"/>
            <w:noWrap/>
            <w:vAlign w:val="bottom"/>
            <w:hideMark/>
          </w:tcPr>
          <w:p w14:paraId="19AEA506"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0.0219***</w:t>
            </w:r>
          </w:p>
        </w:tc>
        <w:tc>
          <w:tcPr>
            <w:tcW w:w="1559" w:type="dxa"/>
            <w:tcBorders>
              <w:top w:val="nil"/>
              <w:left w:val="nil"/>
              <w:bottom w:val="nil"/>
              <w:right w:val="nil"/>
            </w:tcBorders>
            <w:shd w:val="clear" w:color="000000" w:fill="FFFFFF"/>
            <w:noWrap/>
            <w:vAlign w:val="bottom"/>
            <w:hideMark/>
          </w:tcPr>
          <w:p w14:paraId="5BFDA780"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0.0214***</w:t>
            </w:r>
          </w:p>
        </w:tc>
        <w:tc>
          <w:tcPr>
            <w:tcW w:w="1559" w:type="dxa"/>
            <w:tcBorders>
              <w:top w:val="nil"/>
              <w:left w:val="nil"/>
              <w:bottom w:val="nil"/>
              <w:right w:val="nil"/>
            </w:tcBorders>
            <w:shd w:val="clear" w:color="000000" w:fill="FFFFFF"/>
            <w:noWrap/>
            <w:vAlign w:val="bottom"/>
            <w:hideMark/>
          </w:tcPr>
          <w:p w14:paraId="2D0FCEEA"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0.0215***</w:t>
            </w:r>
          </w:p>
        </w:tc>
        <w:tc>
          <w:tcPr>
            <w:tcW w:w="1559" w:type="dxa"/>
            <w:tcBorders>
              <w:top w:val="nil"/>
              <w:left w:val="nil"/>
              <w:bottom w:val="nil"/>
              <w:right w:val="nil"/>
            </w:tcBorders>
            <w:shd w:val="clear" w:color="000000" w:fill="FFFFFF"/>
            <w:noWrap/>
            <w:vAlign w:val="bottom"/>
            <w:hideMark/>
          </w:tcPr>
          <w:p w14:paraId="5281B2AF"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-0.00254</w:t>
            </w:r>
          </w:p>
        </w:tc>
      </w:tr>
      <w:tr w:rsidR="002640E4" w:rsidRPr="00986F85" w14:paraId="416E8B64" w14:textId="77777777" w:rsidTr="002640E4">
        <w:trPr>
          <w:trHeight w:val="260"/>
        </w:trPr>
        <w:tc>
          <w:tcPr>
            <w:tcW w:w="3580" w:type="dxa"/>
            <w:tcBorders>
              <w:top w:val="nil"/>
              <w:left w:val="nil"/>
              <w:bottom w:val="nil"/>
              <w:right w:val="nil"/>
            </w:tcBorders>
            <w:shd w:val="clear" w:color="auto" w:fill="auto"/>
            <w:noWrap/>
            <w:vAlign w:val="bottom"/>
            <w:hideMark/>
          </w:tcPr>
          <w:p w14:paraId="1DFFFEEB" w14:textId="77777777" w:rsidR="002640E4" w:rsidRPr="00986F85" w:rsidRDefault="002640E4" w:rsidP="002640E4">
            <w:pPr>
              <w:suppressAutoHyphens w:val="0"/>
              <w:spacing w:after="0" w:line="240" w:lineRule="auto"/>
              <w:rPr>
                <w:rFonts w:eastAsia="Times New Roman" w:cs="Arial"/>
                <w:sz w:val="20"/>
                <w:szCs w:val="20"/>
                <w:lang w:val="en-US" w:eastAsia="en-US"/>
              </w:rPr>
            </w:pPr>
          </w:p>
        </w:tc>
        <w:tc>
          <w:tcPr>
            <w:tcW w:w="1580" w:type="dxa"/>
            <w:tcBorders>
              <w:top w:val="nil"/>
              <w:left w:val="nil"/>
              <w:bottom w:val="nil"/>
              <w:right w:val="nil"/>
            </w:tcBorders>
            <w:shd w:val="clear" w:color="000000" w:fill="FFFFFF"/>
            <w:noWrap/>
            <w:vAlign w:val="bottom"/>
            <w:hideMark/>
          </w:tcPr>
          <w:p w14:paraId="00E35185"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18" w:type="dxa"/>
            <w:tcBorders>
              <w:top w:val="nil"/>
              <w:left w:val="nil"/>
              <w:bottom w:val="nil"/>
              <w:right w:val="nil"/>
            </w:tcBorders>
            <w:shd w:val="clear" w:color="000000" w:fill="FFFFFF"/>
            <w:noWrap/>
            <w:vAlign w:val="bottom"/>
            <w:hideMark/>
          </w:tcPr>
          <w:p w14:paraId="2BBB0E1F"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(0.00118)</w:t>
            </w:r>
          </w:p>
        </w:tc>
        <w:tc>
          <w:tcPr>
            <w:tcW w:w="1559" w:type="dxa"/>
            <w:tcBorders>
              <w:top w:val="nil"/>
              <w:left w:val="nil"/>
              <w:bottom w:val="nil"/>
              <w:right w:val="nil"/>
            </w:tcBorders>
            <w:shd w:val="clear" w:color="000000" w:fill="FFFFFF"/>
            <w:noWrap/>
            <w:vAlign w:val="bottom"/>
            <w:hideMark/>
          </w:tcPr>
          <w:p w14:paraId="42197495"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(0.00120)</w:t>
            </w:r>
          </w:p>
        </w:tc>
        <w:tc>
          <w:tcPr>
            <w:tcW w:w="1559" w:type="dxa"/>
            <w:tcBorders>
              <w:top w:val="nil"/>
              <w:left w:val="nil"/>
              <w:bottom w:val="nil"/>
              <w:right w:val="nil"/>
            </w:tcBorders>
            <w:shd w:val="clear" w:color="000000" w:fill="FFFFFF"/>
            <w:noWrap/>
            <w:vAlign w:val="bottom"/>
            <w:hideMark/>
          </w:tcPr>
          <w:p w14:paraId="659A5BBE"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(0.00120)</w:t>
            </w:r>
          </w:p>
        </w:tc>
        <w:tc>
          <w:tcPr>
            <w:tcW w:w="1559" w:type="dxa"/>
            <w:tcBorders>
              <w:top w:val="nil"/>
              <w:left w:val="nil"/>
              <w:bottom w:val="nil"/>
              <w:right w:val="nil"/>
            </w:tcBorders>
            <w:shd w:val="clear" w:color="000000" w:fill="FFFFFF"/>
            <w:noWrap/>
            <w:vAlign w:val="bottom"/>
            <w:hideMark/>
          </w:tcPr>
          <w:p w14:paraId="6DBE87D9"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(0.00205)</w:t>
            </w:r>
          </w:p>
        </w:tc>
      </w:tr>
      <w:tr w:rsidR="002640E4" w:rsidRPr="00986F85" w14:paraId="193DA412" w14:textId="77777777" w:rsidTr="002640E4">
        <w:trPr>
          <w:trHeight w:val="260"/>
        </w:trPr>
        <w:tc>
          <w:tcPr>
            <w:tcW w:w="3580" w:type="dxa"/>
            <w:tcBorders>
              <w:top w:val="nil"/>
              <w:left w:val="nil"/>
              <w:bottom w:val="nil"/>
              <w:right w:val="nil"/>
            </w:tcBorders>
            <w:shd w:val="clear" w:color="auto" w:fill="auto"/>
            <w:noWrap/>
            <w:vAlign w:val="bottom"/>
            <w:hideMark/>
          </w:tcPr>
          <w:p w14:paraId="48E64309"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Foglalkoztatotti létszám – négyzetes tag</w:t>
            </w:r>
          </w:p>
        </w:tc>
        <w:tc>
          <w:tcPr>
            <w:tcW w:w="1580" w:type="dxa"/>
            <w:tcBorders>
              <w:top w:val="nil"/>
              <w:left w:val="nil"/>
              <w:bottom w:val="nil"/>
              <w:right w:val="nil"/>
            </w:tcBorders>
            <w:shd w:val="clear" w:color="000000" w:fill="FFFFFF"/>
            <w:noWrap/>
            <w:vAlign w:val="bottom"/>
            <w:hideMark/>
          </w:tcPr>
          <w:p w14:paraId="44A68397"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18" w:type="dxa"/>
            <w:tcBorders>
              <w:top w:val="nil"/>
              <w:left w:val="nil"/>
              <w:bottom w:val="nil"/>
              <w:right w:val="nil"/>
            </w:tcBorders>
            <w:shd w:val="clear" w:color="000000" w:fill="FFFFFF"/>
            <w:noWrap/>
            <w:vAlign w:val="bottom"/>
            <w:hideMark/>
          </w:tcPr>
          <w:p w14:paraId="43131118"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-4.47e-05***</w:t>
            </w:r>
          </w:p>
        </w:tc>
        <w:tc>
          <w:tcPr>
            <w:tcW w:w="1559" w:type="dxa"/>
            <w:tcBorders>
              <w:top w:val="nil"/>
              <w:left w:val="nil"/>
              <w:bottom w:val="nil"/>
              <w:right w:val="nil"/>
            </w:tcBorders>
            <w:shd w:val="clear" w:color="000000" w:fill="FFFFFF"/>
            <w:noWrap/>
            <w:vAlign w:val="bottom"/>
            <w:hideMark/>
          </w:tcPr>
          <w:p w14:paraId="4D83AC5F"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-4.33e-05***</w:t>
            </w:r>
          </w:p>
        </w:tc>
        <w:tc>
          <w:tcPr>
            <w:tcW w:w="1559" w:type="dxa"/>
            <w:tcBorders>
              <w:top w:val="nil"/>
              <w:left w:val="nil"/>
              <w:bottom w:val="nil"/>
              <w:right w:val="nil"/>
            </w:tcBorders>
            <w:shd w:val="clear" w:color="000000" w:fill="FFFFFF"/>
            <w:noWrap/>
            <w:vAlign w:val="bottom"/>
            <w:hideMark/>
          </w:tcPr>
          <w:p w14:paraId="4F788C81"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-4.31e-05***</w:t>
            </w:r>
          </w:p>
        </w:tc>
        <w:tc>
          <w:tcPr>
            <w:tcW w:w="1559" w:type="dxa"/>
            <w:tcBorders>
              <w:top w:val="nil"/>
              <w:left w:val="nil"/>
              <w:bottom w:val="nil"/>
              <w:right w:val="nil"/>
            </w:tcBorders>
            <w:shd w:val="clear" w:color="000000" w:fill="FFFFFF"/>
            <w:noWrap/>
            <w:vAlign w:val="bottom"/>
            <w:hideMark/>
          </w:tcPr>
          <w:p w14:paraId="5EB32274"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7.49e-05***</w:t>
            </w:r>
          </w:p>
        </w:tc>
      </w:tr>
      <w:tr w:rsidR="002640E4" w:rsidRPr="00986F85" w14:paraId="43E9C4E8" w14:textId="77777777" w:rsidTr="002640E4">
        <w:trPr>
          <w:trHeight w:val="280"/>
        </w:trPr>
        <w:tc>
          <w:tcPr>
            <w:tcW w:w="3580" w:type="dxa"/>
            <w:tcBorders>
              <w:top w:val="nil"/>
              <w:left w:val="nil"/>
              <w:bottom w:val="nil"/>
              <w:right w:val="nil"/>
            </w:tcBorders>
            <w:shd w:val="clear" w:color="auto" w:fill="auto"/>
            <w:noWrap/>
            <w:vAlign w:val="bottom"/>
            <w:hideMark/>
          </w:tcPr>
          <w:p w14:paraId="6CCBF78A" w14:textId="77777777" w:rsidR="002640E4" w:rsidRPr="00986F85" w:rsidRDefault="002640E4" w:rsidP="002640E4">
            <w:pPr>
              <w:suppressAutoHyphens w:val="0"/>
              <w:spacing w:after="0" w:line="240" w:lineRule="auto"/>
              <w:rPr>
                <w:rFonts w:eastAsia="Times New Roman" w:cs="Arial"/>
                <w:sz w:val="20"/>
                <w:szCs w:val="20"/>
                <w:lang w:val="en-US" w:eastAsia="en-US"/>
              </w:rPr>
            </w:pPr>
          </w:p>
        </w:tc>
        <w:tc>
          <w:tcPr>
            <w:tcW w:w="1580" w:type="dxa"/>
            <w:tcBorders>
              <w:top w:val="nil"/>
              <w:left w:val="nil"/>
              <w:bottom w:val="nil"/>
              <w:right w:val="nil"/>
            </w:tcBorders>
            <w:shd w:val="clear" w:color="000000" w:fill="FFFFFF"/>
            <w:noWrap/>
            <w:vAlign w:val="bottom"/>
            <w:hideMark/>
          </w:tcPr>
          <w:p w14:paraId="67E46164"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18" w:type="dxa"/>
            <w:tcBorders>
              <w:top w:val="nil"/>
              <w:left w:val="nil"/>
              <w:bottom w:val="nil"/>
              <w:right w:val="nil"/>
            </w:tcBorders>
            <w:shd w:val="clear" w:color="000000" w:fill="FFFFFF"/>
            <w:noWrap/>
            <w:vAlign w:val="bottom"/>
            <w:hideMark/>
          </w:tcPr>
          <w:p w14:paraId="3F7927B3"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(1.04e-05)</w:t>
            </w:r>
          </w:p>
        </w:tc>
        <w:tc>
          <w:tcPr>
            <w:tcW w:w="1559" w:type="dxa"/>
            <w:tcBorders>
              <w:top w:val="nil"/>
              <w:left w:val="nil"/>
              <w:bottom w:val="nil"/>
              <w:right w:val="nil"/>
            </w:tcBorders>
            <w:shd w:val="clear" w:color="000000" w:fill="FFFFFF"/>
            <w:noWrap/>
            <w:vAlign w:val="bottom"/>
            <w:hideMark/>
          </w:tcPr>
          <w:p w14:paraId="25F4C6DC"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(1.04e-05)</w:t>
            </w:r>
          </w:p>
        </w:tc>
        <w:tc>
          <w:tcPr>
            <w:tcW w:w="1559" w:type="dxa"/>
            <w:tcBorders>
              <w:top w:val="nil"/>
              <w:left w:val="nil"/>
              <w:bottom w:val="nil"/>
              <w:right w:val="nil"/>
            </w:tcBorders>
            <w:shd w:val="clear" w:color="000000" w:fill="FFFFFF"/>
            <w:noWrap/>
            <w:vAlign w:val="bottom"/>
            <w:hideMark/>
          </w:tcPr>
          <w:p w14:paraId="3A7DAEAE"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(1.04e-05)</w:t>
            </w:r>
          </w:p>
        </w:tc>
        <w:tc>
          <w:tcPr>
            <w:tcW w:w="1559" w:type="dxa"/>
            <w:tcBorders>
              <w:top w:val="nil"/>
              <w:left w:val="nil"/>
              <w:bottom w:val="nil"/>
              <w:right w:val="nil"/>
            </w:tcBorders>
            <w:shd w:val="clear" w:color="000000" w:fill="FFFFFF"/>
            <w:noWrap/>
            <w:vAlign w:val="bottom"/>
            <w:hideMark/>
          </w:tcPr>
          <w:p w14:paraId="02A30B01"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(1.80e-05)</w:t>
            </w:r>
          </w:p>
        </w:tc>
      </w:tr>
      <w:tr w:rsidR="002640E4" w:rsidRPr="00986F85" w14:paraId="52238D83" w14:textId="77777777" w:rsidTr="002640E4">
        <w:trPr>
          <w:trHeight w:val="260"/>
        </w:trPr>
        <w:tc>
          <w:tcPr>
            <w:tcW w:w="3580" w:type="dxa"/>
            <w:tcBorders>
              <w:top w:val="single" w:sz="8" w:space="0" w:color="BFBFBF"/>
              <w:left w:val="single" w:sz="8" w:space="0" w:color="BFBFBF"/>
              <w:bottom w:val="single" w:sz="8" w:space="0" w:color="BFBFBF"/>
              <w:right w:val="single" w:sz="8" w:space="0" w:color="BFBFBF"/>
            </w:tcBorders>
            <w:shd w:val="clear" w:color="000000" w:fill="FFFFFF"/>
            <w:vAlign w:val="center"/>
            <w:hideMark/>
          </w:tcPr>
          <w:p w14:paraId="7A33E42D"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ROA</w:t>
            </w:r>
          </w:p>
        </w:tc>
        <w:tc>
          <w:tcPr>
            <w:tcW w:w="1580" w:type="dxa"/>
            <w:tcBorders>
              <w:top w:val="nil"/>
              <w:left w:val="nil"/>
              <w:bottom w:val="nil"/>
              <w:right w:val="nil"/>
            </w:tcBorders>
            <w:shd w:val="clear" w:color="000000" w:fill="FFFFFF"/>
            <w:noWrap/>
            <w:vAlign w:val="bottom"/>
            <w:hideMark/>
          </w:tcPr>
          <w:p w14:paraId="33C598C5"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18" w:type="dxa"/>
            <w:tcBorders>
              <w:top w:val="nil"/>
              <w:left w:val="nil"/>
              <w:bottom w:val="nil"/>
              <w:right w:val="nil"/>
            </w:tcBorders>
            <w:shd w:val="clear" w:color="000000" w:fill="FFFFFF"/>
            <w:noWrap/>
            <w:vAlign w:val="bottom"/>
            <w:hideMark/>
          </w:tcPr>
          <w:p w14:paraId="3E829250"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0.157***</w:t>
            </w:r>
          </w:p>
        </w:tc>
        <w:tc>
          <w:tcPr>
            <w:tcW w:w="1559" w:type="dxa"/>
            <w:tcBorders>
              <w:top w:val="nil"/>
              <w:left w:val="nil"/>
              <w:bottom w:val="nil"/>
              <w:right w:val="nil"/>
            </w:tcBorders>
            <w:shd w:val="clear" w:color="000000" w:fill="FFFFFF"/>
            <w:noWrap/>
            <w:vAlign w:val="bottom"/>
            <w:hideMark/>
          </w:tcPr>
          <w:p w14:paraId="3233CB40"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0.152***</w:t>
            </w:r>
          </w:p>
        </w:tc>
        <w:tc>
          <w:tcPr>
            <w:tcW w:w="1559" w:type="dxa"/>
            <w:tcBorders>
              <w:top w:val="nil"/>
              <w:left w:val="nil"/>
              <w:bottom w:val="nil"/>
              <w:right w:val="nil"/>
            </w:tcBorders>
            <w:shd w:val="clear" w:color="000000" w:fill="FFFFFF"/>
            <w:noWrap/>
            <w:vAlign w:val="bottom"/>
            <w:hideMark/>
          </w:tcPr>
          <w:p w14:paraId="080914F8"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0.148***</w:t>
            </w:r>
          </w:p>
        </w:tc>
        <w:tc>
          <w:tcPr>
            <w:tcW w:w="1559" w:type="dxa"/>
            <w:tcBorders>
              <w:top w:val="nil"/>
              <w:left w:val="nil"/>
              <w:bottom w:val="nil"/>
              <w:right w:val="nil"/>
            </w:tcBorders>
            <w:shd w:val="clear" w:color="000000" w:fill="FFFFFF"/>
            <w:noWrap/>
            <w:vAlign w:val="bottom"/>
            <w:hideMark/>
          </w:tcPr>
          <w:p w14:paraId="5F7622D7"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0.132***</w:t>
            </w:r>
          </w:p>
        </w:tc>
      </w:tr>
      <w:tr w:rsidR="002640E4" w:rsidRPr="00986F85" w14:paraId="1B9653E3" w14:textId="77777777" w:rsidTr="002640E4">
        <w:trPr>
          <w:trHeight w:val="260"/>
        </w:trPr>
        <w:tc>
          <w:tcPr>
            <w:tcW w:w="3580" w:type="dxa"/>
            <w:tcBorders>
              <w:top w:val="nil"/>
              <w:left w:val="single" w:sz="8" w:space="0" w:color="BFBFBF"/>
              <w:bottom w:val="single" w:sz="8" w:space="0" w:color="BFBFBF"/>
              <w:right w:val="single" w:sz="8" w:space="0" w:color="BFBFBF"/>
            </w:tcBorders>
            <w:shd w:val="clear" w:color="000000" w:fill="FFFFFF"/>
            <w:vAlign w:val="center"/>
            <w:hideMark/>
          </w:tcPr>
          <w:p w14:paraId="38F8BAA6"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 </w:t>
            </w:r>
          </w:p>
        </w:tc>
        <w:tc>
          <w:tcPr>
            <w:tcW w:w="1580" w:type="dxa"/>
            <w:tcBorders>
              <w:top w:val="nil"/>
              <w:left w:val="nil"/>
              <w:bottom w:val="nil"/>
              <w:right w:val="nil"/>
            </w:tcBorders>
            <w:shd w:val="clear" w:color="000000" w:fill="FFFFFF"/>
            <w:noWrap/>
            <w:vAlign w:val="bottom"/>
            <w:hideMark/>
          </w:tcPr>
          <w:p w14:paraId="391D46E6"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18" w:type="dxa"/>
            <w:tcBorders>
              <w:top w:val="nil"/>
              <w:left w:val="nil"/>
              <w:bottom w:val="nil"/>
              <w:right w:val="nil"/>
            </w:tcBorders>
            <w:shd w:val="clear" w:color="000000" w:fill="FFFFFF"/>
            <w:noWrap/>
            <w:vAlign w:val="bottom"/>
            <w:hideMark/>
          </w:tcPr>
          <w:p w14:paraId="3335C22B"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(0.0254)</w:t>
            </w:r>
          </w:p>
        </w:tc>
        <w:tc>
          <w:tcPr>
            <w:tcW w:w="1559" w:type="dxa"/>
            <w:tcBorders>
              <w:top w:val="nil"/>
              <w:left w:val="nil"/>
              <w:bottom w:val="nil"/>
              <w:right w:val="nil"/>
            </w:tcBorders>
            <w:shd w:val="clear" w:color="000000" w:fill="FFFFFF"/>
            <w:noWrap/>
            <w:vAlign w:val="bottom"/>
            <w:hideMark/>
          </w:tcPr>
          <w:p w14:paraId="3066B294"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(0.0256)</w:t>
            </w:r>
          </w:p>
        </w:tc>
        <w:tc>
          <w:tcPr>
            <w:tcW w:w="1559" w:type="dxa"/>
            <w:tcBorders>
              <w:top w:val="nil"/>
              <w:left w:val="nil"/>
              <w:bottom w:val="nil"/>
              <w:right w:val="nil"/>
            </w:tcBorders>
            <w:shd w:val="clear" w:color="000000" w:fill="FFFFFF"/>
            <w:noWrap/>
            <w:vAlign w:val="bottom"/>
            <w:hideMark/>
          </w:tcPr>
          <w:p w14:paraId="6EDDB220"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(0.0257)</w:t>
            </w:r>
          </w:p>
        </w:tc>
        <w:tc>
          <w:tcPr>
            <w:tcW w:w="1559" w:type="dxa"/>
            <w:tcBorders>
              <w:top w:val="nil"/>
              <w:left w:val="nil"/>
              <w:bottom w:val="nil"/>
              <w:right w:val="nil"/>
            </w:tcBorders>
            <w:shd w:val="clear" w:color="000000" w:fill="FFFFFF"/>
            <w:noWrap/>
            <w:vAlign w:val="bottom"/>
            <w:hideMark/>
          </w:tcPr>
          <w:p w14:paraId="4A077813"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(0.0378)</w:t>
            </w:r>
          </w:p>
        </w:tc>
      </w:tr>
      <w:tr w:rsidR="002640E4" w:rsidRPr="00986F85" w14:paraId="1ABA812F" w14:textId="77777777" w:rsidTr="002640E4">
        <w:trPr>
          <w:trHeight w:hRule="exact" w:val="260"/>
        </w:trPr>
        <w:tc>
          <w:tcPr>
            <w:tcW w:w="3580" w:type="dxa"/>
            <w:tcBorders>
              <w:top w:val="nil"/>
              <w:left w:val="single" w:sz="8" w:space="0" w:color="BFBFBF"/>
              <w:bottom w:val="single" w:sz="8" w:space="0" w:color="BFBFBF"/>
              <w:right w:val="single" w:sz="8" w:space="0" w:color="BFBFBF"/>
            </w:tcBorders>
            <w:shd w:val="clear" w:color="000000" w:fill="FFFFFF"/>
            <w:vAlign w:val="center"/>
            <w:hideMark/>
          </w:tcPr>
          <w:p w14:paraId="711CDCEA"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Likviditás</w:t>
            </w:r>
          </w:p>
        </w:tc>
        <w:tc>
          <w:tcPr>
            <w:tcW w:w="1580" w:type="dxa"/>
            <w:tcBorders>
              <w:top w:val="nil"/>
              <w:left w:val="nil"/>
              <w:bottom w:val="nil"/>
              <w:right w:val="nil"/>
            </w:tcBorders>
            <w:shd w:val="clear" w:color="000000" w:fill="FFFFFF"/>
            <w:noWrap/>
            <w:vAlign w:val="bottom"/>
            <w:hideMark/>
          </w:tcPr>
          <w:p w14:paraId="7B53F8B6"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18" w:type="dxa"/>
            <w:tcBorders>
              <w:top w:val="nil"/>
              <w:left w:val="nil"/>
              <w:bottom w:val="nil"/>
              <w:right w:val="nil"/>
            </w:tcBorders>
            <w:shd w:val="clear" w:color="000000" w:fill="FFFFFF"/>
            <w:noWrap/>
            <w:vAlign w:val="bottom"/>
            <w:hideMark/>
          </w:tcPr>
          <w:p w14:paraId="5F795A1F"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-0.0187***</w:t>
            </w:r>
          </w:p>
        </w:tc>
        <w:tc>
          <w:tcPr>
            <w:tcW w:w="1559" w:type="dxa"/>
            <w:tcBorders>
              <w:top w:val="nil"/>
              <w:left w:val="nil"/>
              <w:bottom w:val="nil"/>
              <w:right w:val="nil"/>
            </w:tcBorders>
            <w:shd w:val="clear" w:color="000000" w:fill="FFFFFF"/>
            <w:noWrap/>
            <w:vAlign w:val="bottom"/>
            <w:hideMark/>
          </w:tcPr>
          <w:p w14:paraId="4D8348C7"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-0.0188***</w:t>
            </w:r>
          </w:p>
        </w:tc>
        <w:tc>
          <w:tcPr>
            <w:tcW w:w="1559" w:type="dxa"/>
            <w:tcBorders>
              <w:top w:val="nil"/>
              <w:left w:val="nil"/>
              <w:bottom w:val="nil"/>
              <w:right w:val="nil"/>
            </w:tcBorders>
            <w:shd w:val="clear" w:color="000000" w:fill="FFFFFF"/>
            <w:noWrap/>
            <w:vAlign w:val="bottom"/>
            <w:hideMark/>
          </w:tcPr>
          <w:p w14:paraId="408BDB40"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-0.0188***</w:t>
            </w:r>
          </w:p>
        </w:tc>
        <w:tc>
          <w:tcPr>
            <w:tcW w:w="1559" w:type="dxa"/>
            <w:tcBorders>
              <w:top w:val="nil"/>
              <w:left w:val="nil"/>
              <w:bottom w:val="nil"/>
              <w:right w:val="nil"/>
            </w:tcBorders>
            <w:shd w:val="clear" w:color="000000" w:fill="FFFFFF"/>
            <w:noWrap/>
            <w:vAlign w:val="bottom"/>
            <w:hideMark/>
          </w:tcPr>
          <w:p w14:paraId="506701BD"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-0.0114***</w:t>
            </w:r>
          </w:p>
        </w:tc>
      </w:tr>
      <w:tr w:rsidR="002640E4" w:rsidRPr="00986F85" w14:paraId="39AE7CF6" w14:textId="77777777" w:rsidTr="002640E4">
        <w:trPr>
          <w:trHeight w:hRule="exact" w:val="260"/>
        </w:trPr>
        <w:tc>
          <w:tcPr>
            <w:tcW w:w="3580" w:type="dxa"/>
            <w:tcBorders>
              <w:top w:val="nil"/>
              <w:left w:val="nil"/>
              <w:bottom w:val="nil"/>
              <w:right w:val="nil"/>
            </w:tcBorders>
            <w:shd w:val="clear" w:color="auto" w:fill="auto"/>
            <w:noWrap/>
            <w:vAlign w:val="bottom"/>
            <w:hideMark/>
          </w:tcPr>
          <w:p w14:paraId="7FFAB386" w14:textId="77777777" w:rsidR="002640E4" w:rsidRPr="00986F85" w:rsidRDefault="002640E4" w:rsidP="002640E4">
            <w:pPr>
              <w:suppressAutoHyphens w:val="0"/>
              <w:spacing w:after="0" w:line="240" w:lineRule="auto"/>
              <w:rPr>
                <w:rFonts w:eastAsia="Times New Roman" w:cs="Arial"/>
                <w:sz w:val="20"/>
                <w:szCs w:val="20"/>
                <w:lang w:val="en-US" w:eastAsia="en-US"/>
              </w:rPr>
            </w:pPr>
          </w:p>
        </w:tc>
        <w:tc>
          <w:tcPr>
            <w:tcW w:w="1580" w:type="dxa"/>
            <w:tcBorders>
              <w:top w:val="nil"/>
              <w:left w:val="nil"/>
              <w:bottom w:val="nil"/>
              <w:right w:val="nil"/>
            </w:tcBorders>
            <w:shd w:val="clear" w:color="000000" w:fill="FFFFFF"/>
            <w:noWrap/>
            <w:vAlign w:val="bottom"/>
            <w:hideMark/>
          </w:tcPr>
          <w:p w14:paraId="4FC61882"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18" w:type="dxa"/>
            <w:tcBorders>
              <w:top w:val="nil"/>
              <w:left w:val="nil"/>
              <w:bottom w:val="nil"/>
              <w:right w:val="nil"/>
            </w:tcBorders>
            <w:shd w:val="clear" w:color="000000" w:fill="FFFFFF"/>
            <w:noWrap/>
            <w:vAlign w:val="bottom"/>
            <w:hideMark/>
          </w:tcPr>
          <w:p w14:paraId="7DA724BD"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(0.00358)</w:t>
            </w:r>
          </w:p>
        </w:tc>
        <w:tc>
          <w:tcPr>
            <w:tcW w:w="1559" w:type="dxa"/>
            <w:tcBorders>
              <w:top w:val="nil"/>
              <w:left w:val="nil"/>
              <w:bottom w:val="nil"/>
              <w:right w:val="nil"/>
            </w:tcBorders>
            <w:shd w:val="clear" w:color="000000" w:fill="FFFFFF"/>
            <w:noWrap/>
            <w:vAlign w:val="bottom"/>
            <w:hideMark/>
          </w:tcPr>
          <w:p w14:paraId="10396DFC"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(0.00359)</w:t>
            </w:r>
          </w:p>
        </w:tc>
        <w:tc>
          <w:tcPr>
            <w:tcW w:w="1559" w:type="dxa"/>
            <w:tcBorders>
              <w:top w:val="nil"/>
              <w:left w:val="nil"/>
              <w:bottom w:val="nil"/>
              <w:right w:val="nil"/>
            </w:tcBorders>
            <w:shd w:val="clear" w:color="000000" w:fill="FFFFFF"/>
            <w:noWrap/>
            <w:vAlign w:val="bottom"/>
            <w:hideMark/>
          </w:tcPr>
          <w:p w14:paraId="063D11D3"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(0.00359)</w:t>
            </w:r>
          </w:p>
        </w:tc>
        <w:tc>
          <w:tcPr>
            <w:tcW w:w="1559" w:type="dxa"/>
            <w:tcBorders>
              <w:top w:val="nil"/>
              <w:left w:val="nil"/>
              <w:bottom w:val="nil"/>
              <w:right w:val="nil"/>
            </w:tcBorders>
            <w:shd w:val="clear" w:color="000000" w:fill="FFFFFF"/>
            <w:noWrap/>
            <w:vAlign w:val="bottom"/>
            <w:hideMark/>
          </w:tcPr>
          <w:p w14:paraId="6FE184BF"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(0.00326)</w:t>
            </w:r>
          </w:p>
        </w:tc>
      </w:tr>
      <w:tr w:rsidR="002640E4" w:rsidRPr="00986F85" w14:paraId="6130F35F" w14:textId="77777777" w:rsidTr="002640E4">
        <w:trPr>
          <w:trHeight w:val="260"/>
        </w:trPr>
        <w:tc>
          <w:tcPr>
            <w:tcW w:w="3580" w:type="dxa"/>
            <w:tcBorders>
              <w:top w:val="nil"/>
              <w:left w:val="nil"/>
              <w:bottom w:val="nil"/>
              <w:right w:val="nil"/>
            </w:tcBorders>
            <w:shd w:val="clear" w:color="auto" w:fill="auto"/>
            <w:noWrap/>
            <w:vAlign w:val="bottom"/>
            <w:hideMark/>
          </w:tcPr>
          <w:p w14:paraId="75FCC0A8"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 xml:space="preserve">Hozzáadott érték </w:t>
            </w:r>
          </w:p>
        </w:tc>
        <w:tc>
          <w:tcPr>
            <w:tcW w:w="1580" w:type="dxa"/>
            <w:tcBorders>
              <w:top w:val="nil"/>
              <w:left w:val="nil"/>
              <w:bottom w:val="nil"/>
              <w:right w:val="nil"/>
            </w:tcBorders>
            <w:shd w:val="clear" w:color="000000" w:fill="FFFFFF"/>
            <w:noWrap/>
            <w:vAlign w:val="bottom"/>
            <w:hideMark/>
          </w:tcPr>
          <w:p w14:paraId="7C77DE52"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18" w:type="dxa"/>
            <w:tcBorders>
              <w:top w:val="nil"/>
              <w:left w:val="nil"/>
              <w:bottom w:val="nil"/>
              <w:right w:val="nil"/>
            </w:tcBorders>
            <w:shd w:val="clear" w:color="000000" w:fill="FFFFFF"/>
            <w:noWrap/>
            <w:vAlign w:val="bottom"/>
            <w:hideMark/>
          </w:tcPr>
          <w:p w14:paraId="1D98E235"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1.19e-08</w:t>
            </w:r>
          </w:p>
        </w:tc>
        <w:tc>
          <w:tcPr>
            <w:tcW w:w="1559" w:type="dxa"/>
            <w:tcBorders>
              <w:top w:val="nil"/>
              <w:left w:val="nil"/>
              <w:bottom w:val="nil"/>
              <w:right w:val="nil"/>
            </w:tcBorders>
            <w:shd w:val="clear" w:color="000000" w:fill="FFFFFF"/>
            <w:noWrap/>
            <w:vAlign w:val="bottom"/>
            <w:hideMark/>
          </w:tcPr>
          <w:p w14:paraId="0D2ACCD2"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-1.12e-06</w:t>
            </w:r>
          </w:p>
        </w:tc>
        <w:tc>
          <w:tcPr>
            <w:tcW w:w="1559" w:type="dxa"/>
            <w:tcBorders>
              <w:top w:val="nil"/>
              <w:left w:val="nil"/>
              <w:bottom w:val="nil"/>
              <w:right w:val="nil"/>
            </w:tcBorders>
            <w:shd w:val="clear" w:color="000000" w:fill="FFFFFF"/>
            <w:noWrap/>
            <w:vAlign w:val="bottom"/>
            <w:hideMark/>
          </w:tcPr>
          <w:p w14:paraId="3E00454B"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-1.76e-07</w:t>
            </w:r>
          </w:p>
        </w:tc>
        <w:tc>
          <w:tcPr>
            <w:tcW w:w="1559" w:type="dxa"/>
            <w:tcBorders>
              <w:top w:val="nil"/>
              <w:left w:val="nil"/>
              <w:bottom w:val="nil"/>
              <w:right w:val="nil"/>
            </w:tcBorders>
            <w:shd w:val="clear" w:color="000000" w:fill="FFFFFF"/>
            <w:noWrap/>
            <w:vAlign w:val="bottom"/>
            <w:hideMark/>
          </w:tcPr>
          <w:p w14:paraId="2B6F2025"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 </w:t>
            </w:r>
          </w:p>
        </w:tc>
      </w:tr>
      <w:tr w:rsidR="002640E4" w:rsidRPr="00986F85" w14:paraId="0BF463B2" w14:textId="77777777" w:rsidTr="002640E4">
        <w:trPr>
          <w:trHeight w:val="260"/>
        </w:trPr>
        <w:tc>
          <w:tcPr>
            <w:tcW w:w="3580" w:type="dxa"/>
            <w:tcBorders>
              <w:top w:val="nil"/>
              <w:left w:val="nil"/>
              <w:bottom w:val="nil"/>
              <w:right w:val="nil"/>
            </w:tcBorders>
            <w:shd w:val="clear" w:color="auto" w:fill="auto"/>
            <w:noWrap/>
            <w:vAlign w:val="bottom"/>
            <w:hideMark/>
          </w:tcPr>
          <w:p w14:paraId="2DF56BBD" w14:textId="77777777" w:rsidR="002640E4" w:rsidRPr="00986F85" w:rsidRDefault="002640E4" w:rsidP="002640E4">
            <w:pPr>
              <w:suppressAutoHyphens w:val="0"/>
              <w:spacing w:after="0" w:line="240" w:lineRule="auto"/>
              <w:rPr>
                <w:rFonts w:eastAsia="Times New Roman" w:cs="Arial"/>
                <w:sz w:val="20"/>
                <w:szCs w:val="20"/>
                <w:lang w:val="en-US" w:eastAsia="en-US"/>
              </w:rPr>
            </w:pPr>
          </w:p>
        </w:tc>
        <w:tc>
          <w:tcPr>
            <w:tcW w:w="1580" w:type="dxa"/>
            <w:tcBorders>
              <w:top w:val="nil"/>
              <w:left w:val="nil"/>
              <w:bottom w:val="nil"/>
              <w:right w:val="nil"/>
            </w:tcBorders>
            <w:shd w:val="clear" w:color="000000" w:fill="FFFFFF"/>
            <w:noWrap/>
            <w:vAlign w:val="bottom"/>
            <w:hideMark/>
          </w:tcPr>
          <w:p w14:paraId="3B32FE8A"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18" w:type="dxa"/>
            <w:tcBorders>
              <w:top w:val="nil"/>
              <w:left w:val="nil"/>
              <w:bottom w:val="nil"/>
              <w:right w:val="nil"/>
            </w:tcBorders>
            <w:shd w:val="clear" w:color="000000" w:fill="FFFFFF"/>
            <w:noWrap/>
            <w:vAlign w:val="bottom"/>
            <w:hideMark/>
          </w:tcPr>
          <w:p w14:paraId="2E5BB58C"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(1.80e-07)</w:t>
            </w:r>
          </w:p>
        </w:tc>
        <w:tc>
          <w:tcPr>
            <w:tcW w:w="1559" w:type="dxa"/>
            <w:tcBorders>
              <w:top w:val="nil"/>
              <w:left w:val="nil"/>
              <w:bottom w:val="nil"/>
              <w:right w:val="nil"/>
            </w:tcBorders>
            <w:shd w:val="clear" w:color="000000" w:fill="FFFFFF"/>
            <w:noWrap/>
            <w:vAlign w:val="bottom"/>
            <w:hideMark/>
          </w:tcPr>
          <w:p w14:paraId="0F50854B"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(1.17e-06)</w:t>
            </w:r>
          </w:p>
        </w:tc>
        <w:tc>
          <w:tcPr>
            <w:tcW w:w="1559" w:type="dxa"/>
            <w:tcBorders>
              <w:top w:val="nil"/>
              <w:left w:val="nil"/>
              <w:bottom w:val="nil"/>
              <w:right w:val="nil"/>
            </w:tcBorders>
            <w:shd w:val="clear" w:color="000000" w:fill="FFFFFF"/>
            <w:noWrap/>
            <w:vAlign w:val="bottom"/>
            <w:hideMark/>
          </w:tcPr>
          <w:p w14:paraId="1F164206"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(4.30e-07)</w:t>
            </w:r>
          </w:p>
        </w:tc>
        <w:tc>
          <w:tcPr>
            <w:tcW w:w="1559" w:type="dxa"/>
            <w:tcBorders>
              <w:top w:val="nil"/>
              <w:left w:val="nil"/>
              <w:bottom w:val="nil"/>
              <w:right w:val="nil"/>
            </w:tcBorders>
            <w:shd w:val="clear" w:color="000000" w:fill="FFFFFF"/>
            <w:noWrap/>
            <w:vAlign w:val="bottom"/>
            <w:hideMark/>
          </w:tcPr>
          <w:p w14:paraId="33EFA75D"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 </w:t>
            </w:r>
          </w:p>
        </w:tc>
      </w:tr>
      <w:tr w:rsidR="002640E4" w:rsidRPr="00986F85" w14:paraId="77BD1663" w14:textId="77777777" w:rsidTr="002640E4">
        <w:trPr>
          <w:trHeight w:val="260"/>
        </w:trPr>
        <w:tc>
          <w:tcPr>
            <w:tcW w:w="3580" w:type="dxa"/>
            <w:tcBorders>
              <w:top w:val="nil"/>
              <w:left w:val="nil"/>
              <w:bottom w:val="nil"/>
              <w:right w:val="nil"/>
            </w:tcBorders>
            <w:shd w:val="clear" w:color="auto" w:fill="auto"/>
            <w:noWrap/>
            <w:vAlign w:val="bottom"/>
            <w:hideMark/>
          </w:tcPr>
          <w:p w14:paraId="39A14D06"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Eszközhatékonyság</w:t>
            </w:r>
          </w:p>
        </w:tc>
        <w:tc>
          <w:tcPr>
            <w:tcW w:w="1580" w:type="dxa"/>
            <w:tcBorders>
              <w:top w:val="nil"/>
              <w:left w:val="nil"/>
              <w:bottom w:val="nil"/>
              <w:right w:val="nil"/>
            </w:tcBorders>
            <w:shd w:val="clear" w:color="000000" w:fill="FFFFFF"/>
            <w:noWrap/>
            <w:vAlign w:val="bottom"/>
            <w:hideMark/>
          </w:tcPr>
          <w:p w14:paraId="7C14C335"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18" w:type="dxa"/>
            <w:tcBorders>
              <w:top w:val="nil"/>
              <w:left w:val="nil"/>
              <w:bottom w:val="nil"/>
              <w:right w:val="nil"/>
            </w:tcBorders>
            <w:shd w:val="clear" w:color="000000" w:fill="FFFFFF"/>
            <w:noWrap/>
            <w:vAlign w:val="bottom"/>
            <w:hideMark/>
          </w:tcPr>
          <w:p w14:paraId="4391B4E6"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-0.000879</w:t>
            </w:r>
          </w:p>
        </w:tc>
        <w:tc>
          <w:tcPr>
            <w:tcW w:w="1559" w:type="dxa"/>
            <w:tcBorders>
              <w:top w:val="nil"/>
              <w:left w:val="nil"/>
              <w:bottom w:val="nil"/>
              <w:right w:val="nil"/>
            </w:tcBorders>
            <w:shd w:val="clear" w:color="000000" w:fill="FFFFFF"/>
            <w:noWrap/>
            <w:vAlign w:val="bottom"/>
            <w:hideMark/>
          </w:tcPr>
          <w:p w14:paraId="47D5C414"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-0.000510</w:t>
            </w:r>
          </w:p>
        </w:tc>
        <w:tc>
          <w:tcPr>
            <w:tcW w:w="1559" w:type="dxa"/>
            <w:tcBorders>
              <w:top w:val="nil"/>
              <w:left w:val="nil"/>
              <w:bottom w:val="nil"/>
              <w:right w:val="nil"/>
            </w:tcBorders>
            <w:shd w:val="clear" w:color="000000" w:fill="FFFFFF"/>
            <w:noWrap/>
            <w:vAlign w:val="bottom"/>
            <w:hideMark/>
          </w:tcPr>
          <w:p w14:paraId="6ED01C03"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-0.000506</w:t>
            </w:r>
          </w:p>
        </w:tc>
        <w:tc>
          <w:tcPr>
            <w:tcW w:w="1559" w:type="dxa"/>
            <w:tcBorders>
              <w:top w:val="nil"/>
              <w:left w:val="nil"/>
              <w:bottom w:val="nil"/>
              <w:right w:val="nil"/>
            </w:tcBorders>
            <w:shd w:val="clear" w:color="000000" w:fill="FFFFFF"/>
            <w:noWrap/>
            <w:vAlign w:val="bottom"/>
            <w:hideMark/>
          </w:tcPr>
          <w:p w14:paraId="40CF9CBF"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 </w:t>
            </w:r>
          </w:p>
        </w:tc>
      </w:tr>
      <w:tr w:rsidR="002640E4" w:rsidRPr="00986F85" w14:paraId="63D16263" w14:textId="77777777" w:rsidTr="002640E4">
        <w:trPr>
          <w:trHeight w:val="260"/>
        </w:trPr>
        <w:tc>
          <w:tcPr>
            <w:tcW w:w="3580" w:type="dxa"/>
            <w:tcBorders>
              <w:top w:val="nil"/>
              <w:left w:val="nil"/>
              <w:bottom w:val="nil"/>
              <w:right w:val="nil"/>
            </w:tcBorders>
            <w:shd w:val="clear" w:color="auto" w:fill="auto"/>
            <w:noWrap/>
            <w:vAlign w:val="bottom"/>
            <w:hideMark/>
          </w:tcPr>
          <w:p w14:paraId="2C10CD5A" w14:textId="77777777" w:rsidR="002640E4" w:rsidRPr="00986F85" w:rsidRDefault="002640E4" w:rsidP="002640E4">
            <w:pPr>
              <w:suppressAutoHyphens w:val="0"/>
              <w:spacing w:after="0" w:line="240" w:lineRule="auto"/>
              <w:rPr>
                <w:rFonts w:eastAsia="Times New Roman" w:cs="Arial"/>
                <w:sz w:val="20"/>
                <w:szCs w:val="20"/>
                <w:lang w:val="en-US" w:eastAsia="en-US"/>
              </w:rPr>
            </w:pPr>
          </w:p>
        </w:tc>
        <w:tc>
          <w:tcPr>
            <w:tcW w:w="1580" w:type="dxa"/>
            <w:tcBorders>
              <w:top w:val="nil"/>
              <w:left w:val="nil"/>
              <w:bottom w:val="nil"/>
              <w:right w:val="nil"/>
            </w:tcBorders>
            <w:shd w:val="clear" w:color="000000" w:fill="FFFFFF"/>
            <w:noWrap/>
            <w:vAlign w:val="bottom"/>
            <w:hideMark/>
          </w:tcPr>
          <w:p w14:paraId="1BA2B310"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18" w:type="dxa"/>
            <w:tcBorders>
              <w:top w:val="nil"/>
              <w:left w:val="nil"/>
              <w:bottom w:val="nil"/>
              <w:right w:val="nil"/>
            </w:tcBorders>
            <w:shd w:val="clear" w:color="000000" w:fill="FFFFFF"/>
            <w:noWrap/>
            <w:vAlign w:val="bottom"/>
            <w:hideMark/>
          </w:tcPr>
          <w:p w14:paraId="4BBC3D96"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(0.00149)</w:t>
            </w:r>
          </w:p>
        </w:tc>
        <w:tc>
          <w:tcPr>
            <w:tcW w:w="1559" w:type="dxa"/>
            <w:tcBorders>
              <w:top w:val="nil"/>
              <w:left w:val="nil"/>
              <w:bottom w:val="nil"/>
              <w:right w:val="nil"/>
            </w:tcBorders>
            <w:shd w:val="clear" w:color="000000" w:fill="FFFFFF"/>
            <w:noWrap/>
            <w:vAlign w:val="bottom"/>
            <w:hideMark/>
          </w:tcPr>
          <w:p w14:paraId="0F9375FE"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(0.00133)</w:t>
            </w:r>
          </w:p>
        </w:tc>
        <w:tc>
          <w:tcPr>
            <w:tcW w:w="1559" w:type="dxa"/>
            <w:tcBorders>
              <w:top w:val="nil"/>
              <w:left w:val="nil"/>
              <w:bottom w:val="nil"/>
              <w:right w:val="nil"/>
            </w:tcBorders>
            <w:shd w:val="clear" w:color="000000" w:fill="FFFFFF"/>
            <w:noWrap/>
            <w:vAlign w:val="bottom"/>
            <w:hideMark/>
          </w:tcPr>
          <w:p w14:paraId="2722443A"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(0.00131)</w:t>
            </w:r>
          </w:p>
        </w:tc>
        <w:tc>
          <w:tcPr>
            <w:tcW w:w="1559" w:type="dxa"/>
            <w:tcBorders>
              <w:top w:val="nil"/>
              <w:left w:val="nil"/>
              <w:bottom w:val="nil"/>
              <w:right w:val="nil"/>
            </w:tcBorders>
            <w:shd w:val="clear" w:color="000000" w:fill="FFFFFF"/>
            <w:noWrap/>
            <w:vAlign w:val="bottom"/>
            <w:hideMark/>
          </w:tcPr>
          <w:p w14:paraId="68A02C53"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 </w:t>
            </w:r>
          </w:p>
        </w:tc>
      </w:tr>
      <w:tr w:rsidR="002640E4" w:rsidRPr="00986F85" w14:paraId="6BE94F18" w14:textId="77777777" w:rsidTr="002640E4">
        <w:trPr>
          <w:trHeight w:val="260"/>
        </w:trPr>
        <w:tc>
          <w:tcPr>
            <w:tcW w:w="3580" w:type="dxa"/>
            <w:tcBorders>
              <w:top w:val="nil"/>
              <w:left w:val="nil"/>
              <w:bottom w:val="nil"/>
              <w:right w:val="nil"/>
            </w:tcBorders>
            <w:shd w:val="clear" w:color="auto" w:fill="auto"/>
            <w:noWrap/>
            <w:vAlign w:val="bottom"/>
            <w:hideMark/>
          </w:tcPr>
          <w:p w14:paraId="72B861EE"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Tőkeintenzitás</w:t>
            </w:r>
          </w:p>
        </w:tc>
        <w:tc>
          <w:tcPr>
            <w:tcW w:w="1580" w:type="dxa"/>
            <w:tcBorders>
              <w:top w:val="nil"/>
              <w:left w:val="nil"/>
              <w:bottom w:val="nil"/>
              <w:right w:val="nil"/>
            </w:tcBorders>
            <w:shd w:val="clear" w:color="000000" w:fill="FFFFFF"/>
            <w:noWrap/>
            <w:vAlign w:val="bottom"/>
            <w:hideMark/>
          </w:tcPr>
          <w:p w14:paraId="2691CBDE"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18" w:type="dxa"/>
            <w:tcBorders>
              <w:top w:val="nil"/>
              <w:left w:val="nil"/>
              <w:bottom w:val="nil"/>
              <w:right w:val="nil"/>
            </w:tcBorders>
            <w:shd w:val="clear" w:color="000000" w:fill="FFFFFF"/>
            <w:noWrap/>
            <w:vAlign w:val="bottom"/>
            <w:hideMark/>
          </w:tcPr>
          <w:p w14:paraId="4246C669"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4.48e-07***</w:t>
            </w:r>
          </w:p>
        </w:tc>
        <w:tc>
          <w:tcPr>
            <w:tcW w:w="1559" w:type="dxa"/>
            <w:tcBorders>
              <w:top w:val="nil"/>
              <w:left w:val="nil"/>
              <w:bottom w:val="nil"/>
              <w:right w:val="nil"/>
            </w:tcBorders>
            <w:shd w:val="clear" w:color="000000" w:fill="FFFFFF"/>
            <w:noWrap/>
            <w:vAlign w:val="bottom"/>
            <w:hideMark/>
          </w:tcPr>
          <w:p w14:paraId="30367DEA"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2.43e-09</w:t>
            </w:r>
          </w:p>
        </w:tc>
        <w:tc>
          <w:tcPr>
            <w:tcW w:w="1559" w:type="dxa"/>
            <w:tcBorders>
              <w:top w:val="nil"/>
              <w:left w:val="nil"/>
              <w:bottom w:val="nil"/>
              <w:right w:val="nil"/>
            </w:tcBorders>
            <w:shd w:val="clear" w:color="000000" w:fill="FFFFFF"/>
            <w:noWrap/>
            <w:vAlign w:val="bottom"/>
            <w:hideMark/>
          </w:tcPr>
          <w:p w14:paraId="358956B2"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-4.20e-08</w:t>
            </w:r>
          </w:p>
        </w:tc>
        <w:tc>
          <w:tcPr>
            <w:tcW w:w="1559" w:type="dxa"/>
            <w:tcBorders>
              <w:top w:val="nil"/>
              <w:left w:val="nil"/>
              <w:bottom w:val="nil"/>
              <w:right w:val="nil"/>
            </w:tcBorders>
            <w:shd w:val="clear" w:color="000000" w:fill="FFFFFF"/>
            <w:noWrap/>
            <w:vAlign w:val="bottom"/>
            <w:hideMark/>
          </w:tcPr>
          <w:p w14:paraId="70CFB896"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-5.93e-06***</w:t>
            </w:r>
          </w:p>
        </w:tc>
      </w:tr>
      <w:tr w:rsidR="002640E4" w:rsidRPr="00986F85" w14:paraId="46C45221" w14:textId="77777777" w:rsidTr="002640E4">
        <w:trPr>
          <w:trHeight w:val="260"/>
        </w:trPr>
        <w:tc>
          <w:tcPr>
            <w:tcW w:w="3580" w:type="dxa"/>
            <w:tcBorders>
              <w:top w:val="nil"/>
              <w:left w:val="nil"/>
              <w:bottom w:val="nil"/>
              <w:right w:val="nil"/>
            </w:tcBorders>
            <w:shd w:val="clear" w:color="auto" w:fill="auto"/>
            <w:noWrap/>
            <w:vAlign w:val="bottom"/>
            <w:hideMark/>
          </w:tcPr>
          <w:p w14:paraId="708C4E9E" w14:textId="77777777" w:rsidR="002640E4" w:rsidRPr="00986F85" w:rsidRDefault="002640E4" w:rsidP="002640E4">
            <w:pPr>
              <w:suppressAutoHyphens w:val="0"/>
              <w:spacing w:after="0" w:line="240" w:lineRule="auto"/>
              <w:rPr>
                <w:rFonts w:eastAsia="Times New Roman" w:cs="Arial"/>
                <w:sz w:val="20"/>
                <w:szCs w:val="20"/>
                <w:lang w:val="en-US" w:eastAsia="en-US"/>
              </w:rPr>
            </w:pPr>
          </w:p>
        </w:tc>
        <w:tc>
          <w:tcPr>
            <w:tcW w:w="1580" w:type="dxa"/>
            <w:tcBorders>
              <w:top w:val="nil"/>
              <w:left w:val="nil"/>
              <w:bottom w:val="nil"/>
              <w:right w:val="nil"/>
            </w:tcBorders>
            <w:shd w:val="clear" w:color="000000" w:fill="FFFFFF"/>
            <w:noWrap/>
            <w:vAlign w:val="bottom"/>
            <w:hideMark/>
          </w:tcPr>
          <w:p w14:paraId="51B0E9D3"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18" w:type="dxa"/>
            <w:tcBorders>
              <w:top w:val="nil"/>
              <w:left w:val="nil"/>
              <w:bottom w:val="nil"/>
              <w:right w:val="nil"/>
            </w:tcBorders>
            <w:shd w:val="clear" w:color="000000" w:fill="FFFFFF"/>
            <w:noWrap/>
            <w:vAlign w:val="bottom"/>
            <w:hideMark/>
          </w:tcPr>
          <w:p w14:paraId="0B07292F"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(1.19e-07)</w:t>
            </w:r>
          </w:p>
        </w:tc>
        <w:tc>
          <w:tcPr>
            <w:tcW w:w="1559" w:type="dxa"/>
            <w:tcBorders>
              <w:top w:val="nil"/>
              <w:left w:val="nil"/>
              <w:bottom w:val="nil"/>
              <w:right w:val="nil"/>
            </w:tcBorders>
            <w:shd w:val="clear" w:color="000000" w:fill="FFFFFF"/>
            <w:noWrap/>
            <w:vAlign w:val="bottom"/>
            <w:hideMark/>
          </w:tcPr>
          <w:p w14:paraId="2CC3A846"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(2.71e-07)</w:t>
            </w:r>
          </w:p>
        </w:tc>
        <w:tc>
          <w:tcPr>
            <w:tcW w:w="1559" w:type="dxa"/>
            <w:tcBorders>
              <w:top w:val="nil"/>
              <w:left w:val="nil"/>
              <w:bottom w:val="nil"/>
              <w:right w:val="nil"/>
            </w:tcBorders>
            <w:shd w:val="clear" w:color="000000" w:fill="FFFFFF"/>
            <w:noWrap/>
            <w:vAlign w:val="bottom"/>
            <w:hideMark/>
          </w:tcPr>
          <w:p w14:paraId="691B41BF"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(2.52e-07)</w:t>
            </w:r>
          </w:p>
        </w:tc>
        <w:tc>
          <w:tcPr>
            <w:tcW w:w="1559" w:type="dxa"/>
            <w:tcBorders>
              <w:top w:val="nil"/>
              <w:left w:val="nil"/>
              <w:bottom w:val="nil"/>
              <w:right w:val="nil"/>
            </w:tcBorders>
            <w:shd w:val="clear" w:color="000000" w:fill="FFFFFF"/>
            <w:noWrap/>
            <w:vAlign w:val="bottom"/>
            <w:hideMark/>
          </w:tcPr>
          <w:p w14:paraId="55B61EB1"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(1.13e-06)</w:t>
            </w:r>
          </w:p>
        </w:tc>
      </w:tr>
      <w:tr w:rsidR="002640E4" w:rsidRPr="00986F85" w14:paraId="001BF56E" w14:textId="77777777" w:rsidTr="002640E4">
        <w:trPr>
          <w:trHeight w:val="260"/>
        </w:trPr>
        <w:tc>
          <w:tcPr>
            <w:tcW w:w="3580" w:type="dxa"/>
            <w:tcBorders>
              <w:top w:val="nil"/>
              <w:left w:val="nil"/>
              <w:bottom w:val="nil"/>
              <w:right w:val="nil"/>
            </w:tcBorders>
            <w:shd w:val="clear" w:color="auto" w:fill="auto"/>
            <w:noWrap/>
            <w:vAlign w:val="bottom"/>
            <w:hideMark/>
          </w:tcPr>
          <w:p w14:paraId="748F900E"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Eredmény</w:t>
            </w:r>
          </w:p>
        </w:tc>
        <w:tc>
          <w:tcPr>
            <w:tcW w:w="1580" w:type="dxa"/>
            <w:tcBorders>
              <w:top w:val="nil"/>
              <w:left w:val="nil"/>
              <w:bottom w:val="nil"/>
              <w:right w:val="nil"/>
            </w:tcBorders>
            <w:shd w:val="clear" w:color="000000" w:fill="FFFFFF"/>
            <w:noWrap/>
            <w:vAlign w:val="bottom"/>
            <w:hideMark/>
          </w:tcPr>
          <w:p w14:paraId="429661A5"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18" w:type="dxa"/>
            <w:tcBorders>
              <w:top w:val="nil"/>
              <w:left w:val="nil"/>
              <w:bottom w:val="nil"/>
              <w:right w:val="nil"/>
            </w:tcBorders>
            <w:shd w:val="clear" w:color="000000" w:fill="FFFFFF"/>
            <w:noWrap/>
            <w:vAlign w:val="bottom"/>
            <w:hideMark/>
          </w:tcPr>
          <w:p w14:paraId="1E2CDAD3"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39D38900"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3.03e-07**</w:t>
            </w:r>
          </w:p>
        </w:tc>
        <w:tc>
          <w:tcPr>
            <w:tcW w:w="1559" w:type="dxa"/>
            <w:tcBorders>
              <w:top w:val="nil"/>
              <w:left w:val="nil"/>
              <w:bottom w:val="nil"/>
              <w:right w:val="nil"/>
            </w:tcBorders>
            <w:shd w:val="clear" w:color="000000" w:fill="FFFFFF"/>
            <w:noWrap/>
            <w:vAlign w:val="bottom"/>
            <w:hideMark/>
          </w:tcPr>
          <w:p w14:paraId="033B8F42"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4.11e-07***</w:t>
            </w:r>
          </w:p>
        </w:tc>
        <w:tc>
          <w:tcPr>
            <w:tcW w:w="1559" w:type="dxa"/>
            <w:tcBorders>
              <w:top w:val="nil"/>
              <w:left w:val="nil"/>
              <w:bottom w:val="nil"/>
              <w:right w:val="nil"/>
            </w:tcBorders>
            <w:shd w:val="clear" w:color="000000" w:fill="FFFFFF"/>
            <w:noWrap/>
            <w:vAlign w:val="bottom"/>
            <w:hideMark/>
          </w:tcPr>
          <w:p w14:paraId="1EF38AAE"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 </w:t>
            </w:r>
          </w:p>
        </w:tc>
      </w:tr>
      <w:tr w:rsidR="002640E4" w:rsidRPr="00986F85" w14:paraId="6BF55F09" w14:textId="77777777" w:rsidTr="002640E4">
        <w:trPr>
          <w:trHeight w:val="260"/>
        </w:trPr>
        <w:tc>
          <w:tcPr>
            <w:tcW w:w="3580" w:type="dxa"/>
            <w:tcBorders>
              <w:top w:val="nil"/>
              <w:left w:val="nil"/>
              <w:bottom w:val="nil"/>
              <w:right w:val="nil"/>
            </w:tcBorders>
            <w:shd w:val="clear" w:color="auto" w:fill="auto"/>
            <w:noWrap/>
            <w:vAlign w:val="bottom"/>
            <w:hideMark/>
          </w:tcPr>
          <w:p w14:paraId="4BA33AA0" w14:textId="77777777" w:rsidR="002640E4" w:rsidRPr="00986F85" w:rsidRDefault="002640E4" w:rsidP="002640E4">
            <w:pPr>
              <w:suppressAutoHyphens w:val="0"/>
              <w:spacing w:after="0" w:line="240" w:lineRule="auto"/>
              <w:rPr>
                <w:rFonts w:eastAsia="Times New Roman" w:cs="Arial"/>
                <w:sz w:val="20"/>
                <w:szCs w:val="20"/>
                <w:lang w:val="en-US" w:eastAsia="en-US"/>
              </w:rPr>
            </w:pPr>
          </w:p>
        </w:tc>
        <w:tc>
          <w:tcPr>
            <w:tcW w:w="1580" w:type="dxa"/>
            <w:tcBorders>
              <w:top w:val="nil"/>
              <w:left w:val="nil"/>
              <w:bottom w:val="nil"/>
              <w:right w:val="nil"/>
            </w:tcBorders>
            <w:shd w:val="clear" w:color="000000" w:fill="FFFFFF"/>
            <w:noWrap/>
            <w:vAlign w:val="bottom"/>
            <w:hideMark/>
          </w:tcPr>
          <w:p w14:paraId="500CF8C6"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18" w:type="dxa"/>
            <w:tcBorders>
              <w:top w:val="nil"/>
              <w:left w:val="nil"/>
              <w:bottom w:val="nil"/>
              <w:right w:val="nil"/>
            </w:tcBorders>
            <w:shd w:val="clear" w:color="000000" w:fill="FFFFFF"/>
            <w:noWrap/>
            <w:vAlign w:val="bottom"/>
            <w:hideMark/>
          </w:tcPr>
          <w:p w14:paraId="1CB09455"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3D373089"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(1.44e-07)</w:t>
            </w:r>
          </w:p>
        </w:tc>
        <w:tc>
          <w:tcPr>
            <w:tcW w:w="1559" w:type="dxa"/>
            <w:tcBorders>
              <w:top w:val="nil"/>
              <w:left w:val="nil"/>
              <w:bottom w:val="nil"/>
              <w:right w:val="nil"/>
            </w:tcBorders>
            <w:shd w:val="clear" w:color="000000" w:fill="FFFFFF"/>
            <w:noWrap/>
            <w:vAlign w:val="bottom"/>
            <w:hideMark/>
          </w:tcPr>
          <w:p w14:paraId="094DBF54"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(1.19e-07)</w:t>
            </w:r>
          </w:p>
        </w:tc>
        <w:tc>
          <w:tcPr>
            <w:tcW w:w="1559" w:type="dxa"/>
            <w:tcBorders>
              <w:top w:val="nil"/>
              <w:left w:val="nil"/>
              <w:bottom w:val="nil"/>
              <w:right w:val="nil"/>
            </w:tcBorders>
            <w:shd w:val="clear" w:color="000000" w:fill="FFFFFF"/>
            <w:noWrap/>
            <w:vAlign w:val="bottom"/>
            <w:hideMark/>
          </w:tcPr>
          <w:p w14:paraId="06B1BEE7"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 </w:t>
            </w:r>
          </w:p>
        </w:tc>
      </w:tr>
      <w:tr w:rsidR="002640E4" w:rsidRPr="00986F85" w14:paraId="32C769D9" w14:textId="77777777" w:rsidTr="002640E4">
        <w:trPr>
          <w:trHeight w:val="260"/>
        </w:trPr>
        <w:tc>
          <w:tcPr>
            <w:tcW w:w="3580" w:type="dxa"/>
            <w:tcBorders>
              <w:top w:val="nil"/>
              <w:left w:val="nil"/>
              <w:bottom w:val="nil"/>
              <w:right w:val="nil"/>
            </w:tcBorders>
            <w:shd w:val="clear" w:color="auto" w:fill="auto"/>
            <w:noWrap/>
            <w:vAlign w:val="bottom"/>
            <w:hideMark/>
          </w:tcPr>
          <w:p w14:paraId="3F4BC22C"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Tárgyi eszköz</w:t>
            </w:r>
          </w:p>
        </w:tc>
        <w:tc>
          <w:tcPr>
            <w:tcW w:w="1580" w:type="dxa"/>
            <w:tcBorders>
              <w:top w:val="nil"/>
              <w:left w:val="nil"/>
              <w:bottom w:val="nil"/>
              <w:right w:val="nil"/>
            </w:tcBorders>
            <w:shd w:val="clear" w:color="000000" w:fill="FFFFFF"/>
            <w:noWrap/>
            <w:vAlign w:val="bottom"/>
            <w:hideMark/>
          </w:tcPr>
          <w:p w14:paraId="5864ED05"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18" w:type="dxa"/>
            <w:tcBorders>
              <w:top w:val="nil"/>
              <w:left w:val="nil"/>
              <w:bottom w:val="nil"/>
              <w:right w:val="nil"/>
            </w:tcBorders>
            <w:shd w:val="clear" w:color="000000" w:fill="FFFFFF"/>
            <w:noWrap/>
            <w:vAlign w:val="bottom"/>
            <w:hideMark/>
          </w:tcPr>
          <w:p w14:paraId="32E5CD42"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35001ACB"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7.74e-08**</w:t>
            </w:r>
          </w:p>
        </w:tc>
        <w:tc>
          <w:tcPr>
            <w:tcW w:w="1559" w:type="dxa"/>
            <w:tcBorders>
              <w:top w:val="nil"/>
              <w:left w:val="nil"/>
              <w:bottom w:val="nil"/>
              <w:right w:val="nil"/>
            </w:tcBorders>
            <w:shd w:val="clear" w:color="000000" w:fill="FFFFFF"/>
            <w:noWrap/>
            <w:vAlign w:val="bottom"/>
            <w:hideMark/>
          </w:tcPr>
          <w:p w14:paraId="6010B1F7"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6.64e-08**</w:t>
            </w:r>
          </w:p>
        </w:tc>
        <w:tc>
          <w:tcPr>
            <w:tcW w:w="1559" w:type="dxa"/>
            <w:tcBorders>
              <w:top w:val="nil"/>
              <w:left w:val="nil"/>
              <w:bottom w:val="nil"/>
              <w:right w:val="nil"/>
            </w:tcBorders>
            <w:shd w:val="clear" w:color="000000" w:fill="FFFFFF"/>
            <w:noWrap/>
            <w:vAlign w:val="bottom"/>
            <w:hideMark/>
          </w:tcPr>
          <w:p w14:paraId="7B8830DC"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 </w:t>
            </w:r>
          </w:p>
        </w:tc>
      </w:tr>
      <w:tr w:rsidR="002640E4" w:rsidRPr="00986F85" w14:paraId="71FFB892" w14:textId="77777777" w:rsidTr="002640E4">
        <w:trPr>
          <w:trHeight w:val="260"/>
        </w:trPr>
        <w:tc>
          <w:tcPr>
            <w:tcW w:w="3580" w:type="dxa"/>
            <w:tcBorders>
              <w:top w:val="nil"/>
              <w:left w:val="nil"/>
              <w:bottom w:val="nil"/>
              <w:right w:val="nil"/>
            </w:tcBorders>
            <w:shd w:val="clear" w:color="auto" w:fill="auto"/>
            <w:noWrap/>
            <w:vAlign w:val="bottom"/>
            <w:hideMark/>
          </w:tcPr>
          <w:p w14:paraId="27348279" w14:textId="77777777" w:rsidR="002640E4" w:rsidRPr="00986F85" w:rsidRDefault="002640E4" w:rsidP="002640E4">
            <w:pPr>
              <w:suppressAutoHyphens w:val="0"/>
              <w:spacing w:after="0" w:line="240" w:lineRule="auto"/>
              <w:rPr>
                <w:rFonts w:eastAsia="Times New Roman" w:cs="Arial"/>
                <w:sz w:val="20"/>
                <w:szCs w:val="20"/>
                <w:lang w:val="en-US" w:eastAsia="en-US"/>
              </w:rPr>
            </w:pPr>
          </w:p>
        </w:tc>
        <w:tc>
          <w:tcPr>
            <w:tcW w:w="1580" w:type="dxa"/>
            <w:tcBorders>
              <w:top w:val="nil"/>
              <w:left w:val="nil"/>
              <w:bottom w:val="nil"/>
              <w:right w:val="nil"/>
            </w:tcBorders>
            <w:shd w:val="clear" w:color="000000" w:fill="FFFFFF"/>
            <w:noWrap/>
            <w:vAlign w:val="bottom"/>
            <w:hideMark/>
          </w:tcPr>
          <w:p w14:paraId="247E313A"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18" w:type="dxa"/>
            <w:tcBorders>
              <w:top w:val="nil"/>
              <w:left w:val="nil"/>
              <w:bottom w:val="nil"/>
              <w:right w:val="nil"/>
            </w:tcBorders>
            <w:shd w:val="clear" w:color="000000" w:fill="FFFFFF"/>
            <w:noWrap/>
            <w:vAlign w:val="bottom"/>
            <w:hideMark/>
          </w:tcPr>
          <w:p w14:paraId="18334CAC"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03112AB8"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(3.26e-08)</w:t>
            </w:r>
          </w:p>
        </w:tc>
        <w:tc>
          <w:tcPr>
            <w:tcW w:w="1559" w:type="dxa"/>
            <w:tcBorders>
              <w:top w:val="nil"/>
              <w:left w:val="nil"/>
              <w:bottom w:val="nil"/>
              <w:right w:val="nil"/>
            </w:tcBorders>
            <w:shd w:val="clear" w:color="000000" w:fill="FFFFFF"/>
            <w:noWrap/>
            <w:vAlign w:val="bottom"/>
            <w:hideMark/>
          </w:tcPr>
          <w:p w14:paraId="44A08C37"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(3.27e-08)</w:t>
            </w:r>
          </w:p>
        </w:tc>
        <w:tc>
          <w:tcPr>
            <w:tcW w:w="1559" w:type="dxa"/>
            <w:tcBorders>
              <w:top w:val="nil"/>
              <w:left w:val="nil"/>
              <w:bottom w:val="nil"/>
              <w:right w:val="nil"/>
            </w:tcBorders>
            <w:shd w:val="clear" w:color="000000" w:fill="FFFFFF"/>
            <w:noWrap/>
            <w:vAlign w:val="bottom"/>
            <w:hideMark/>
          </w:tcPr>
          <w:p w14:paraId="5E2FFCBD"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 </w:t>
            </w:r>
          </w:p>
        </w:tc>
      </w:tr>
      <w:tr w:rsidR="002640E4" w:rsidRPr="00986F85" w14:paraId="547D6AE3" w14:textId="77777777" w:rsidTr="002640E4">
        <w:trPr>
          <w:trHeight w:val="260"/>
        </w:trPr>
        <w:tc>
          <w:tcPr>
            <w:tcW w:w="3580" w:type="dxa"/>
            <w:tcBorders>
              <w:top w:val="nil"/>
              <w:left w:val="nil"/>
              <w:bottom w:val="nil"/>
              <w:right w:val="nil"/>
            </w:tcBorders>
            <w:shd w:val="clear" w:color="auto" w:fill="auto"/>
            <w:noWrap/>
            <w:vAlign w:val="bottom"/>
            <w:hideMark/>
          </w:tcPr>
          <w:p w14:paraId="7A58B80A"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Rövid lejáratú kötelezettségek</w:t>
            </w:r>
          </w:p>
        </w:tc>
        <w:tc>
          <w:tcPr>
            <w:tcW w:w="1580" w:type="dxa"/>
            <w:tcBorders>
              <w:top w:val="nil"/>
              <w:left w:val="nil"/>
              <w:bottom w:val="nil"/>
              <w:right w:val="nil"/>
            </w:tcBorders>
            <w:shd w:val="clear" w:color="000000" w:fill="FFFFFF"/>
            <w:noWrap/>
            <w:vAlign w:val="bottom"/>
            <w:hideMark/>
          </w:tcPr>
          <w:p w14:paraId="38995357"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18" w:type="dxa"/>
            <w:tcBorders>
              <w:top w:val="nil"/>
              <w:left w:val="nil"/>
              <w:bottom w:val="nil"/>
              <w:right w:val="nil"/>
            </w:tcBorders>
            <w:shd w:val="clear" w:color="000000" w:fill="FFFFFF"/>
            <w:noWrap/>
            <w:vAlign w:val="bottom"/>
            <w:hideMark/>
          </w:tcPr>
          <w:p w14:paraId="6D1F063F"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5A3F9054"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-1.40e-08</w:t>
            </w:r>
          </w:p>
        </w:tc>
        <w:tc>
          <w:tcPr>
            <w:tcW w:w="1559" w:type="dxa"/>
            <w:tcBorders>
              <w:top w:val="nil"/>
              <w:left w:val="nil"/>
              <w:bottom w:val="nil"/>
              <w:right w:val="nil"/>
            </w:tcBorders>
            <w:shd w:val="clear" w:color="000000" w:fill="FFFFFF"/>
            <w:noWrap/>
            <w:vAlign w:val="bottom"/>
            <w:hideMark/>
          </w:tcPr>
          <w:p w14:paraId="5390C0A7"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5.64e-10</w:t>
            </w:r>
          </w:p>
        </w:tc>
        <w:tc>
          <w:tcPr>
            <w:tcW w:w="1559" w:type="dxa"/>
            <w:tcBorders>
              <w:top w:val="nil"/>
              <w:left w:val="nil"/>
              <w:bottom w:val="nil"/>
              <w:right w:val="nil"/>
            </w:tcBorders>
            <w:shd w:val="clear" w:color="000000" w:fill="FFFFFF"/>
            <w:noWrap/>
            <w:vAlign w:val="bottom"/>
            <w:hideMark/>
          </w:tcPr>
          <w:p w14:paraId="733BB436"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 </w:t>
            </w:r>
          </w:p>
        </w:tc>
      </w:tr>
      <w:tr w:rsidR="002640E4" w:rsidRPr="00986F85" w14:paraId="3541F543" w14:textId="77777777" w:rsidTr="002640E4">
        <w:trPr>
          <w:trHeight w:val="260"/>
        </w:trPr>
        <w:tc>
          <w:tcPr>
            <w:tcW w:w="3580" w:type="dxa"/>
            <w:tcBorders>
              <w:top w:val="nil"/>
              <w:left w:val="nil"/>
              <w:bottom w:val="nil"/>
              <w:right w:val="nil"/>
            </w:tcBorders>
            <w:shd w:val="clear" w:color="auto" w:fill="auto"/>
            <w:noWrap/>
            <w:vAlign w:val="bottom"/>
            <w:hideMark/>
          </w:tcPr>
          <w:p w14:paraId="6A7A5643" w14:textId="77777777" w:rsidR="002640E4" w:rsidRPr="00986F85" w:rsidRDefault="002640E4" w:rsidP="002640E4">
            <w:pPr>
              <w:suppressAutoHyphens w:val="0"/>
              <w:spacing w:after="0" w:line="240" w:lineRule="auto"/>
              <w:rPr>
                <w:rFonts w:eastAsia="Times New Roman" w:cs="Arial"/>
                <w:sz w:val="20"/>
                <w:szCs w:val="20"/>
                <w:lang w:val="en-US" w:eastAsia="en-US"/>
              </w:rPr>
            </w:pPr>
          </w:p>
        </w:tc>
        <w:tc>
          <w:tcPr>
            <w:tcW w:w="1580" w:type="dxa"/>
            <w:tcBorders>
              <w:top w:val="nil"/>
              <w:left w:val="nil"/>
              <w:bottom w:val="nil"/>
              <w:right w:val="nil"/>
            </w:tcBorders>
            <w:shd w:val="clear" w:color="000000" w:fill="FFFFFF"/>
            <w:noWrap/>
            <w:vAlign w:val="bottom"/>
            <w:hideMark/>
          </w:tcPr>
          <w:p w14:paraId="724C3356"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18" w:type="dxa"/>
            <w:tcBorders>
              <w:top w:val="nil"/>
              <w:left w:val="nil"/>
              <w:bottom w:val="nil"/>
              <w:right w:val="nil"/>
            </w:tcBorders>
            <w:shd w:val="clear" w:color="000000" w:fill="FFFFFF"/>
            <w:noWrap/>
            <w:vAlign w:val="bottom"/>
            <w:hideMark/>
          </w:tcPr>
          <w:p w14:paraId="705A52C4"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54261207"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(1.84e-08)</w:t>
            </w:r>
          </w:p>
        </w:tc>
        <w:tc>
          <w:tcPr>
            <w:tcW w:w="1559" w:type="dxa"/>
            <w:tcBorders>
              <w:top w:val="nil"/>
              <w:left w:val="nil"/>
              <w:bottom w:val="nil"/>
              <w:right w:val="nil"/>
            </w:tcBorders>
            <w:shd w:val="clear" w:color="000000" w:fill="FFFFFF"/>
            <w:noWrap/>
            <w:vAlign w:val="bottom"/>
            <w:hideMark/>
          </w:tcPr>
          <w:p w14:paraId="538E74E0"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(1.94e-08)</w:t>
            </w:r>
          </w:p>
        </w:tc>
        <w:tc>
          <w:tcPr>
            <w:tcW w:w="1559" w:type="dxa"/>
            <w:tcBorders>
              <w:top w:val="nil"/>
              <w:left w:val="nil"/>
              <w:bottom w:val="nil"/>
              <w:right w:val="nil"/>
            </w:tcBorders>
            <w:shd w:val="clear" w:color="000000" w:fill="FFFFFF"/>
            <w:noWrap/>
            <w:vAlign w:val="bottom"/>
            <w:hideMark/>
          </w:tcPr>
          <w:p w14:paraId="1B26A984"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 </w:t>
            </w:r>
          </w:p>
        </w:tc>
      </w:tr>
      <w:tr w:rsidR="002640E4" w:rsidRPr="00986F85" w14:paraId="649F510D" w14:textId="77777777" w:rsidTr="002640E4">
        <w:trPr>
          <w:trHeight w:val="260"/>
        </w:trPr>
        <w:tc>
          <w:tcPr>
            <w:tcW w:w="3580" w:type="dxa"/>
            <w:tcBorders>
              <w:top w:val="nil"/>
              <w:left w:val="nil"/>
              <w:bottom w:val="nil"/>
              <w:right w:val="nil"/>
            </w:tcBorders>
            <w:shd w:val="clear" w:color="auto" w:fill="auto"/>
            <w:noWrap/>
            <w:vAlign w:val="bottom"/>
            <w:hideMark/>
          </w:tcPr>
          <w:p w14:paraId="3E6AC9AE"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Nettó árbevétel</w:t>
            </w:r>
          </w:p>
        </w:tc>
        <w:tc>
          <w:tcPr>
            <w:tcW w:w="1580" w:type="dxa"/>
            <w:tcBorders>
              <w:top w:val="nil"/>
              <w:left w:val="nil"/>
              <w:bottom w:val="nil"/>
              <w:right w:val="nil"/>
            </w:tcBorders>
            <w:shd w:val="clear" w:color="000000" w:fill="FFFFFF"/>
            <w:noWrap/>
            <w:vAlign w:val="bottom"/>
            <w:hideMark/>
          </w:tcPr>
          <w:p w14:paraId="21C7F6D9"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18" w:type="dxa"/>
            <w:tcBorders>
              <w:top w:val="nil"/>
              <w:left w:val="nil"/>
              <w:bottom w:val="nil"/>
              <w:right w:val="nil"/>
            </w:tcBorders>
            <w:shd w:val="clear" w:color="000000" w:fill="FFFFFF"/>
            <w:noWrap/>
            <w:vAlign w:val="bottom"/>
            <w:hideMark/>
          </w:tcPr>
          <w:p w14:paraId="0F55A61F"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63D2AB15"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1.47e-09</w:t>
            </w:r>
          </w:p>
        </w:tc>
        <w:tc>
          <w:tcPr>
            <w:tcW w:w="1559" w:type="dxa"/>
            <w:tcBorders>
              <w:top w:val="nil"/>
              <w:left w:val="nil"/>
              <w:bottom w:val="nil"/>
              <w:right w:val="nil"/>
            </w:tcBorders>
            <w:shd w:val="clear" w:color="000000" w:fill="FFFFFF"/>
            <w:noWrap/>
            <w:vAlign w:val="bottom"/>
            <w:hideMark/>
          </w:tcPr>
          <w:p w14:paraId="23FA2AD5"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4F49FDED"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 </w:t>
            </w:r>
          </w:p>
        </w:tc>
      </w:tr>
      <w:tr w:rsidR="002640E4" w:rsidRPr="00986F85" w14:paraId="3F293FB6" w14:textId="77777777" w:rsidTr="002640E4">
        <w:trPr>
          <w:trHeight w:val="260"/>
        </w:trPr>
        <w:tc>
          <w:tcPr>
            <w:tcW w:w="3580" w:type="dxa"/>
            <w:tcBorders>
              <w:top w:val="nil"/>
              <w:left w:val="nil"/>
              <w:bottom w:val="nil"/>
              <w:right w:val="nil"/>
            </w:tcBorders>
            <w:shd w:val="clear" w:color="auto" w:fill="auto"/>
            <w:noWrap/>
            <w:vAlign w:val="bottom"/>
            <w:hideMark/>
          </w:tcPr>
          <w:p w14:paraId="4EF54566" w14:textId="77777777" w:rsidR="002640E4" w:rsidRPr="00986F85" w:rsidRDefault="002640E4" w:rsidP="002640E4">
            <w:pPr>
              <w:suppressAutoHyphens w:val="0"/>
              <w:spacing w:after="0" w:line="240" w:lineRule="auto"/>
              <w:rPr>
                <w:rFonts w:eastAsia="Times New Roman" w:cs="Arial"/>
                <w:sz w:val="20"/>
                <w:szCs w:val="20"/>
                <w:lang w:val="en-US" w:eastAsia="en-US"/>
              </w:rPr>
            </w:pPr>
          </w:p>
        </w:tc>
        <w:tc>
          <w:tcPr>
            <w:tcW w:w="1580" w:type="dxa"/>
            <w:tcBorders>
              <w:top w:val="nil"/>
              <w:left w:val="nil"/>
              <w:bottom w:val="nil"/>
              <w:right w:val="nil"/>
            </w:tcBorders>
            <w:shd w:val="clear" w:color="000000" w:fill="FFFFFF"/>
            <w:noWrap/>
            <w:vAlign w:val="bottom"/>
            <w:hideMark/>
          </w:tcPr>
          <w:p w14:paraId="3274468D"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18" w:type="dxa"/>
            <w:tcBorders>
              <w:top w:val="nil"/>
              <w:left w:val="nil"/>
              <w:bottom w:val="nil"/>
              <w:right w:val="nil"/>
            </w:tcBorders>
            <w:shd w:val="clear" w:color="000000" w:fill="FFFFFF"/>
            <w:noWrap/>
            <w:vAlign w:val="bottom"/>
            <w:hideMark/>
          </w:tcPr>
          <w:p w14:paraId="31C369AA"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30B95B73"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(3.14e-09)</w:t>
            </w:r>
          </w:p>
        </w:tc>
        <w:tc>
          <w:tcPr>
            <w:tcW w:w="1559" w:type="dxa"/>
            <w:tcBorders>
              <w:top w:val="nil"/>
              <w:left w:val="nil"/>
              <w:bottom w:val="nil"/>
              <w:right w:val="nil"/>
            </w:tcBorders>
            <w:shd w:val="clear" w:color="000000" w:fill="FFFFFF"/>
            <w:noWrap/>
            <w:vAlign w:val="bottom"/>
            <w:hideMark/>
          </w:tcPr>
          <w:p w14:paraId="51F62990"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6BA54A88"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 </w:t>
            </w:r>
          </w:p>
        </w:tc>
      </w:tr>
      <w:tr w:rsidR="002640E4" w:rsidRPr="00986F85" w14:paraId="4D61CD8F" w14:textId="77777777" w:rsidTr="002640E4">
        <w:trPr>
          <w:trHeight w:val="260"/>
        </w:trPr>
        <w:tc>
          <w:tcPr>
            <w:tcW w:w="3580" w:type="dxa"/>
            <w:tcBorders>
              <w:top w:val="nil"/>
              <w:left w:val="nil"/>
              <w:bottom w:val="nil"/>
              <w:right w:val="nil"/>
            </w:tcBorders>
            <w:shd w:val="clear" w:color="auto" w:fill="auto"/>
            <w:noWrap/>
            <w:vAlign w:val="bottom"/>
            <w:hideMark/>
          </w:tcPr>
          <w:p w14:paraId="2C7E1025"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Export árbevétel</w:t>
            </w:r>
          </w:p>
        </w:tc>
        <w:tc>
          <w:tcPr>
            <w:tcW w:w="1580" w:type="dxa"/>
            <w:tcBorders>
              <w:top w:val="nil"/>
              <w:left w:val="nil"/>
              <w:bottom w:val="nil"/>
              <w:right w:val="nil"/>
            </w:tcBorders>
            <w:shd w:val="clear" w:color="000000" w:fill="FFFFFF"/>
            <w:noWrap/>
            <w:vAlign w:val="bottom"/>
            <w:hideMark/>
          </w:tcPr>
          <w:p w14:paraId="7B3E2BE9"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18" w:type="dxa"/>
            <w:tcBorders>
              <w:top w:val="nil"/>
              <w:left w:val="nil"/>
              <w:bottom w:val="nil"/>
              <w:right w:val="nil"/>
            </w:tcBorders>
            <w:shd w:val="clear" w:color="000000" w:fill="FFFFFF"/>
            <w:noWrap/>
            <w:vAlign w:val="bottom"/>
            <w:hideMark/>
          </w:tcPr>
          <w:p w14:paraId="1B278CFF"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5758D625"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061C3C89"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-9.28e-08**</w:t>
            </w:r>
          </w:p>
        </w:tc>
        <w:tc>
          <w:tcPr>
            <w:tcW w:w="1559" w:type="dxa"/>
            <w:tcBorders>
              <w:top w:val="nil"/>
              <w:left w:val="nil"/>
              <w:bottom w:val="nil"/>
              <w:right w:val="nil"/>
            </w:tcBorders>
            <w:shd w:val="clear" w:color="000000" w:fill="FFFFFF"/>
            <w:noWrap/>
            <w:vAlign w:val="bottom"/>
            <w:hideMark/>
          </w:tcPr>
          <w:p w14:paraId="044B0740"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 </w:t>
            </w:r>
          </w:p>
        </w:tc>
      </w:tr>
      <w:tr w:rsidR="002640E4" w:rsidRPr="00986F85" w14:paraId="188ACB40" w14:textId="77777777" w:rsidTr="002640E4">
        <w:trPr>
          <w:trHeight w:val="280"/>
        </w:trPr>
        <w:tc>
          <w:tcPr>
            <w:tcW w:w="3580" w:type="dxa"/>
            <w:tcBorders>
              <w:top w:val="nil"/>
              <w:left w:val="nil"/>
              <w:bottom w:val="nil"/>
              <w:right w:val="nil"/>
            </w:tcBorders>
            <w:shd w:val="clear" w:color="auto" w:fill="auto"/>
            <w:noWrap/>
            <w:vAlign w:val="bottom"/>
            <w:hideMark/>
          </w:tcPr>
          <w:p w14:paraId="3C17C057" w14:textId="77777777" w:rsidR="002640E4" w:rsidRPr="00986F85" w:rsidRDefault="002640E4" w:rsidP="002640E4">
            <w:pPr>
              <w:suppressAutoHyphens w:val="0"/>
              <w:spacing w:after="0" w:line="240" w:lineRule="auto"/>
              <w:rPr>
                <w:rFonts w:eastAsia="Times New Roman" w:cs="Arial"/>
                <w:sz w:val="20"/>
                <w:szCs w:val="20"/>
                <w:lang w:val="en-US" w:eastAsia="en-US"/>
              </w:rPr>
            </w:pPr>
          </w:p>
        </w:tc>
        <w:tc>
          <w:tcPr>
            <w:tcW w:w="1580" w:type="dxa"/>
            <w:tcBorders>
              <w:top w:val="nil"/>
              <w:left w:val="nil"/>
              <w:bottom w:val="nil"/>
              <w:right w:val="nil"/>
            </w:tcBorders>
            <w:shd w:val="clear" w:color="000000" w:fill="FFFFFF"/>
            <w:noWrap/>
            <w:vAlign w:val="bottom"/>
            <w:hideMark/>
          </w:tcPr>
          <w:p w14:paraId="763A97D4"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18" w:type="dxa"/>
            <w:tcBorders>
              <w:top w:val="nil"/>
              <w:left w:val="nil"/>
              <w:bottom w:val="nil"/>
              <w:right w:val="nil"/>
            </w:tcBorders>
            <w:shd w:val="clear" w:color="000000" w:fill="FFFFFF"/>
            <w:noWrap/>
            <w:vAlign w:val="bottom"/>
            <w:hideMark/>
          </w:tcPr>
          <w:p w14:paraId="40DF9222"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5BF5EE67"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04C7CD46"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(3.83e-08)</w:t>
            </w:r>
          </w:p>
        </w:tc>
        <w:tc>
          <w:tcPr>
            <w:tcW w:w="1559" w:type="dxa"/>
            <w:tcBorders>
              <w:top w:val="nil"/>
              <w:left w:val="nil"/>
              <w:bottom w:val="nil"/>
              <w:right w:val="nil"/>
            </w:tcBorders>
            <w:shd w:val="clear" w:color="000000" w:fill="FFFFFF"/>
            <w:noWrap/>
            <w:vAlign w:val="bottom"/>
            <w:hideMark/>
          </w:tcPr>
          <w:p w14:paraId="001AA078"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 </w:t>
            </w:r>
          </w:p>
        </w:tc>
      </w:tr>
      <w:tr w:rsidR="002640E4" w:rsidRPr="00986F85" w14:paraId="6CF3B85C" w14:textId="77777777" w:rsidTr="002640E4">
        <w:trPr>
          <w:trHeight w:val="260"/>
        </w:trPr>
        <w:tc>
          <w:tcPr>
            <w:tcW w:w="3580" w:type="dxa"/>
            <w:tcBorders>
              <w:top w:val="single" w:sz="8" w:space="0" w:color="BFBFBF"/>
              <w:left w:val="single" w:sz="8" w:space="0" w:color="BFBFBF"/>
              <w:bottom w:val="single" w:sz="8" w:space="0" w:color="BFBFBF"/>
              <w:right w:val="single" w:sz="8" w:space="0" w:color="BFBFBF"/>
            </w:tcBorders>
            <w:shd w:val="clear" w:color="000000" w:fill="FFFFFF"/>
            <w:vAlign w:val="center"/>
            <w:hideMark/>
          </w:tcPr>
          <w:p w14:paraId="1FA41DCF"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Jegyzett tőke (log)</w:t>
            </w:r>
          </w:p>
        </w:tc>
        <w:tc>
          <w:tcPr>
            <w:tcW w:w="1580" w:type="dxa"/>
            <w:tcBorders>
              <w:top w:val="nil"/>
              <w:left w:val="nil"/>
              <w:bottom w:val="nil"/>
              <w:right w:val="nil"/>
            </w:tcBorders>
            <w:shd w:val="clear" w:color="000000" w:fill="FFFFFF"/>
            <w:noWrap/>
            <w:vAlign w:val="bottom"/>
            <w:hideMark/>
          </w:tcPr>
          <w:p w14:paraId="761861F3"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18" w:type="dxa"/>
            <w:tcBorders>
              <w:top w:val="nil"/>
              <w:left w:val="nil"/>
              <w:bottom w:val="nil"/>
              <w:right w:val="nil"/>
            </w:tcBorders>
            <w:shd w:val="clear" w:color="000000" w:fill="FFFFFF"/>
            <w:noWrap/>
            <w:vAlign w:val="bottom"/>
            <w:hideMark/>
          </w:tcPr>
          <w:p w14:paraId="20728BD5"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656B3B39"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5DCBF988"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7530D1F6"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-0.00897</w:t>
            </w:r>
          </w:p>
        </w:tc>
      </w:tr>
      <w:tr w:rsidR="002640E4" w:rsidRPr="00986F85" w14:paraId="38F7F7FA" w14:textId="77777777" w:rsidTr="002640E4">
        <w:trPr>
          <w:trHeight w:val="260"/>
        </w:trPr>
        <w:tc>
          <w:tcPr>
            <w:tcW w:w="3580" w:type="dxa"/>
            <w:tcBorders>
              <w:top w:val="nil"/>
              <w:left w:val="single" w:sz="8" w:space="0" w:color="BFBFBF"/>
              <w:bottom w:val="single" w:sz="8" w:space="0" w:color="BFBFBF"/>
              <w:right w:val="single" w:sz="8" w:space="0" w:color="BFBFBF"/>
            </w:tcBorders>
            <w:shd w:val="clear" w:color="000000" w:fill="FFFFFF"/>
            <w:vAlign w:val="center"/>
            <w:hideMark/>
          </w:tcPr>
          <w:p w14:paraId="5CF49423"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 </w:t>
            </w:r>
          </w:p>
        </w:tc>
        <w:tc>
          <w:tcPr>
            <w:tcW w:w="1580" w:type="dxa"/>
            <w:tcBorders>
              <w:top w:val="nil"/>
              <w:left w:val="nil"/>
              <w:bottom w:val="nil"/>
              <w:right w:val="nil"/>
            </w:tcBorders>
            <w:shd w:val="clear" w:color="000000" w:fill="FFFFFF"/>
            <w:noWrap/>
            <w:vAlign w:val="bottom"/>
            <w:hideMark/>
          </w:tcPr>
          <w:p w14:paraId="2DE3E027"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18" w:type="dxa"/>
            <w:tcBorders>
              <w:top w:val="nil"/>
              <w:left w:val="nil"/>
              <w:bottom w:val="nil"/>
              <w:right w:val="nil"/>
            </w:tcBorders>
            <w:shd w:val="clear" w:color="000000" w:fill="FFFFFF"/>
            <w:noWrap/>
            <w:vAlign w:val="bottom"/>
            <w:hideMark/>
          </w:tcPr>
          <w:p w14:paraId="1A1AFF0E"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18B7691F"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4F48841B"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2C00E257"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(0.00737)</w:t>
            </w:r>
          </w:p>
        </w:tc>
      </w:tr>
      <w:tr w:rsidR="002640E4" w:rsidRPr="00986F85" w14:paraId="7D92AA26" w14:textId="77777777" w:rsidTr="002640E4">
        <w:trPr>
          <w:trHeight w:hRule="exact" w:val="260"/>
        </w:trPr>
        <w:tc>
          <w:tcPr>
            <w:tcW w:w="3580" w:type="dxa"/>
            <w:tcBorders>
              <w:top w:val="nil"/>
              <w:left w:val="single" w:sz="8" w:space="0" w:color="BFBFBF"/>
              <w:bottom w:val="single" w:sz="8" w:space="0" w:color="BFBFBF"/>
              <w:right w:val="single" w:sz="8" w:space="0" w:color="BFBFBF"/>
            </w:tcBorders>
            <w:shd w:val="clear" w:color="000000" w:fill="FFFFFF"/>
            <w:vAlign w:val="center"/>
            <w:hideMark/>
          </w:tcPr>
          <w:p w14:paraId="1BF0F987"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Tárgyi eszköz (log)</w:t>
            </w:r>
          </w:p>
        </w:tc>
        <w:tc>
          <w:tcPr>
            <w:tcW w:w="1580" w:type="dxa"/>
            <w:tcBorders>
              <w:top w:val="nil"/>
              <w:left w:val="nil"/>
              <w:bottom w:val="nil"/>
              <w:right w:val="nil"/>
            </w:tcBorders>
            <w:shd w:val="clear" w:color="000000" w:fill="FFFFFF"/>
            <w:noWrap/>
            <w:vAlign w:val="bottom"/>
            <w:hideMark/>
          </w:tcPr>
          <w:p w14:paraId="06A1835E"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18" w:type="dxa"/>
            <w:tcBorders>
              <w:top w:val="nil"/>
              <w:left w:val="nil"/>
              <w:bottom w:val="nil"/>
              <w:right w:val="nil"/>
            </w:tcBorders>
            <w:shd w:val="clear" w:color="000000" w:fill="FFFFFF"/>
            <w:noWrap/>
            <w:vAlign w:val="bottom"/>
            <w:hideMark/>
          </w:tcPr>
          <w:p w14:paraId="7D396005"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1D25ACD5"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49643B86"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254C5CD9"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0.212***</w:t>
            </w:r>
          </w:p>
        </w:tc>
      </w:tr>
      <w:tr w:rsidR="002640E4" w:rsidRPr="00986F85" w14:paraId="0D264A5B" w14:textId="77777777" w:rsidTr="002640E4">
        <w:trPr>
          <w:trHeight w:hRule="exact" w:val="260"/>
        </w:trPr>
        <w:tc>
          <w:tcPr>
            <w:tcW w:w="3580" w:type="dxa"/>
            <w:tcBorders>
              <w:top w:val="nil"/>
              <w:left w:val="single" w:sz="8" w:space="0" w:color="BFBFBF"/>
              <w:bottom w:val="single" w:sz="8" w:space="0" w:color="BFBFBF"/>
              <w:right w:val="single" w:sz="8" w:space="0" w:color="BFBFBF"/>
            </w:tcBorders>
            <w:shd w:val="clear" w:color="000000" w:fill="FFFFFF"/>
            <w:vAlign w:val="center"/>
            <w:hideMark/>
          </w:tcPr>
          <w:p w14:paraId="7E967248"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lastRenderedPageBreak/>
              <w:t> </w:t>
            </w:r>
          </w:p>
        </w:tc>
        <w:tc>
          <w:tcPr>
            <w:tcW w:w="1580" w:type="dxa"/>
            <w:tcBorders>
              <w:top w:val="nil"/>
              <w:left w:val="nil"/>
              <w:bottom w:val="nil"/>
              <w:right w:val="nil"/>
            </w:tcBorders>
            <w:shd w:val="clear" w:color="000000" w:fill="FFFFFF"/>
            <w:noWrap/>
            <w:vAlign w:val="bottom"/>
            <w:hideMark/>
          </w:tcPr>
          <w:p w14:paraId="6CAB255F"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18" w:type="dxa"/>
            <w:tcBorders>
              <w:top w:val="nil"/>
              <w:left w:val="nil"/>
              <w:bottom w:val="nil"/>
              <w:right w:val="nil"/>
            </w:tcBorders>
            <w:shd w:val="clear" w:color="000000" w:fill="FFFFFF"/>
            <w:noWrap/>
            <w:vAlign w:val="bottom"/>
            <w:hideMark/>
          </w:tcPr>
          <w:p w14:paraId="7CC59908"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438CBAEC"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08EBC2AF"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579869F9"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(0.0114)</w:t>
            </w:r>
          </w:p>
        </w:tc>
      </w:tr>
      <w:tr w:rsidR="002640E4" w:rsidRPr="00986F85" w14:paraId="38828DB7" w14:textId="77777777" w:rsidTr="002640E4">
        <w:trPr>
          <w:trHeight w:hRule="exact" w:val="260"/>
        </w:trPr>
        <w:tc>
          <w:tcPr>
            <w:tcW w:w="3580" w:type="dxa"/>
            <w:tcBorders>
              <w:top w:val="nil"/>
              <w:left w:val="single" w:sz="8" w:space="0" w:color="BFBFBF"/>
              <w:bottom w:val="single" w:sz="8" w:space="0" w:color="BFBFBF"/>
              <w:right w:val="single" w:sz="8" w:space="0" w:color="BFBFBF"/>
            </w:tcBorders>
            <w:shd w:val="clear" w:color="000000" w:fill="FFFFFF"/>
            <w:vAlign w:val="center"/>
            <w:hideMark/>
          </w:tcPr>
          <w:p w14:paraId="10FF30D2"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Árbevétel (log)</w:t>
            </w:r>
          </w:p>
        </w:tc>
        <w:tc>
          <w:tcPr>
            <w:tcW w:w="1580" w:type="dxa"/>
            <w:tcBorders>
              <w:top w:val="nil"/>
              <w:left w:val="nil"/>
              <w:bottom w:val="nil"/>
              <w:right w:val="nil"/>
            </w:tcBorders>
            <w:shd w:val="clear" w:color="000000" w:fill="FFFFFF"/>
            <w:noWrap/>
            <w:vAlign w:val="bottom"/>
            <w:hideMark/>
          </w:tcPr>
          <w:p w14:paraId="29009EC3"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18" w:type="dxa"/>
            <w:tcBorders>
              <w:top w:val="nil"/>
              <w:left w:val="nil"/>
              <w:bottom w:val="nil"/>
              <w:right w:val="nil"/>
            </w:tcBorders>
            <w:shd w:val="clear" w:color="000000" w:fill="FFFFFF"/>
            <w:noWrap/>
            <w:vAlign w:val="bottom"/>
            <w:hideMark/>
          </w:tcPr>
          <w:p w14:paraId="17D77AB4"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408B1964"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3359EE8A"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1C20FC7A"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0.139***</w:t>
            </w:r>
          </w:p>
        </w:tc>
      </w:tr>
      <w:tr w:rsidR="002640E4" w:rsidRPr="00986F85" w14:paraId="5CF075FF" w14:textId="77777777" w:rsidTr="002640E4">
        <w:trPr>
          <w:trHeight w:hRule="exact" w:val="260"/>
        </w:trPr>
        <w:tc>
          <w:tcPr>
            <w:tcW w:w="3580" w:type="dxa"/>
            <w:tcBorders>
              <w:top w:val="nil"/>
              <w:left w:val="single" w:sz="8" w:space="0" w:color="BFBFBF"/>
              <w:bottom w:val="single" w:sz="8" w:space="0" w:color="BFBFBF"/>
              <w:right w:val="single" w:sz="8" w:space="0" w:color="BFBFBF"/>
            </w:tcBorders>
            <w:shd w:val="clear" w:color="000000" w:fill="FFFFFF"/>
            <w:vAlign w:val="center"/>
            <w:hideMark/>
          </w:tcPr>
          <w:p w14:paraId="03838492"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 </w:t>
            </w:r>
          </w:p>
        </w:tc>
        <w:tc>
          <w:tcPr>
            <w:tcW w:w="1580" w:type="dxa"/>
            <w:tcBorders>
              <w:top w:val="nil"/>
              <w:left w:val="nil"/>
              <w:bottom w:val="nil"/>
              <w:right w:val="nil"/>
            </w:tcBorders>
            <w:shd w:val="clear" w:color="000000" w:fill="FFFFFF"/>
            <w:noWrap/>
            <w:vAlign w:val="bottom"/>
            <w:hideMark/>
          </w:tcPr>
          <w:p w14:paraId="67817568"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18" w:type="dxa"/>
            <w:tcBorders>
              <w:top w:val="nil"/>
              <w:left w:val="nil"/>
              <w:bottom w:val="nil"/>
              <w:right w:val="nil"/>
            </w:tcBorders>
            <w:shd w:val="clear" w:color="000000" w:fill="FFFFFF"/>
            <w:noWrap/>
            <w:vAlign w:val="bottom"/>
            <w:hideMark/>
          </w:tcPr>
          <w:p w14:paraId="6C82029A"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52AAB665"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7A24229F"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5751171C"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(0.0164)</w:t>
            </w:r>
          </w:p>
        </w:tc>
      </w:tr>
      <w:tr w:rsidR="002640E4" w:rsidRPr="00986F85" w14:paraId="4A31A646" w14:textId="77777777" w:rsidTr="002640E4">
        <w:trPr>
          <w:trHeight w:hRule="exact" w:val="260"/>
        </w:trPr>
        <w:tc>
          <w:tcPr>
            <w:tcW w:w="3580" w:type="dxa"/>
            <w:tcBorders>
              <w:top w:val="nil"/>
              <w:left w:val="single" w:sz="8" w:space="0" w:color="BFBFBF"/>
              <w:bottom w:val="single" w:sz="8" w:space="0" w:color="BFBFBF"/>
              <w:right w:val="single" w:sz="8" w:space="0" w:color="BFBFBF"/>
            </w:tcBorders>
            <w:shd w:val="clear" w:color="000000" w:fill="FFFFFF"/>
            <w:vAlign w:val="center"/>
            <w:hideMark/>
          </w:tcPr>
          <w:p w14:paraId="0FEB95E6"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Hozzáadott érték (log)</w:t>
            </w:r>
          </w:p>
        </w:tc>
        <w:tc>
          <w:tcPr>
            <w:tcW w:w="1580" w:type="dxa"/>
            <w:tcBorders>
              <w:top w:val="nil"/>
              <w:left w:val="nil"/>
              <w:bottom w:val="nil"/>
              <w:right w:val="nil"/>
            </w:tcBorders>
            <w:shd w:val="clear" w:color="000000" w:fill="FFFFFF"/>
            <w:noWrap/>
            <w:vAlign w:val="bottom"/>
            <w:hideMark/>
          </w:tcPr>
          <w:p w14:paraId="5BE25F5C"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18" w:type="dxa"/>
            <w:tcBorders>
              <w:top w:val="nil"/>
              <w:left w:val="nil"/>
              <w:bottom w:val="nil"/>
              <w:right w:val="nil"/>
            </w:tcBorders>
            <w:shd w:val="clear" w:color="000000" w:fill="FFFFFF"/>
            <w:noWrap/>
            <w:vAlign w:val="bottom"/>
            <w:hideMark/>
          </w:tcPr>
          <w:p w14:paraId="16713F37"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1192DEF3"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4A7FCC12"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23C4A66F"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-0.0390*</w:t>
            </w:r>
          </w:p>
        </w:tc>
      </w:tr>
      <w:tr w:rsidR="002640E4" w:rsidRPr="00986F85" w14:paraId="3755D96C" w14:textId="77777777" w:rsidTr="002640E4">
        <w:trPr>
          <w:trHeight w:hRule="exact" w:val="260"/>
        </w:trPr>
        <w:tc>
          <w:tcPr>
            <w:tcW w:w="3580" w:type="dxa"/>
            <w:tcBorders>
              <w:top w:val="nil"/>
              <w:left w:val="single" w:sz="8" w:space="0" w:color="BFBFBF"/>
              <w:bottom w:val="single" w:sz="8" w:space="0" w:color="BFBFBF"/>
              <w:right w:val="single" w:sz="8" w:space="0" w:color="BFBFBF"/>
            </w:tcBorders>
            <w:shd w:val="clear" w:color="000000" w:fill="FFFFFF"/>
            <w:vAlign w:val="center"/>
            <w:hideMark/>
          </w:tcPr>
          <w:p w14:paraId="6DC49CE0"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 </w:t>
            </w:r>
          </w:p>
        </w:tc>
        <w:tc>
          <w:tcPr>
            <w:tcW w:w="1580" w:type="dxa"/>
            <w:tcBorders>
              <w:top w:val="nil"/>
              <w:left w:val="nil"/>
              <w:bottom w:val="nil"/>
              <w:right w:val="nil"/>
            </w:tcBorders>
            <w:shd w:val="clear" w:color="000000" w:fill="FFFFFF"/>
            <w:noWrap/>
            <w:vAlign w:val="bottom"/>
            <w:hideMark/>
          </w:tcPr>
          <w:p w14:paraId="2AC32839"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18" w:type="dxa"/>
            <w:tcBorders>
              <w:top w:val="nil"/>
              <w:left w:val="nil"/>
              <w:bottom w:val="nil"/>
              <w:right w:val="nil"/>
            </w:tcBorders>
            <w:shd w:val="clear" w:color="000000" w:fill="FFFFFF"/>
            <w:noWrap/>
            <w:vAlign w:val="bottom"/>
            <w:hideMark/>
          </w:tcPr>
          <w:p w14:paraId="1BEAED73"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1EA406FB"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15AC997D"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1988FCC5"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(0.0209)</w:t>
            </w:r>
          </w:p>
        </w:tc>
      </w:tr>
      <w:tr w:rsidR="002640E4" w:rsidRPr="00986F85" w14:paraId="6EDC9EF6" w14:textId="77777777" w:rsidTr="002640E4">
        <w:trPr>
          <w:trHeight w:hRule="exact" w:val="260"/>
        </w:trPr>
        <w:tc>
          <w:tcPr>
            <w:tcW w:w="3580" w:type="dxa"/>
            <w:tcBorders>
              <w:top w:val="nil"/>
              <w:left w:val="nil"/>
              <w:bottom w:val="nil"/>
              <w:right w:val="nil"/>
            </w:tcBorders>
            <w:shd w:val="clear" w:color="auto" w:fill="auto"/>
            <w:noWrap/>
            <w:vAlign w:val="bottom"/>
            <w:hideMark/>
          </w:tcPr>
          <w:p w14:paraId="7382E57D" w14:textId="77777777" w:rsidR="002640E4" w:rsidRPr="00986F85" w:rsidRDefault="002640E4" w:rsidP="002640E4">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Konstans</w:t>
            </w:r>
          </w:p>
        </w:tc>
        <w:tc>
          <w:tcPr>
            <w:tcW w:w="1580" w:type="dxa"/>
            <w:tcBorders>
              <w:top w:val="nil"/>
              <w:left w:val="nil"/>
              <w:bottom w:val="nil"/>
              <w:right w:val="nil"/>
            </w:tcBorders>
            <w:shd w:val="clear" w:color="000000" w:fill="FFFFFF"/>
            <w:noWrap/>
            <w:vAlign w:val="bottom"/>
            <w:hideMark/>
          </w:tcPr>
          <w:p w14:paraId="7FAAE3C4"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-1.671***</w:t>
            </w:r>
          </w:p>
        </w:tc>
        <w:tc>
          <w:tcPr>
            <w:tcW w:w="1518" w:type="dxa"/>
            <w:tcBorders>
              <w:top w:val="nil"/>
              <w:left w:val="nil"/>
              <w:bottom w:val="nil"/>
              <w:right w:val="nil"/>
            </w:tcBorders>
            <w:shd w:val="clear" w:color="000000" w:fill="FFFFFF"/>
            <w:noWrap/>
            <w:vAlign w:val="bottom"/>
            <w:hideMark/>
          </w:tcPr>
          <w:p w14:paraId="59F0E40B"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-2.089***</w:t>
            </w:r>
          </w:p>
        </w:tc>
        <w:tc>
          <w:tcPr>
            <w:tcW w:w="1559" w:type="dxa"/>
            <w:tcBorders>
              <w:top w:val="nil"/>
              <w:left w:val="nil"/>
              <w:bottom w:val="nil"/>
              <w:right w:val="nil"/>
            </w:tcBorders>
            <w:shd w:val="clear" w:color="000000" w:fill="FFFFFF"/>
            <w:noWrap/>
            <w:vAlign w:val="bottom"/>
            <w:hideMark/>
          </w:tcPr>
          <w:p w14:paraId="09694DFF"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-2.083***</w:t>
            </w:r>
          </w:p>
        </w:tc>
        <w:tc>
          <w:tcPr>
            <w:tcW w:w="1559" w:type="dxa"/>
            <w:tcBorders>
              <w:top w:val="nil"/>
              <w:left w:val="nil"/>
              <w:bottom w:val="nil"/>
              <w:right w:val="nil"/>
            </w:tcBorders>
            <w:shd w:val="clear" w:color="000000" w:fill="FFFFFF"/>
            <w:noWrap/>
            <w:vAlign w:val="bottom"/>
            <w:hideMark/>
          </w:tcPr>
          <w:p w14:paraId="27E1D481"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-2.097***</w:t>
            </w:r>
          </w:p>
        </w:tc>
        <w:tc>
          <w:tcPr>
            <w:tcW w:w="1559" w:type="dxa"/>
            <w:tcBorders>
              <w:top w:val="nil"/>
              <w:left w:val="nil"/>
              <w:bottom w:val="nil"/>
              <w:right w:val="nil"/>
            </w:tcBorders>
            <w:shd w:val="clear" w:color="000000" w:fill="FFFFFF"/>
            <w:noWrap/>
            <w:vAlign w:val="bottom"/>
            <w:hideMark/>
          </w:tcPr>
          <w:p w14:paraId="1DA21A6E"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-4.797***</w:t>
            </w:r>
          </w:p>
        </w:tc>
      </w:tr>
      <w:tr w:rsidR="002640E4" w:rsidRPr="00986F85" w14:paraId="4B3BF409" w14:textId="77777777" w:rsidTr="002640E4">
        <w:trPr>
          <w:trHeight w:val="240"/>
        </w:trPr>
        <w:tc>
          <w:tcPr>
            <w:tcW w:w="3580" w:type="dxa"/>
            <w:tcBorders>
              <w:top w:val="nil"/>
              <w:left w:val="nil"/>
              <w:bottom w:val="nil"/>
              <w:right w:val="nil"/>
            </w:tcBorders>
            <w:shd w:val="clear" w:color="000000" w:fill="FFFFFF"/>
            <w:noWrap/>
            <w:vAlign w:val="bottom"/>
            <w:hideMark/>
          </w:tcPr>
          <w:p w14:paraId="20CB3BA1"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80" w:type="dxa"/>
            <w:tcBorders>
              <w:top w:val="nil"/>
              <w:left w:val="nil"/>
              <w:bottom w:val="nil"/>
              <w:right w:val="nil"/>
            </w:tcBorders>
            <w:shd w:val="clear" w:color="000000" w:fill="FFFFFF"/>
            <w:noWrap/>
            <w:vAlign w:val="bottom"/>
            <w:hideMark/>
          </w:tcPr>
          <w:p w14:paraId="2FBB577F"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(0.131)</w:t>
            </w:r>
          </w:p>
        </w:tc>
        <w:tc>
          <w:tcPr>
            <w:tcW w:w="1518" w:type="dxa"/>
            <w:tcBorders>
              <w:top w:val="nil"/>
              <w:left w:val="nil"/>
              <w:bottom w:val="nil"/>
              <w:right w:val="nil"/>
            </w:tcBorders>
            <w:shd w:val="clear" w:color="000000" w:fill="FFFFFF"/>
            <w:noWrap/>
            <w:vAlign w:val="bottom"/>
            <w:hideMark/>
          </w:tcPr>
          <w:p w14:paraId="41186BF8"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(0.136)</w:t>
            </w:r>
          </w:p>
        </w:tc>
        <w:tc>
          <w:tcPr>
            <w:tcW w:w="1559" w:type="dxa"/>
            <w:tcBorders>
              <w:top w:val="nil"/>
              <w:left w:val="nil"/>
              <w:bottom w:val="nil"/>
              <w:right w:val="nil"/>
            </w:tcBorders>
            <w:shd w:val="clear" w:color="000000" w:fill="FFFFFF"/>
            <w:noWrap/>
            <w:vAlign w:val="bottom"/>
            <w:hideMark/>
          </w:tcPr>
          <w:p w14:paraId="60F2D1D9"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(0.136)</w:t>
            </w:r>
          </w:p>
        </w:tc>
        <w:tc>
          <w:tcPr>
            <w:tcW w:w="1559" w:type="dxa"/>
            <w:tcBorders>
              <w:top w:val="nil"/>
              <w:left w:val="nil"/>
              <w:bottom w:val="nil"/>
              <w:right w:val="nil"/>
            </w:tcBorders>
            <w:shd w:val="clear" w:color="000000" w:fill="FFFFFF"/>
            <w:noWrap/>
            <w:vAlign w:val="bottom"/>
            <w:hideMark/>
          </w:tcPr>
          <w:p w14:paraId="5E6959FB"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(0.137)</w:t>
            </w:r>
          </w:p>
        </w:tc>
        <w:tc>
          <w:tcPr>
            <w:tcW w:w="1559" w:type="dxa"/>
            <w:tcBorders>
              <w:top w:val="nil"/>
              <w:left w:val="nil"/>
              <w:bottom w:val="nil"/>
              <w:right w:val="nil"/>
            </w:tcBorders>
            <w:shd w:val="clear" w:color="000000" w:fill="FFFFFF"/>
            <w:noWrap/>
            <w:vAlign w:val="bottom"/>
            <w:hideMark/>
          </w:tcPr>
          <w:p w14:paraId="0AADDE75"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(0.204)</w:t>
            </w:r>
          </w:p>
        </w:tc>
      </w:tr>
      <w:tr w:rsidR="002640E4" w:rsidRPr="00986F85" w14:paraId="5E2446BD" w14:textId="77777777" w:rsidTr="002640E4">
        <w:trPr>
          <w:trHeight w:val="240"/>
        </w:trPr>
        <w:tc>
          <w:tcPr>
            <w:tcW w:w="3580" w:type="dxa"/>
            <w:tcBorders>
              <w:top w:val="nil"/>
              <w:left w:val="nil"/>
              <w:bottom w:val="nil"/>
              <w:right w:val="nil"/>
            </w:tcBorders>
            <w:shd w:val="clear" w:color="000000" w:fill="FFFFFF"/>
            <w:noWrap/>
            <w:vAlign w:val="bottom"/>
            <w:hideMark/>
          </w:tcPr>
          <w:p w14:paraId="560DECB0"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80" w:type="dxa"/>
            <w:tcBorders>
              <w:top w:val="nil"/>
              <w:left w:val="nil"/>
              <w:bottom w:val="nil"/>
              <w:right w:val="nil"/>
            </w:tcBorders>
            <w:shd w:val="clear" w:color="000000" w:fill="FFFFFF"/>
            <w:noWrap/>
            <w:vAlign w:val="bottom"/>
            <w:hideMark/>
          </w:tcPr>
          <w:p w14:paraId="6F3DF998"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18" w:type="dxa"/>
            <w:tcBorders>
              <w:top w:val="nil"/>
              <w:left w:val="nil"/>
              <w:bottom w:val="nil"/>
              <w:right w:val="nil"/>
            </w:tcBorders>
            <w:shd w:val="clear" w:color="000000" w:fill="FFFFFF"/>
            <w:noWrap/>
            <w:vAlign w:val="bottom"/>
            <w:hideMark/>
          </w:tcPr>
          <w:p w14:paraId="379D3E5F"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266E899F"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79A25AB2" w14:textId="77777777" w:rsidR="002640E4" w:rsidRPr="00986F85" w:rsidRDefault="002640E4" w:rsidP="002640E4">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647E58DF" w14:textId="77777777" w:rsidR="002640E4" w:rsidRPr="00986F85" w:rsidRDefault="002640E4" w:rsidP="002640E4">
            <w:pPr>
              <w:suppressAutoHyphens w:val="0"/>
              <w:spacing w:after="0" w:line="240" w:lineRule="auto"/>
              <w:jc w:val="center"/>
              <w:rPr>
                <w:rFonts w:eastAsia="Times New Roman" w:cs="Arial"/>
                <w:b/>
                <w:bCs/>
                <w:sz w:val="20"/>
                <w:szCs w:val="20"/>
                <w:lang w:val="en-US" w:eastAsia="en-US"/>
              </w:rPr>
            </w:pPr>
            <w:r w:rsidRPr="00986F85">
              <w:rPr>
                <w:rFonts w:eastAsia="Times New Roman" w:cs="Arial"/>
                <w:b/>
                <w:bCs/>
                <w:sz w:val="20"/>
                <w:szCs w:val="20"/>
                <w:lang w:val="en-US" w:eastAsia="en-US"/>
              </w:rPr>
              <w:t> </w:t>
            </w:r>
          </w:p>
        </w:tc>
      </w:tr>
      <w:tr w:rsidR="002640E4" w:rsidRPr="00986F85" w14:paraId="4CCB5AE1" w14:textId="77777777" w:rsidTr="002640E4">
        <w:trPr>
          <w:trHeight w:val="260"/>
        </w:trPr>
        <w:tc>
          <w:tcPr>
            <w:tcW w:w="3580" w:type="dxa"/>
            <w:tcBorders>
              <w:top w:val="nil"/>
              <w:left w:val="nil"/>
              <w:bottom w:val="single" w:sz="4" w:space="0" w:color="auto"/>
              <w:right w:val="nil"/>
            </w:tcBorders>
            <w:shd w:val="clear" w:color="auto" w:fill="auto"/>
            <w:noWrap/>
            <w:vAlign w:val="bottom"/>
            <w:hideMark/>
          </w:tcPr>
          <w:p w14:paraId="30BAB7CC" w14:textId="77777777" w:rsidR="002640E4" w:rsidRPr="00986F85" w:rsidRDefault="002640E4" w:rsidP="002640E4">
            <w:pPr>
              <w:suppressAutoHyphens w:val="0"/>
              <w:spacing w:after="0" w:line="240" w:lineRule="auto"/>
              <w:rPr>
                <w:rFonts w:eastAsia="Times New Roman" w:cs="Arial"/>
                <w:i/>
                <w:iCs/>
                <w:sz w:val="20"/>
                <w:szCs w:val="20"/>
                <w:lang w:val="en-US" w:eastAsia="en-US"/>
              </w:rPr>
            </w:pPr>
            <w:r w:rsidRPr="00986F85">
              <w:rPr>
                <w:rFonts w:eastAsia="Times New Roman" w:cs="Arial"/>
                <w:i/>
                <w:iCs/>
                <w:sz w:val="20"/>
                <w:szCs w:val="20"/>
                <w:lang w:val="en-US" w:eastAsia="en-US"/>
              </w:rPr>
              <w:t>Minta elemszáma</w:t>
            </w:r>
          </w:p>
        </w:tc>
        <w:tc>
          <w:tcPr>
            <w:tcW w:w="1580" w:type="dxa"/>
            <w:tcBorders>
              <w:top w:val="nil"/>
              <w:left w:val="nil"/>
              <w:bottom w:val="single" w:sz="4" w:space="0" w:color="auto"/>
              <w:right w:val="nil"/>
            </w:tcBorders>
            <w:shd w:val="clear" w:color="000000" w:fill="FFFFFF"/>
            <w:noWrap/>
            <w:vAlign w:val="bottom"/>
            <w:hideMark/>
          </w:tcPr>
          <w:p w14:paraId="0629DF9C" w14:textId="77777777" w:rsidR="002640E4" w:rsidRPr="00986F85" w:rsidRDefault="002640E4" w:rsidP="002640E4">
            <w:pPr>
              <w:suppressAutoHyphens w:val="0"/>
              <w:spacing w:after="0" w:line="240" w:lineRule="auto"/>
              <w:jc w:val="center"/>
              <w:rPr>
                <w:rFonts w:eastAsia="Times New Roman" w:cs="Arial"/>
                <w:i/>
                <w:iCs/>
                <w:sz w:val="20"/>
                <w:szCs w:val="20"/>
                <w:lang w:val="en-US" w:eastAsia="en-US"/>
              </w:rPr>
            </w:pPr>
            <w:r w:rsidRPr="00986F85">
              <w:rPr>
                <w:rFonts w:eastAsia="Times New Roman" w:cs="Arial"/>
                <w:i/>
                <w:iCs/>
                <w:sz w:val="20"/>
                <w:szCs w:val="20"/>
                <w:lang w:val="en-US" w:eastAsia="en-US"/>
              </w:rPr>
              <w:t>44,380</w:t>
            </w:r>
          </w:p>
        </w:tc>
        <w:tc>
          <w:tcPr>
            <w:tcW w:w="1518" w:type="dxa"/>
            <w:tcBorders>
              <w:top w:val="nil"/>
              <w:left w:val="nil"/>
              <w:bottom w:val="single" w:sz="4" w:space="0" w:color="auto"/>
              <w:right w:val="nil"/>
            </w:tcBorders>
            <w:shd w:val="clear" w:color="000000" w:fill="FFFFFF"/>
            <w:noWrap/>
            <w:vAlign w:val="bottom"/>
            <w:hideMark/>
          </w:tcPr>
          <w:p w14:paraId="0F7416A0" w14:textId="77777777" w:rsidR="002640E4" w:rsidRPr="00986F85" w:rsidRDefault="002640E4" w:rsidP="002640E4">
            <w:pPr>
              <w:suppressAutoHyphens w:val="0"/>
              <w:spacing w:after="0" w:line="240" w:lineRule="auto"/>
              <w:jc w:val="center"/>
              <w:rPr>
                <w:rFonts w:eastAsia="Times New Roman" w:cs="Arial"/>
                <w:i/>
                <w:iCs/>
                <w:sz w:val="20"/>
                <w:szCs w:val="20"/>
                <w:lang w:val="en-US" w:eastAsia="en-US"/>
              </w:rPr>
            </w:pPr>
            <w:r w:rsidRPr="00986F85">
              <w:rPr>
                <w:rFonts w:eastAsia="Times New Roman" w:cs="Arial"/>
                <w:i/>
                <w:iCs/>
                <w:sz w:val="20"/>
                <w:szCs w:val="20"/>
                <w:lang w:val="en-US" w:eastAsia="en-US"/>
              </w:rPr>
              <w:t>44,027</w:t>
            </w:r>
          </w:p>
        </w:tc>
        <w:tc>
          <w:tcPr>
            <w:tcW w:w="1559" w:type="dxa"/>
            <w:tcBorders>
              <w:top w:val="nil"/>
              <w:left w:val="nil"/>
              <w:bottom w:val="single" w:sz="4" w:space="0" w:color="auto"/>
              <w:right w:val="nil"/>
            </w:tcBorders>
            <w:shd w:val="clear" w:color="000000" w:fill="FFFFFF"/>
            <w:noWrap/>
            <w:vAlign w:val="bottom"/>
            <w:hideMark/>
          </w:tcPr>
          <w:p w14:paraId="7394BF61" w14:textId="77777777" w:rsidR="002640E4" w:rsidRPr="00986F85" w:rsidRDefault="002640E4" w:rsidP="002640E4">
            <w:pPr>
              <w:suppressAutoHyphens w:val="0"/>
              <w:spacing w:after="0" w:line="240" w:lineRule="auto"/>
              <w:jc w:val="center"/>
              <w:rPr>
                <w:rFonts w:eastAsia="Times New Roman" w:cs="Arial"/>
                <w:i/>
                <w:iCs/>
                <w:sz w:val="20"/>
                <w:szCs w:val="20"/>
                <w:lang w:val="en-US" w:eastAsia="en-US"/>
              </w:rPr>
            </w:pPr>
            <w:r w:rsidRPr="00986F85">
              <w:rPr>
                <w:rFonts w:eastAsia="Times New Roman" w:cs="Arial"/>
                <w:i/>
                <w:iCs/>
                <w:sz w:val="20"/>
                <w:szCs w:val="20"/>
                <w:lang w:val="en-US" w:eastAsia="en-US"/>
              </w:rPr>
              <w:t>44,027</w:t>
            </w:r>
          </w:p>
        </w:tc>
        <w:tc>
          <w:tcPr>
            <w:tcW w:w="1559" w:type="dxa"/>
            <w:tcBorders>
              <w:top w:val="nil"/>
              <w:left w:val="nil"/>
              <w:bottom w:val="single" w:sz="4" w:space="0" w:color="auto"/>
              <w:right w:val="nil"/>
            </w:tcBorders>
            <w:shd w:val="clear" w:color="000000" w:fill="FFFFFF"/>
            <w:noWrap/>
            <w:vAlign w:val="bottom"/>
            <w:hideMark/>
          </w:tcPr>
          <w:p w14:paraId="2C7EE27A" w14:textId="77777777" w:rsidR="002640E4" w:rsidRPr="00986F85" w:rsidRDefault="002640E4" w:rsidP="002640E4">
            <w:pPr>
              <w:suppressAutoHyphens w:val="0"/>
              <w:spacing w:after="0" w:line="240" w:lineRule="auto"/>
              <w:jc w:val="center"/>
              <w:rPr>
                <w:rFonts w:eastAsia="Times New Roman" w:cs="Arial"/>
                <w:i/>
                <w:iCs/>
                <w:sz w:val="20"/>
                <w:szCs w:val="20"/>
                <w:lang w:val="en-US" w:eastAsia="en-US"/>
              </w:rPr>
            </w:pPr>
            <w:r w:rsidRPr="00986F85">
              <w:rPr>
                <w:rFonts w:eastAsia="Times New Roman" w:cs="Arial"/>
                <w:i/>
                <w:iCs/>
                <w:sz w:val="20"/>
                <w:szCs w:val="20"/>
                <w:lang w:val="en-US" w:eastAsia="en-US"/>
              </w:rPr>
              <w:t>44,027</w:t>
            </w:r>
          </w:p>
        </w:tc>
        <w:tc>
          <w:tcPr>
            <w:tcW w:w="1559" w:type="dxa"/>
            <w:tcBorders>
              <w:top w:val="nil"/>
              <w:left w:val="nil"/>
              <w:bottom w:val="single" w:sz="4" w:space="0" w:color="auto"/>
              <w:right w:val="nil"/>
            </w:tcBorders>
            <w:shd w:val="clear" w:color="000000" w:fill="FFFFFF"/>
            <w:noWrap/>
            <w:vAlign w:val="bottom"/>
            <w:hideMark/>
          </w:tcPr>
          <w:p w14:paraId="1AC32E13" w14:textId="77777777" w:rsidR="002640E4" w:rsidRPr="00986F85" w:rsidRDefault="002640E4" w:rsidP="002640E4">
            <w:pPr>
              <w:suppressAutoHyphens w:val="0"/>
              <w:spacing w:after="0" w:line="240" w:lineRule="auto"/>
              <w:jc w:val="center"/>
              <w:rPr>
                <w:rFonts w:eastAsia="Times New Roman" w:cs="Arial"/>
                <w:b/>
                <w:bCs/>
                <w:i/>
                <w:iCs/>
                <w:sz w:val="20"/>
                <w:szCs w:val="20"/>
                <w:lang w:val="en-US" w:eastAsia="en-US"/>
              </w:rPr>
            </w:pPr>
            <w:r w:rsidRPr="00986F85">
              <w:rPr>
                <w:rFonts w:eastAsia="Times New Roman" w:cs="Arial"/>
                <w:b/>
                <w:bCs/>
                <w:i/>
                <w:iCs/>
                <w:sz w:val="20"/>
                <w:szCs w:val="20"/>
                <w:lang w:val="en-US" w:eastAsia="en-US"/>
              </w:rPr>
              <w:t>41,969</w:t>
            </w:r>
          </w:p>
        </w:tc>
      </w:tr>
      <w:tr w:rsidR="002640E4" w:rsidRPr="00986F85" w14:paraId="7DEAC07E" w14:textId="77777777" w:rsidTr="002640E4">
        <w:trPr>
          <w:trHeight w:val="260"/>
        </w:trPr>
        <w:tc>
          <w:tcPr>
            <w:tcW w:w="3580" w:type="dxa"/>
            <w:tcBorders>
              <w:top w:val="nil"/>
              <w:left w:val="nil"/>
              <w:bottom w:val="nil"/>
              <w:right w:val="nil"/>
            </w:tcBorders>
            <w:shd w:val="clear" w:color="auto" w:fill="auto"/>
            <w:noWrap/>
            <w:vAlign w:val="bottom"/>
            <w:hideMark/>
          </w:tcPr>
          <w:p w14:paraId="306A4A9F" w14:textId="77777777" w:rsidR="002640E4" w:rsidRPr="00986F85" w:rsidRDefault="002640E4" w:rsidP="002640E4">
            <w:pPr>
              <w:suppressAutoHyphens w:val="0"/>
              <w:spacing w:after="0" w:line="240" w:lineRule="auto"/>
              <w:rPr>
                <w:rFonts w:eastAsia="Times New Roman" w:cs="Arial"/>
                <w:i/>
                <w:iCs/>
                <w:sz w:val="20"/>
                <w:szCs w:val="20"/>
                <w:lang w:val="en-US" w:eastAsia="en-US"/>
              </w:rPr>
            </w:pPr>
            <w:r w:rsidRPr="00986F85">
              <w:rPr>
                <w:rFonts w:eastAsia="Times New Roman" w:cs="Arial"/>
                <w:i/>
                <w:iCs/>
                <w:sz w:val="20"/>
                <w:szCs w:val="20"/>
                <w:lang w:val="en-US" w:eastAsia="en-US"/>
              </w:rPr>
              <w:t>Standard hibák zárójelben.</w:t>
            </w:r>
          </w:p>
        </w:tc>
        <w:tc>
          <w:tcPr>
            <w:tcW w:w="1580" w:type="dxa"/>
            <w:tcBorders>
              <w:top w:val="nil"/>
              <w:left w:val="nil"/>
              <w:bottom w:val="nil"/>
              <w:right w:val="nil"/>
            </w:tcBorders>
            <w:shd w:val="clear" w:color="000000" w:fill="FFFFFF"/>
            <w:noWrap/>
            <w:vAlign w:val="bottom"/>
            <w:hideMark/>
          </w:tcPr>
          <w:p w14:paraId="78BD8A47" w14:textId="77777777" w:rsidR="002640E4" w:rsidRPr="00986F85" w:rsidRDefault="002640E4" w:rsidP="002640E4">
            <w:pPr>
              <w:suppressAutoHyphens w:val="0"/>
              <w:spacing w:after="0" w:line="240" w:lineRule="auto"/>
              <w:rPr>
                <w:rFonts w:eastAsia="Times New Roman" w:cs="Arial"/>
                <w:i/>
                <w:iCs/>
                <w:sz w:val="20"/>
                <w:szCs w:val="20"/>
                <w:lang w:val="en-US" w:eastAsia="en-US"/>
              </w:rPr>
            </w:pPr>
            <w:r w:rsidRPr="00986F85">
              <w:rPr>
                <w:rFonts w:eastAsia="Times New Roman" w:cs="Arial"/>
                <w:i/>
                <w:iCs/>
                <w:sz w:val="20"/>
                <w:szCs w:val="20"/>
                <w:lang w:val="en-US" w:eastAsia="en-US"/>
              </w:rPr>
              <w:t> </w:t>
            </w:r>
          </w:p>
        </w:tc>
        <w:tc>
          <w:tcPr>
            <w:tcW w:w="1518" w:type="dxa"/>
            <w:tcBorders>
              <w:top w:val="nil"/>
              <w:left w:val="nil"/>
              <w:bottom w:val="nil"/>
              <w:right w:val="nil"/>
            </w:tcBorders>
            <w:shd w:val="clear" w:color="000000" w:fill="FFFFFF"/>
            <w:noWrap/>
            <w:vAlign w:val="bottom"/>
            <w:hideMark/>
          </w:tcPr>
          <w:p w14:paraId="1A6EC1CD" w14:textId="77777777" w:rsidR="002640E4" w:rsidRPr="00986F85" w:rsidRDefault="002640E4" w:rsidP="002640E4">
            <w:pPr>
              <w:suppressAutoHyphens w:val="0"/>
              <w:spacing w:after="0" w:line="240" w:lineRule="auto"/>
              <w:rPr>
                <w:rFonts w:eastAsia="Times New Roman" w:cs="Arial"/>
                <w:i/>
                <w:iCs/>
                <w:sz w:val="20"/>
                <w:szCs w:val="20"/>
                <w:lang w:val="en-US" w:eastAsia="en-US"/>
              </w:rPr>
            </w:pPr>
            <w:r w:rsidRPr="00986F85">
              <w:rPr>
                <w:rFonts w:eastAsia="Times New Roman" w:cs="Arial"/>
                <w:i/>
                <w:iCs/>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260DA0A1" w14:textId="77777777" w:rsidR="002640E4" w:rsidRPr="00986F85" w:rsidRDefault="002640E4" w:rsidP="002640E4">
            <w:pPr>
              <w:suppressAutoHyphens w:val="0"/>
              <w:spacing w:after="0" w:line="240" w:lineRule="auto"/>
              <w:rPr>
                <w:rFonts w:eastAsia="Times New Roman" w:cs="Arial"/>
                <w:i/>
                <w:iCs/>
                <w:sz w:val="20"/>
                <w:szCs w:val="20"/>
                <w:lang w:val="en-US" w:eastAsia="en-US"/>
              </w:rPr>
            </w:pPr>
            <w:r w:rsidRPr="00986F85">
              <w:rPr>
                <w:rFonts w:eastAsia="Times New Roman" w:cs="Arial"/>
                <w:i/>
                <w:iCs/>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73D7FB14" w14:textId="77777777" w:rsidR="002640E4" w:rsidRPr="00986F85" w:rsidRDefault="002640E4" w:rsidP="002640E4">
            <w:pPr>
              <w:suppressAutoHyphens w:val="0"/>
              <w:spacing w:after="0" w:line="240" w:lineRule="auto"/>
              <w:rPr>
                <w:rFonts w:eastAsia="Times New Roman" w:cs="Arial"/>
                <w:i/>
                <w:iCs/>
                <w:sz w:val="20"/>
                <w:szCs w:val="20"/>
                <w:lang w:val="en-US" w:eastAsia="en-US"/>
              </w:rPr>
            </w:pPr>
            <w:r w:rsidRPr="00986F85">
              <w:rPr>
                <w:rFonts w:eastAsia="Times New Roman" w:cs="Arial"/>
                <w:i/>
                <w:iCs/>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3FC8301E" w14:textId="77777777" w:rsidR="002640E4" w:rsidRPr="00986F85" w:rsidRDefault="002640E4" w:rsidP="002640E4">
            <w:pPr>
              <w:suppressAutoHyphens w:val="0"/>
              <w:spacing w:after="0" w:line="240" w:lineRule="auto"/>
              <w:rPr>
                <w:rFonts w:eastAsia="Times New Roman" w:cs="Arial"/>
                <w:b/>
                <w:bCs/>
                <w:i/>
                <w:iCs/>
                <w:sz w:val="20"/>
                <w:szCs w:val="20"/>
                <w:lang w:val="en-US" w:eastAsia="en-US"/>
              </w:rPr>
            </w:pPr>
            <w:r w:rsidRPr="00986F85">
              <w:rPr>
                <w:rFonts w:eastAsia="Times New Roman" w:cs="Arial"/>
                <w:b/>
                <w:bCs/>
                <w:i/>
                <w:iCs/>
                <w:sz w:val="20"/>
                <w:szCs w:val="20"/>
                <w:lang w:val="en-US" w:eastAsia="en-US"/>
              </w:rPr>
              <w:t> </w:t>
            </w:r>
          </w:p>
        </w:tc>
      </w:tr>
      <w:tr w:rsidR="002640E4" w:rsidRPr="00986F85" w14:paraId="04E8AA5F" w14:textId="77777777" w:rsidTr="002640E4">
        <w:trPr>
          <w:trHeight w:val="240"/>
        </w:trPr>
        <w:tc>
          <w:tcPr>
            <w:tcW w:w="3580" w:type="dxa"/>
            <w:tcBorders>
              <w:top w:val="nil"/>
              <w:left w:val="nil"/>
              <w:bottom w:val="nil"/>
              <w:right w:val="nil"/>
            </w:tcBorders>
            <w:shd w:val="clear" w:color="000000" w:fill="FFFFFF"/>
            <w:noWrap/>
            <w:vAlign w:val="bottom"/>
            <w:hideMark/>
          </w:tcPr>
          <w:p w14:paraId="31E79A8F" w14:textId="77777777" w:rsidR="002640E4" w:rsidRPr="00986F85" w:rsidRDefault="002640E4" w:rsidP="002640E4">
            <w:pPr>
              <w:suppressAutoHyphens w:val="0"/>
              <w:spacing w:after="0" w:line="240" w:lineRule="auto"/>
              <w:rPr>
                <w:rFonts w:eastAsia="Times New Roman" w:cs="Arial"/>
                <w:i/>
                <w:iCs/>
                <w:sz w:val="20"/>
                <w:szCs w:val="20"/>
                <w:lang w:val="en-US" w:eastAsia="en-US"/>
              </w:rPr>
            </w:pPr>
            <w:r w:rsidRPr="00986F85">
              <w:rPr>
                <w:rFonts w:eastAsia="Times New Roman" w:cs="Arial"/>
                <w:i/>
                <w:iCs/>
                <w:sz w:val="20"/>
                <w:szCs w:val="20"/>
                <w:lang w:val="en-US" w:eastAsia="en-US"/>
              </w:rPr>
              <w:t>*** p&lt;0.01, ** p&lt;0.05, * p&lt;0.1</w:t>
            </w:r>
          </w:p>
        </w:tc>
        <w:tc>
          <w:tcPr>
            <w:tcW w:w="1580" w:type="dxa"/>
            <w:tcBorders>
              <w:top w:val="nil"/>
              <w:left w:val="nil"/>
              <w:bottom w:val="nil"/>
              <w:right w:val="nil"/>
            </w:tcBorders>
            <w:shd w:val="clear" w:color="000000" w:fill="FFFFFF"/>
            <w:noWrap/>
            <w:vAlign w:val="bottom"/>
            <w:hideMark/>
          </w:tcPr>
          <w:p w14:paraId="1D21324C" w14:textId="77777777" w:rsidR="002640E4" w:rsidRPr="00986F85" w:rsidRDefault="002640E4" w:rsidP="002640E4">
            <w:pPr>
              <w:suppressAutoHyphens w:val="0"/>
              <w:spacing w:after="0" w:line="240" w:lineRule="auto"/>
              <w:rPr>
                <w:rFonts w:eastAsia="Times New Roman" w:cs="Arial"/>
                <w:i/>
                <w:iCs/>
                <w:sz w:val="20"/>
                <w:szCs w:val="20"/>
                <w:lang w:val="en-US" w:eastAsia="en-US"/>
              </w:rPr>
            </w:pPr>
            <w:r w:rsidRPr="00986F85">
              <w:rPr>
                <w:rFonts w:eastAsia="Times New Roman" w:cs="Arial"/>
                <w:i/>
                <w:iCs/>
                <w:sz w:val="20"/>
                <w:szCs w:val="20"/>
                <w:lang w:val="en-US" w:eastAsia="en-US"/>
              </w:rPr>
              <w:t> </w:t>
            </w:r>
          </w:p>
        </w:tc>
        <w:tc>
          <w:tcPr>
            <w:tcW w:w="1518" w:type="dxa"/>
            <w:tcBorders>
              <w:top w:val="nil"/>
              <w:left w:val="nil"/>
              <w:bottom w:val="nil"/>
              <w:right w:val="nil"/>
            </w:tcBorders>
            <w:shd w:val="clear" w:color="000000" w:fill="FFFFFF"/>
            <w:noWrap/>
            <w:vAlign w:val="bottom"/>
            <w:hideMark/>
          </w:tcPr>
          <w:p w14:paraId="1D9358FD" w14:textId="77777777" w:rsidR="002640E4" w:rsidRPr="00986F85" w:rsidRDefault="002640E4" w:rsidP="002640E4">
            <w:pPr>
              <w:suppressAutoHyphens w:val="0"/>
              <w:spacing w:after="0" w:line="240" w:lineRule="auto"/>
              <w:rPr>
                <w:rFonts w:eastAsia="Times New Roman" w:cs="Arial"/>
                <w:i/>
                <w:iCs/>
                <w:sz w:val="20"/>
                <w:szCs w:val="20"/>
                <w:lang w:val="en-US" w:eastAsia="en-US"/>
              </w:rPr>
            </w:pPr>
            <w:r w:rsidRPr="00986F85">
              <w:rPr>
                <w:rFonts w:eastAsia="Times New Roman" w:cs="Arial"/>
                <w:i/>
                <w:iCs/>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38C9B169" w14:textId="77777777" w:rsidR="002640E4" w:rsidRPr="00986F85" w:rsidRDefault="002640E4" w:rsidP="002640E4">
            <w:pPr>
              <w:suppressAutoHyphens w:val="0"/>
              <w:spacing w:after="0" w:line="240" w:lineRule="auto"/>
              <w:rPr>
                <w:rFonts w:eastAsia="Times New Roman" w:cs="Arial"/>
                <w:i/>
                <w:iCs/>
                <w:sz w:val="20"/>
                <w:szCs w:val="20"/>
                <w:lang w:val="en-US" w:eastAsia="en-US"/>
              </w:rPr>
            </w:pPr>
            <w:r w:rsidRPr="00986F85">
              <w:rPr>
                <w:rFonts w:eastAsia="Times New Roman" w:cs="Arial"/>
                <w:i/>
                <w:iCs/>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2CA7D845" w14:textId="77777777" w:rsidR="002640E4" w:rsidRPr="00986F85" w:rsidRDefault="002640E4" w:rsidP="002640E4">
            <w:pPr>
              <w:suppressAutoHyphens w:val="0"/>
              <w:spacing w:after="0" w:line="240" w:lineRule="auto"/>
              <w:rPr>
                <w:rFonts w:eastAsia="Times New Roman" w:cs="Arial"/>
                <w:i/>
                <w:iCs/>
                <w:sz w:val="20"/>
                <w:szCs w:val="20"/>
                <w:lang w:val="en-US" w:eastAsia="en-US"/>
              </w:rPr>
            </w:pPr>
            <w:r w:rsidRPr="00986F85">
              <w:rPr>
                <w:rFonts w:eastAsia="Times New Roman" w:cs="Arial"/>
                <w:i/>
                <w:iCs/>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3E20A1B6" w14:textId="77777777" w:rsidR="002640E4" w:rsidRPr="00986F85" w:rsidRDefault="002640E4" w:rsidP="002640E4">
            <w:pPr>
              <w:suppressAutoHyphens w:val="0"/>
              <w:spacing w:after="0" w:line="240" w:lineRule="auto"/>
              <w:rPr>
                <w:rFonts w:eastAsia="Times New Roman" w:cs="Arial"/>
                <w:b/>
                <w:bCs/>
                <w:i/>
                <w:iCs/>
                <w:sz w:val="20"/>
                <w:szCs w:val="20"/>
                <w:lang w:val="en-US" w:eastAsia="en-US"/>
              </w:rPr>
            </w:pPr>
            <w:r w:rsidRPr="00986F85">
              <w:rPr>
                <w:rFonts w:eastAsia="Times New Roman" w:cs="Arial"/>
                <w:b/>
                <w:bCs/>
                <w:i/>
                <w:iCs/>
                <w:sz w:val="20"/>
                <w:szCs w:val="20"/>
                <w:lang w:val="en-US" w:eastAsia="en-US"/>
              </w:rPr>
              <w:t> </w:t>
            </w:r>
          </w:p>
        </w:tc>
      </w:tr>
      <w:tr w:rsidR="002640E4" w:rsidRPr="00986F85" w14:paraId="403CA1AF" w14:textId="77777777" w:rsidTr="002640E4">
        <w:trPr>
          <w:trHeight w:val="240"/>
        </w:trPr>
        <w:tc>
          <w:tcPr>
            <w:tcW w:w="3580" w:type="dxa"/>
            <w:tcBorders>
              <w:top w:val="nil"/>
              <w:left w:val="nil"/>
              <w:bottom w:val="nil"/>
              <w:right w:val="nil"/>
            </w:tcBorders>
            <w:shd w:val="clear" w:color="000000" w:fill="FFFFFF"/>
            <w:noWrap/>
            <w:vAlign w:val="bottom"/>
            <w:hideMark/>
          </w:tcPr>
          <w:p w14:paraId="6CDCBD86" w14:textId="77777777" w:rsidR="002640E4" w:rsidRPr="00986F85" w:rsidRDefault="002640E4" w:rsidP="002640E4">
            <w:pPr>
              <w:suppressAutoHyphens w:val="0"/>
              <w:spacing w:after="0" w:line="240" w:lineRule="auto"/>
              <w:rPr>
                <w:rFonts w:eastAsia="Times New Roman" w:cs="Arial"/>
                <w:i/>
                <w:iCs/>
                <w:sz w:val="20"/>
                <w:szCs w:val="20"/>
                <w:lang w:val="en-US" w:eastAsia="en-US"/>
              </w:rPr>
            </w:pPr>
            <w:r w:rsidRPr="00986F85">
              <w:rPr>
                <w:rFonts w:eastAsia="Times New Roman" w:cs="Arial"/>
                <w:i/>
                <w:iCs/>
                <w:sz w:val="20"/>
                <w:szCs w:val="20"/>
                <w:lang w:val="en-US" w:eastAsia="en-US"/>
              </w:rPr>
              <w:t> </w:t>
            </w:r>
          </w:p>
        </w:tc>
        <w:tc>
          <w:tcPr>
            <w:tcW w:w="1580" w:type="dxa"/>
            <w:tcBorders>
              <w:top w:val="nil"/>
              <w:left w:val="nil"/>
              <w:bottom w:val="nil"/>
              <w:right w:val="nil"/>
            </w:tcBorders>
            <w:shd w:val="clear" w:color="000000" w:fill="FFFFFF"/>
            <w:noWrap/>
            <w:vAlign w:val="bottom"/>
            <w:hideMark/>
          </w:tcPr>
          <w:p w14:paraId="6B5FB4AA" w14:textId="77777777" w:rsidR="002640E4" w:rsidRPr="00986F85" w:rsidRDefault="002640E4" w:rsidP="002640E4">
            <w:pPr>
              <w:suppressAutoHyphens w:val="0"/>
              <w:spacing w:after="0" w:line="240" w:lineRule="auto"/>
              <w:rPr>
                <w:rFonts w:eastAsia="Times New Roman" w:cs="Arial"/>
                <w:i/>
                <w:iCs/>
                <w:sz w:val="20"/>
                <w:szCs w:val="20"/>
                <w:lang w:val="en-US" w:eastAsia="en-US"/>
              </w:rPr>
            </w:pPr>
            <w:r w:rsidRPr="00986F85">
              <w:rPr>
                <w:rFonts w:eastAsia="Times New Roman" w:cs="Arial"/>
                <w:i/>
                <w:iCs/>
                <w:sz w:val="20"/>
                <w:szCs w:val="20"/>
                <w:lang w:val="en-US" w:eastAsia="en-US"/>
              </w:rPr>
              <w:t> </w:t>
            </w:r>
          </w:p>
        </w:tc>
        <w:tc>
          <w:tcPr>
            <w:tcW w:w="1518" w:type="dxa"/>
            <w:tcBorders>
              <w:top w:val="nil"/>
              <w:left w:val="nil"/>
              <w:bottom w:val="nil"/>
              <w:right w:val="nil"/>
            </w:tcBorders>
            <w:shd w:val="clear" w:color="000000" w:fill="FFFFFF"/>
            <w:noWrap/>
            <w:vAlign w:val="bottom"/>
            <w:hideMark/>
          </w:tcPr>
          <w:p w14:paraId="51A2C8AE" w14:textId="77777777" w:rsidR="002640E4" w:rsidRPr="00986F85" w:rsidRDefault="002640E4" w:rsidP="002640E4">
            <w:pPr>
              <w:suppressAutoHyphens w:val="0"/>
              <w:spacing w:after="0" w:line="240" w:lineRule="auto"/>
              <w:rPr>
                <w:rFonts w:eastAsia="Times New Roman" w:cs="Arial"/>
                <w:i/>
                <w:iCs/>
                <w:sz w:val="20"/>
                <w:szCs w:val="20"/>
                <w:lang w:val="en-US" w:eastAsia="en-US"/>
              </w:rPr>
            </w:pPr>
            <w:r w:rsidRPr="00986F85">
              <w:rPr>
                <w:rFonts w:eastAsia="Times New Roman" w:cs="Arial"/>
                <w:i/>
                <w:iCs/>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6CF99CD7" w14:textId="77777777" w:rsidR="002640E4" w:rsidRPr="00986F85" w:rsidRDefault="002640E4" w:rsidP="002640E4">
            <w:pPr>
              <w:suppressAutoHyphens w:val="0"/>
              <w:spacing w:after="0" w:line="240" w:lineRule="auto"/>
              <w:rPr>
                <w:rFonts w:eastAsia="Times New Roman" w:cs="Arial"/>
                <w:i/>
                <w:iCs/>
                <w:sz w:val="20"/>
                <w:szCs w:val="20"/>
                <w:lang w:val="en-US" w:eastAsia="en-US"/>
              </w:rPr>
            </w:pPr>
            <w:r w:rsidRPr="00986F85">
              <w:rPr>
                <w:rFonts w:eastAsia="Times New Roman" w:cs="Arial"/>
                <w:i/>
                <w:iCs/>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3F02D7F2" w14:textId="77777777" w:rsidR="002640E4" w:rsidRPr="00986F85" w:rsidRDefault="002640E4" w:rsidP="002640E4">
            <w:pPr>
              <w:suppressAutoHyphens w:val="0"/>
              <w:spacing w:after="0" w:line="240" w:lineRule="auto"/>
              <w:rPr>
                <w:rFonts w:eastAsia="Times New Roman" w:cs="Arial"/>
                <w:i/>
                <w:iCs/>
                <w:sz w:val="20"/>
                <w:szCs w:val="20"/>
                <w:lang w:val="en-US" w:eastAsia="en-US"/>
              </w:rPr>
            </w:pPr>
            <w:r w:rsidRPr="00986F85">
              <w:rPr>
                <w:rFonts w:eastAsia="Times New Roman" w:cs="Arial"/>
                <w:i/>
                <w:iCs/>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6B2331DB" w14:textId="77777777" w:rsidR="002640E4" w:rsidRPr="00986F85" w:rsidRDefault="002640E4" w:rsidP="002640E4">
            <w:pPr>
              <w:suppressAutoHyphens w:val="0"/>
              <w:spacing w:after="0" w:line="240" w:lineRule="auto"/>
              <w:rPr>
                <w:rFonts w:eastAsia="Times New Roman" w:cs="Arial"/>
                <w:b/>
                <w:bCs/>
                <w:i/>
                <w:iCs/>
                <w:sz w:val="20"/>
                <w:szCs w:val="20"/>
                <w:lang w:val="en-US" w:eastAsia="en-US"/>
              </w:rPr>
            </w:pPr>
            <w:r w:rsidRPr="00986F85">
              <w:rPr>
                <w:rFonts w:eastAsia="Times New Roman" w:cs="Arial"/>
                <w:b/>
                <w:bCs/>
                <w:i/>
                <w:iCs/>
                <w:sz w:val="20"/>
                <w:szCs w:val="20"/>
                <w:lang w:val="en-US" w:eastAsia="en-US"/>
              </w:rPr>
              <w:t> </w:t>
            </w:r>
          </w:p>
        </w:tc>
      </w:tr>
      <w:tr w:rsidR="002640E4" w:rsidRPr="00986F85" w14:paraId="6335F2E9" w14:textId="77777777" w:rsidTr="002640E4">
        <w:trPr>
          <w:trHeight w:val="240"/>
        </w:trPr>
        <w:tc>
          <w:tcPr>
            <w:tcW w:w="3580" w:type="dxa"/>
            <w:tcBorders>
              <w:top w:val="nil"/>
              <w:left w:val="nil"/>
              <w:bottom w:val="nil"/>
              <w:right w:val="nil"/>
            </w:tcBorders>
            <w:shd w:val="clear" w:color="000000" w:fill="FFFFFF"/>
            <w:noWrap/>
            <w:vAlign w:val="bottom"/>
            <w:hideMark/>
          </w:tcPr>
          <w:p w14:paraId="71138B9D" w14:textId="77777777" w:rsidR="002640E4" w:rsidRPr="00986F85" w:rsidRDefault="002640E4" w:rsidP="002640E4">
            <w:pPr>
              <w:suppressAutoHyphens w:val="0"/>
              <w:spacing w:after="0" w:line="240" w:lineRule="auto"/>
              <w:rPr>
                <w:rFonts w:eastAsia="Times New Roman" w:cs="Arial"/>
                <w:i/>
                <w:iCs/>
                <w:sz w:val="20"/>
                <w:szCs w:val="20"/>
                <w:lang w:val="en-US" w:eastAsia="en-US"/>
              </w:rPr>
            </w:pPr>
            <w:r w:rsidRPr="00986F85">
              <w:rPr>
                <w:rFonts w:eastAsia="Times New Roman" w:cs="Arial"/>
                <w:i/>
                <w:iCs/>
                <w:sz w:val="20"/>
                <w:szCs w:val="20"/>
                <w:lang w:val="en-US" w:eastAsia="en-US"/>
              </w:rPr>
              <w:t>McFadden Adj R2</w:t>
            </w:r>
          </w:p>
        </w:tc>
        <w:tc>
          <w:tcPr>
            <w:tcW w:w="1580" w:type="dxa"/>
            <w:tcBorders>
              <w:top w:val="nil"/>
              <w:left w:val="nil"/>
              <w:bottom w:val="nil"/>
              <w:right w:val="nil"/>
            </w:tcBorders>
            <w:shd w:val="clear" w:color="000000" w:fill="FFFFFF"/>
            <w:noWrap/>
            <w:vAlign w:val="bottom"/>
            <w:hideMark/>
          </w:tcPr>
          <w:p w14:paraId="15E00C76" w14:textId="77777777" w:rsidR="002640E4" w:rsidRPr="00986F85" w:rsidRDefault="002640E4" w:rsidP="002640E4">
            <w:pPr>
              <w:suppressAutoHyphens w:val="0"/>
              <w:spacing w:after="0" w:line="240" w:lineRule="auto"/>
              <w:rPr>
                <w:rFonts w:eastAsia="Times New Roman" w:cs="Arial"/>
                <w:i/>
                <w:iCs/>
                <w:sz w:val="20"/>
                <w:szCs w:val="20"/>
                <w:lang w:val="en-US" w:eastAsia="en-US"/>
              </w:rPr>
            </w:pPr>
            <w:r w:rsidRPr="00986F85">
              <w:rPr>
                <w:rFonts w:eastAsia="Times New Roman" w:cs="Arial"/>
                <w:i/>
                <w:iCs/>
                <w:sz w:val="20"/>
                <w:szCs w:val="20"/>
                <w:lang w:val="en-US" w:eastAsia="en-US"/>
              </w:rPr>
              <w:t> </w:t>
            </w:r>
          </w:p>
        </w:tc>
        <w:tc>
          <w:tcPr>
            <w:tcW w:w="1518" w:type="dxa"/>
            <w:tcBorders>
              <w:top w:val="nil"/>
              <w:left w:val="nil"/>
              <w:bottom w:val="nil"/>
              <w:right w:val="nil"/>
            </w:tcBorders>
            <w:shd w:val="clear" w:color="000000" w:fill="FFFFFF"/>
            <w:noWrap/>
            <w:vAlign w:val="bottom"/>
            <w:hideMark/>
          </w:tcPr>
          <w:p w14:paraId="4F4AB93F" w14:textId="77777777" w:rsidR="002640E4" w:rsidRPr="00986F85" w:rsidRDefault="002640E4" w:rsidP="002640E4">
            <w:pPr>
              <w:suppressAutoHyphens w:val="0"/>
              <w:spacing w:after="0" w:line="240" w:lineRule="auto"/>
              <w:rPr>
                <w:rFonts w:eastAsia="Times New Roman" w:cs="Arial"/>
                <w:i/>
                <w:iCs/>
                <w:sz w:val="20"/>
                <w:szCs w:val="20"/>
                <w:lang w:val="en-US" w:eastAsia="en-US"/>
              </w:rPr>
            </w:pPr>
            <w:r w:rsidRPr="00986F85">
              <w:rPr>
                <w:rFonts w:eastAsia="Times New Roman" w:cs="Arial"/>
                <w:i/>
                <w:iCs/>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00B19070" w14:textId="77777777" w:rsidR="002640E4" w:rsidRPr="00986F85" w:rsidRDefault="002640E4" w:rsidP="002640E4">
            <w:pPr>
              <w:suppressAutoHyphens w:val="0"/>
              <w:spacing w:after="0" w:line="240" w:lineRule="auto"/>
              <w:rPr>
                <w:rFonts w:eastAsia="Times New Roman" w:cs="Arial"/>
                <w:i/>
                <w:iCs/>
                <w:sz w:val="20"/>
                <w:szCs w:val="20"/>
                <w:lang w:val="en-US" w:eastAsia="en-US"/>
              </w:rPr>
            </w:pPr>
            <w:r w:rsidRPr="00986F85">
              <w:rPr>
                <w:rFonts w:eastAsia="Times New Roman" w:cs="Arial"/>
                <w:i/>
                <w:iCs/>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36FED767" w14:textId="77777777" w:rsidR="002640E4" w:rsidRPr="00986F85" w:rsidRDefault="002640E4" w:rsidP="002640E4">
            <w:pPr>
              <w:suppressAutoHyphens w:val="0"/>
              <w:spacing w:after="0" w:line="240" w:lineRule="auto"/>
              <w:rPr>
                <w:rFonts w:eastAsia="Times New Roman" w:cs="Arial"/>
                <w:i/>
                <w:iCs/>
                <w:sz w:val="20"/>
                <w:szCs w:val="20"/>
                <w:lang w:val="en-US" w:eastAsia="en-US"/>
              </w:rPr>
            </w:pPr>
            <w:r w:rsidRPr="00986F85">
              <w:rPr>
                <w:rFonts w:eastAsia="Times New Roman" w:cs="Arial"/>
                <w:i/>
                <w:iCs/>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699A6588" w14:textId="77777777" w:rsidR="002640E4" w:rsidRPr="00986F85" w:rsidRDefault="002640E4" w:rsidP="002640E4">
            <w:pPr>
              <w:suppressAutoHyphens w:val="0"/>
              <w:spacing w:after="0" w:line="240" w:lineRule="auto"/>
              <w:jc w:val="right"/>
              <w:rPr>
                <w:rFonts w:eastAsia="Times New Roman" w:cs="Arial"/>
                <w:b/>
                <w:bCs/>
                <w:i/>
                <w:iCs/>
                <w:sz w:val="20"/>
                <w:szCs w:val="20"/>
                <w:lang w:val="en-US" w:eastAsia="en-US"/>
              </w:rPr>
            </w:pPr>
            <w:r w:rsidRPr="00986F85">
              <w:rPr>
                <w:rFonts w:eastAsia="Times New Roman" w:cs="Arial"/>
                <w:b/>
                <w:bCs/>
                <w:i/>
                <w:iCs/>
                <w:sz w:val="20"/>
                <w:szCs w:val="20"/>
                <w:lang w:val="en-US" w:eastAsia="en-US"/>
              </w:rPr>
              <w:t>0.138</w:t>
            </w:r>
          </w:p>
        </w:tc>
      </w:tr>
      <w:tr w:rsidR="002640E4" w:rsidRPr="00986F85" w14:paraId="70371DBA" w14:textId="77777777" w:rsidTr="002640E4">
        <w:trPr>
          <w:trHeight w:val="240"/>
        </w:trPr>
        <w:tc>
          <w:tcPr>
            <w:tcW w:w="3580" w:type="dxa"/>
            <w:tcBorders>
              <w:top w:val="nil"/>
              <w:left w:val="nil"/>
              <w:bottom w:val="nil"/>
              <w:right w:val="nil"/>
            </w:tcBorders>
            <w:shd w:val="clear" w:color="000000" w:fill="FFFFFF"/>
            <w:noWrap/>
            <w:vAlign w:val="bottom"/>
            <w:hideMark/>
          </w:tcPr>
          <w:p w14:paraId="27B4D30D" w14:textId="77777777" w:rsidR="002640E4" w:rsidRPr="00986F85" w:rsidRDefault="002640E4" w:rsidP="002640E4">
            <w:pPr>
              <w:suppressAutoHyphens w:val="0"/>
              <w:spacing w:after="0" w:line="240" w:lineRule="auto"/>
              <w:rPr>
                <w:rFonts w:eastAsia="Times New Roman" w:cs="Arial"/>
                <w:i/>
                <w:iCs/>
                <w:sz w:val="20"/>
                <w:szCs w:val="20"/>
                <w:lang w:val="en-US" w:eastAsia="en-US"/>
              </w:rPr>
            </w:pPr>
            <w:r w:rsidRPr="00986F85">
              <w:rPr>
                <w:rFonts w:eastAsia="Times New Roman" w:cs="Arial"/>
                <w:i/>
                <w:iCs/>
                <w:sz w:val="20"/>
                <w:szCs w:val="20"/>
                <w:lang w:val="en-US" w:eastAsia="en-US"/>
              </w:rPr>
              <w:t>Cragg-Uhler R2</w:t>
            </w:r>
          </w:p>
        </w:tc>
        <w:tc>
          <w:tcPr>
            <w:tcW w:w="1580" w:type="dxa"/>
            <w:tcBorders>
              <w:top w:val="nil"/>
              <w:left w:val="nil"/>
              <w:bottom w:val="nil"/>
              <w:right w:val="nil"/>
            </w:tcBorders>
            <w:shd w:val="clear" w:color="000000" w:fill="FFFFFF"/>
            <w:noWrap/>
            <w:vAlign w:val="bottom"/>
            <w:hideMark/>
          </w:tcPr>
          <w:p w14:paraId="5F115D9B" w14:textId="77777777" w:rsidR="002640E4" w:rsidRPr="00986F85" w:rsidRDefault="002640E4" w:rsidP="002640E4">
            <w:pPr>
              <w:suppressAutoHyphens w:val="0"/>
              <w:spacing w:after="0" w:line="240" w:lineRule="auto"/>
              <w:rPr>
                <w:rFonts w:eastAsia="Times New Roman" w:cs="Arial"/>
                <w:i/>
                <w:iCs/>
                <w:sz w:val="20"/>
                <w:szCs w:val="20"/>
                <w:lang w:val="en-US" w:eastAsia="en-US"/>
              </w:rPr>
            </w:pPr>
            <w:r w:rsidRPr="00986F85">
              <w:rPr>
                <w:rFonts w:eastAsia="Times New Roman" w:cs="Arial"/>
                <w:i/>
                <w:iCs/>
                <w:sz w:val="20"/>
                <w:szCs w:val="20"/>
                <w:lang w:val="en-US" w:eastAsia="en-US"/>
              </w:rPr>
              <w:t> </w:t>
            </w:r>
          </w:p>
        </w:tc>
        <w:tc>
          <w:tcPr>
            <w:tcW w:w="1518" w:type="dxa"/>
            <w:tcBorders>
              <w:top w:val="nil"/>
              <w:left w:val="nil"/>
              <w:bottom w:val="nil"/>
              <w:right w:val="nil"/>
            </w:tcBorders>
            <w:shd w:val="clear" w:color="000000" w:fill="FFFFFF"/>
            <w:noWrap/>
            <w:vAlign w:val="bottom"/>
            <w:hideMark/>
          </w:tcPr>
          <w:p w14:paraId="3840F2E1" w14:textId="77777777" w:rsidR="002640E4" w:rsidRPr="00986F85" w:rsidRDefault="002640E4" w:rsidP="002640E4">
            <w:pPr>
              <w:suppressAutoHyphens w:val="0"/>
              <w:spacing w:after="0" w:line="240" w:lineRule="auto"/>
              <w:rPr>
                <w:rFonts w:eastAsia="Times New Roman" w:cs="Arial"/>
                <w:i/>
                <w:iCs/>
                <w:sz w:val="20"/>
                <w:szCs w:val="20"/>
                <w:lang w:val="en-US" w:eastAsia="en-US"/>
              </w:rPr>
            </w:pPr>
            <w:r w:rsidRPr="00986F85">
              <w:rPr>
                <w:rFonts w:eastAsia="Times New Roman" w:cs="Arial"/>
                <w:i/>
                <w:iCs/>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2EB266F9" w14:textId="77777777" w:rsidR="002640E4" w:rsidRPr="00986F85" w:rsidRDefault="002640E4" w:rsidP="002640E4">
            <w:pPr>
              <w:suppressAutoHyphens w:val="0"/>
              <w:spacing w:after="0" w:line="240" w:lineRule="auto"/>
              <w:rPr>
                <w:rFonts w:eastAsia="Times New Roman" w:cs="Arial"/>
                <w:i/>
                <w:iCs/>
                <w:sz w:val="20"/>
                <w:szCs w:val="20"/>
                <w:lang w:val="en-US" w:eastAsia="en-US"/>
              </w:rPr>
            </w:pPr>
            <w:r w:rsidRPr="00986F85">
              <w:rPr>
                <w:rFonts w:eastAsia="Times New Roman" w:cs="Arial"/>
                <w:i/>
                <w:iCs/>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0D253201" w14:textId="77777777" w:rsidR="002640E4" w:rsidRPr="00986F85" w:rsidRDefault="002640E4" w:rsidP="002640E4">
            <w:pPr>
              <w:suppressAutoHyphens w:val="0"/>
              <w:spacing w:after="0" w:line="240" w:lineRule="auto"/>
              <w:rPr>
                <w:rFonts w:eastAsia="Times New Roman" w:cs="Arial"/>
                <w:i/>
                <w:iCs/>
                <w:sz w:val="20"/>
                <w:szCs w:val="20"/>
                <w:lang w:val="en-US" w:eastAsia="en-US"/>
              </w:rPr>
            </w:pPr>
            <w:r w:rsidRPr="00986F85">
              <w:rPr>
                <w:rFonts w:eastAsia="Times New Roman" w:cs="Arial"/>
                <w:i/>
                <w:iCs/>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66FC1824" w14:textId="77777777" w:rsidR="002640E4" w:rsidRPr="00986F85" w:rsidRDefault="002640E4" w:rsidP="002640E4">
            <w:pPr>
              <w:suppressAutoHyphens w:val="0"/>
              <w:spacing w:after="0" w:line="240" w:lineRule="auto"/>
              <w:jc w:val="right"/>
              <w:rPr>
                <w:rFonts w:eastAsia="Times New Roman" w:cs="Arial"/>
                <w:b/>
                <w:bCs/>
                <w:i/>
                <w:iCs/>
                <w:sz w:val="20"/>
                <w:szCs w:val="20"/>
                <w:lang w:val="en-US" w:eastAsia="en-US"/>
              </w:rPr>
            </w:pPr>
            <w:r w:rsidRPr="00986F85">
              <w:rPr>
                <w:rFonts w:eastAsia="Times New Roman" w:cs="Arial"/>
                <w:b/>
                <w:bCs/>
                <w:i/>
                <w:iCs/>
                <w:sz w:val="20"/>
                <w:szCs w:val="20"/>
                <w:lang w:val="en-US" w:eastAsia="en-US"/>
              </w:rPr>
              <w:t>0.167</w:t>
            </w:r>
          </w:p>
        </w:tc>
      </w:tr>
      <w:tr w:rsidR="002640E4" w:rsidRPr="00986F85" w14:paraId="05757A43" w14:textId="77777777" w:rsidTr="002640E4">
        <w:trPr>
          <w:trHeight w:val="240"/>
        </w:trPr>
        <w:tc>
          <w:tcPr>
            <w:tcW w:w="3580" w:type="dxa"/>
            <w:tcBorders>
              <w:top w:val="nil"/>
              <w:left w:val="nil"/>
              <w:bottom w:val="nil"/>
              <w:right w:val="nil"/>
            </w:tcBorders>
            <w:shd w:val="clear" w:color="000000" w:fill="FFFFFF"/>
            <w:noWrap/>
            <w:vAlign w:val="bottom"/>
            <w:hideMark/>
          </w:tcPr>
          <w:p w14:paraId="0D7C640E" w14:textId="77777777" w:rsidR="002640E4" w:rsidRPr="00986F85" w:rsidRDefault="002640E4" w:rsidP="002640E4">
            <w:pPr>
              <w:suppressAutoHyphens w:val="0"/>
              <w:spacing w:after="0" w:line="240" w:lineRule="auto"/>
              <w:rPr>
                <w:rFonts w:eastAsia="Times New Roman" w:cs="Arial"/>
                <w:i/>
                <w:iCs/>
                <w:sz w:val="20"/>
                <w:szCs w:val="20"/>
                <w:lang w:val="en-US" w:eastAsia="en-US"/>
              </w:rPr>
            </w:pPr>
            <w:r w:rsidRPr="00986F85">
              <w:rPr>
                <w:rFonts w:eastAsia="Times New Roman" w:cs="Arial"/>
                <w:i/>
                <w:iCs/>
                <w:sz w:val="20"/>
                <w:szCs w:val="20"/>
                <w:lang w:val="en-US" w:eastAsia="en-US"/>
              </w:rPr>
              <w:t>McKelvey-Zavoina R2</w:t>
            </w:r>
          </w:p>
        </w:tc>
        <w:tc>
          <w:tcPr>
            <w:tcW w:w="1580" w:type="dxa"/>
            <w:tcBorders>
              <w:top w:val="nil"/>
              <w:left w:val="nil"/>
              <w:bottom w:val="nil"/>
              <w:right w:val="nil"/>
            </w:tcBorders>
            <w:shd w:val="clear" w:color="000000" w:fill="FFFFFF"/>
            <w:noWrap/>
            <w:vAlign w:val="bottom"/>
            <w:hideMark/>
          </w:tcPr>
          <w:p w14:paraId="78172DBF" w14:textId="77777777" w:rsidR="002640E4" w:rsidRPr="00986F85" w:rsidRDefault="002640E4" w:rsidP="002640E4">
            <w:pPr>
              <w:suppressAutoHyphens w:val="0"/>
              <w:spacing w:after="0" w:line="240" w:lineRule="auto"/>
              <w:rPr>
                <w:rFonts w:eastAsia="Times New Roman" w:cs="Arial"/>
                <w:i/>
                <w:iCs/>
                <w:sz w:val="20"/>
                <w:szCs w:val="20"/>
                <w:lang w:val="en-US" w:eastAsia="en-US"/>
              </w:rPr>
            </w:pPr>
            <w:r w:rsidRPr="00986F85">
              <w:rPr>
                <w:rFonts w:eastAsia="Times New Roman" w:cs="Arial"/>
                <w:i/>
                <w:iCs/>
                <w:sz w:val="20"/>
                <w:szCs w:val="20"/>
                <w:lang w:val="en-US" w:eastAsia="en-US"/>
              </w:rPr>
              <w:t> </w:t>
            </w:r>
          </w:p>
        </w:tc>
        <w:tc>
          <w:tcPr>
            <w:tcW w:w="1518" w:type="dxa"/>
            <w:tcBorders>
              <w:top w:val="nil"/>
              <w:left w:val="nil"/>
              <w:bottom w:val="nil"/>
              <w:right w:val="nil"/>
            </w:tcBorders>
            <w:shd w:val="clear" w:color="000000" w:fill="FFFFFF"/>
            <w:noWrap/>
            <w:vAlign w:val="bottom"/>
            <w:hideMark/>
          </w:tcPr>
          <w:p w14:paraId="2C42EF39" w14:textId="77777777" w:rsidR="002640E4" w:rsidRPr="00986F85" w:rsidRDefault="002640E4" w:rsidP="002640E4">
            <w:pPr>
              <w:suppressAutoHyphens w:val="0"/>
              <w:spacing w:after="0" w:line="240" w:lineRule="auto"/>
              <w:rPr>
                <w:rFonts w:eastAsia="Times New Roman" w:cs="Arial"/>
                <w:i/>
                <w:iCs/>
                <w:sz w:val="20"/>
                <w:szCs w:val="20"/>
                <w:lang w:val="en-US" w:eastAsia="en-US"/>
              </w:rPr>
            </w:pPr>
            <w:r w:rsidRPr="00986F85">
              <w:rPr>
                <w:rFonts w:eastAsia="Times New Roman" w:cs="Arial"/>
                <w:i/>
                <w:iCs/>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1EE03AD8" w14:textId="77777777" w:rsidR="002640E4" w:rsidRPr="00986F85" w:rsidRDefault="002640E4" w:rsidP="002640E4">
            <w:pPr>
              <w:suppressAutoHyphens w:val="0"/>
              <w:spacing w:after="0" w:line="240" w:lineRule="auto"/>
              <w:rPr>
                <w:rFonts w:eastAsia="Times New Roman" w:cs="Arial"/>
                <w:i/>
                <w:iCs/>
                <w:sz w:val="20"/>
                <w:szCs w:val="20"/>
                <w:lang w:val="en-US" w:eastAsia="en-US"/>
              </w:rPr>
            </w:pPr>
            <w:r w:rsidRPr="00986F85">
              <w:rPr>
                <w:rFonts w:eastAsia="Times New Roman" w:cs="Arial"/>
                <w:i/>
                <w:iCs/>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1B3E41D8" w14:textId="77777777" w:rsidR="002640E4" w:rsidRPr="00986F85" w:rsidRDefault="002640E4" w:rsidP="002640E4">
            <w:pPr>
              <w:suppressAutoHyphens w:val="0"/>
              <w:spacing w:after="0" w:line="240" w:lineRule="auto"/>
              <w:rPr>
                <w:rFonts w:eastAsia="Times New Roman" w:cs="Arial"/>
                <w:i/>
                <w:iCs/>
                <w:sz w:val="20"/>
                <w:szCs w:val="20"/>
                <w:lang w:val="en-US" w:eastAsia="en-US"/>
              </w:rPr>
            </w:pPr>
            <w:r w:rsidRPr="00986F85">
              <w:rPr>
                <w:rFonts w:eastAsia="Times New Roman" w:cs="Arial"/>
                <w:i/>
                <w:iCs/>
                <w:sz w:val="20"/>
                <w:szCs w:val="20"/>
                <w:lang w:val="en-US" w:eastAsia="en-US"/>
              </w:rPr>
              <w:t> </w:t>
            </w:r>
          </w:p>
        </w:tc>
        <w:tc>
          <w:tcPr>
            <w:tcW w:w="1559" w:type="dxa"/>
            <w:tcBorders>
              <w:top w:val="nil"/>
              <w:left w:val="nil"/>
              <w:bottom w:val="nil"/>
              <w:right w:val="nil"/>
            </w:tcBorders>
            <w:shd w:val="clear" w:color="000000" w:fill="FFFFFF"/>
            <w:noWrap/>
            <w:vAlign w:val="bottom"/>
            <w:hideMark/>
          </w:tcPr>
          <w:p w14:paraId="3E70B8FC" w14:textId="77777777" w:rsidR="002640E4" w:rsidRPr="00986F85" w:rsidRDefault="002640E4" w:rsidP="002640E4">
            <w:pPr>
              <w:suppressAutoHyphens w:val="0"/>
              <w:spacing w:after="0" w:line="240" w:lineRule="auto"/>
              <w:jc w:val="right"/>
              <w:rPr>
                <w:rFonts w:eastAsia="Times New Roman" w:cs="Arial"/>
                <w:b/>
                <w:bCs/>
                <w:i/>
                <w:iCs/>
                <w:sz w:val="20"/>
                <w:szCs w:val="20"/>
                <w:lang w:val="en-US" w:eastAsia="en-US"/>
              </w:rPr>
            </w:pPr>
            <w:r w:rsidRPr="00986F85">
              <w:rPr>
                <w:rFonts w:eastAsia="Times New Roman" w:cs="Arial"/>
                <w:b/>
                <w:bCs/>
                <w:i/>
                <w:iCs/>
                <w:sz w:val="20"/>
                <w:szCs w:val="20"/>
                <w:lang w:val="en-US" w:eastAsia="en-US"/>
              </w:rPr>
              <w:t>0.782</w:t>
            </w:r>
          </w:p>
        </w:tc>
      </w:tr>
    </w:tbl>
    <w:p w14:paraId="06E0003C" w14:textId="77777777" w:rsidR="0070639F" w:rsidRPr="00986F85" w:rsidRDefault="002640E4" w:rsidP="00B04415">
      <w:pPr>
        <w:spacing w:after="0" w:line="360" w:lineRule="auto"/>
        <w:jc w:val="both"/>
        <w:rPr>
          <w:rFonts w:cs="Times New Roman"/>
          <w:i/>
          <w:szCs w:val="24"/>
        </w:rPr>
      </w:pPr>
      <w:r w:rsidRPr="00986F85">
        <w:rPr>
          <w:rFonts w:cs="Times New Roman"/>
          <w:i/>
          <w:szCs w:val="24"/>
        </w:rPr>
        <w:t>Magyarázat: Kiemeléssel szedve a kiválasztott, legjobb illeszkedésű becslés.</w:t>
      </w:r>
    </w:p>
    <w:p w14:paraId="5A75B17F" w14:textId="77777777" w:rsidR="002640E4" w:rsidRPr="00986F85" w:rsidRDefault="002640E4" w:rsidP="00B04415">
      <w:pPr>
        <w:spacing w:after="0" w:line="360" w:lineRule="auto"/>
        <w:jc w:val="both"/>
        <w:rPr>
          <w:rFonts w:cs="Times New Roman"/>
          <w:b/>
          <w:szCs w:val="24"/>
        </w:rPr>
      </w:pPr>
    </w:p>
    <w:p w14:paraId="70273BB6" w14:textId="77777777" w:rsidR="0070639F" w:rsidRPr="00986F85" w:rsidRDefault="0070639F" w:rsidP="00B04415">
      <w:pPr>
        <w:spacing w:after="0" w:line="360" w:lineRule="auto"/>
        <w:jc w:val="both"/>
        <w:rPr>
          <w:rFonts w:cs="Times New Roman"/>
          <w:b/>
          <w:szCs w:val="24"/>
        </w:rPr>
      </w:pPr>
      <w:r w:rsidRPr="00986F85">
        <w:rPr>
          <w:rFonts w:cs="Times New Roman"/>
          <w:b/>
          <w:szCs w:val="24"/>
        </w:rPr>
        <w:t>2. táblázat: 5 fő feletti létszámmal rendelkező, EMIR és NAV adatbázisban szereplő cégekre végzett becslések eredményei</w:t>
      </w:r>
    </w:p>
    <w:tbl>
      <w:tblPr>
        <w:tblW w:w="10820" w:type="dxa"/>
        <w:tblInd w:w="93" w:type="dxa"/>
        <w:tblLook w:val="04A0" w:firstRow="1" w:lastRow="0" w:firstColumn="1" w:lastColumn="0" w:noHBand="0" w:noVBand="1"/>
      </w:tblPr>
      <w:tblGrid>
        <w:gridCol w:w="3441"/>
        <w:gridCol w:w="1090"/>
        <w:gridCol w:w="1090"/>
        <w:gridCol w:w="1090"/>
        <w:gridCol w:w="1090"/>
        <w:gridCol w:w="1225"/>
        <w:gridCol w:w="1090"/>
        <w:gridCol w:w="1139"/>
      </w:tblGrid>
      <w:tr w:rsidR="002640E4" w:rsidRPr="00986F85" w14:paraId="6E6B6D44" w14:textId="77777777" w:rsidTr="002640E4">
        <w:trPr>
          <w:trHeight w:val="960"/>
        </w:trPr>
        <w:tc>
          <w:tcPr>
            <w:tcW w:w="3441" w:type="dxa"/>
            <w:tcBorders>
              <w:top w:val="single" w:sz="4" w:space="0" w:color="auto"/>
              <w:left w:val="nil"/>
              <w:bottom w:val="single" w:sz="4" w:space="0" w:color="auto"/>
              <w:right w:val="nil"/>
            </w:tcBorders>
            <w:shd w:val="clear" w:color="auto" w:fill="B10000"/>
            <w:noWrap/>
            <w:hideMark/>
          </w:tcPr>
          <w:p w14:paraId="2C2AA882" w14:textId="77777777" w:rsidR="00585C26" w:rsidRPr="00986F85" w:rsidRDefault="00585C26" w:rsidP="002640E4">
            <w:pPr>
              <w:suppressAutoHyphens w:val="0"/>
              <w:spacing w:after="0" w:line="240" w:lineRule="auto"/>
              <w:jc w:val="center"/>
              <w:rPr>
                <w:rFonts w:eastAsia="Times New Roman" w:cs="Arial"/>
                <w:b/>
                <w:sz w:val="20"/>
                <w:szCs w:val="20"/>
                <w:lang w:val="en-US" w:eastAsia="en-US"/>
              </w:rPr>
            </w:pPr>
            <w:r w:rsidRPr="00986F85">
              <w:rPr>
                <w:rFonts w:eastAsia="Times New Roman" w:cs="Arial"/>
                <w:b/>
                <w:sz w:val="20"/>
                <w:szCs w:val="20"/>
                <w:lang w:val="en-US" w:eastAsia="en-US"/>
              </w:rPr>
              <w:t>Változók</w:t>
            </w:r>
          </w:p>
        </w:tc>
        <w:tc>
          <w:tcPr>
            <w:tcW w:w="994" w:type="dxa"/>
            <w:tcBorders>
              <w:top w:val="single" w:sz="4" w:space="0" w:color="auto"/>
              <w:left w:val="nil"/>
              <w:bottom w:val="single" w:sz="4" w:space="0" w:color="auto"/>
              <w:right w:val="nil"/>
            </w:tcBorders>
            <w:shd w:val="clear" w:color="auto" w:fill="B10000"/>
            <w:hideMark/>
          </w:tcPr>
          <w:p w14:paraId="7B8F5293" w14:textId="77777777" w:rsidR="00585C26" w:rsidRPr="00986F85" w:rsidRDefault="00585C26" w:rsidP="002640E4">
            <w:pPr>
              <w:suppressAutoHyphens w:val="0"/>
              <w:spacing w:after="0" w:line="240" w:lineRule="auto"/>
              <w:jc w:val="center"/>
              <w:rPr>
                <w:rFonts w:eastAsia="Times New Roman" w:cs="Arial"/>
                <w:b/>
                <w:sz w:val="20"/>
                <w:szCs w:val="20"/>
                <w:lang w:val="en-US" w:eastAsia="en-US"/>
              </w:rPr>
            </w:pPr>
            <w:r w:rsidRPr="00986F85">
              <w:rPr>
                <w:rFonts w:eastAsia="Times New Roman" w:cs="Arial"/>
                <w:b/>
                <w:sz w:val="20"/>
                <w:szCs w:val="20"/>
                <w:lang w:val="en-US" w:eastAsia="en-US"/>
              </w:rPr>
              <w:t>Bővített GOP A 2007-2011</w:t>
            </w:r>
          </w:p>
        </w:tc>
        <w:tc>
          <w:tcPr>
            <w:tcW w:w="1057" w:type="dxa"/>
            <w:tcBorders>
              <w:top w:val="single" w:sz="4" w:space="0" w:color="auto"/>
              <w:left w:val="nil"/>
              <w:bottom w:val="single" w:sz="4" w:space="0" w:color="auto"/>
              <w:right w:val="nil"/>
            </w:tcBorders>
            <w:shd w:val="clear" w:color="auto" w:fill="B10000"/>
            <w:hideMark/>
          </w:tcPr>
          <w:p w14:paraId="445FB8F4" w14:textId="77777777" w:rsidR="00585C26" w:rsidRPr="00986F85" w:rsidRDefault="00585C26" w:rsidP="002640E4">
            <w:pPr>
              <w:suppressAutoHyphens w:val="0"/>
              <w:spacing w:after="0" w:line="240" w:lineRule="auto"/>
              <w:jc w:val="center"/>
              <w:rPr>
                <w:rFonts w:eastAsia="Times New Roman" w:cs="Arial"/>
                <w:b/>
                <w:sz w:val="20"/>
                <w:szCs w:val="20"/>
                <w:lang w:val="en-US" w:eastAsia="en-US"/>
              </w:rPr>
            </w:pPr>
            <w:r w:rsidRPr="00986F85">
              <w:rPr>
                <w:rFonts w:eastAsia="Times New Roman" w:cs="Arial"/>
                <w:b/>
                <w:sz w:val="20"/>
                <w:szCs w:val="20"/>
                <w:lang w:val="en-US" w:eastAsia="en-US"/>
              </w:rPr>
              <w:t>Bővített GOP A 2007-2011</w:t>
            </w:r>
          </w:p>
        </w:tc>
        <w:tc>
          <w:tcPr>
            <w:tcW w:w="1057" w:type="dxa"/>
            <w:tcBorders>
              <w:top w:val="single" w:sz="4" w:space="0" w:color="auto"/>
              <w:left w:val="nil"/>
              <w:bottom w:val="single" w:sz="4" w:space="0" w:color="auto"/>
              <w:right w:val="nil"/>
            </w:tcBorders>
            <w:shd w:val="clear" w:color="auto" w:fill="B10000"/>
            <w:hideMark/>
          </w:tcPr>
          <w:p w14:paraId="274743AE" w14:textId="77777777" w:rsidR="00585C26" w:rsidRPr="00986F85" w:rsidRDefault="00585C26" w:rsidP="002640E4">
            <w:pPr>
              <w:suppressAutoHyphens w:val="0"/>
              <w:spacing w:after="0" w:line="240" w:lineRule="auto"/>
              <w:jc w:val="center"/>
              <w:rPr>
                <w:rFonts w:eastAsia="Times New Roman" w:cs="Arial"/>
                <w:b/>
                <w:sz w:val="20"/>
                <w:szCs w:val="20"/>
                <w:lang w:val="en-US" w:eastAsia="en-US"/>
              </w:rPr>
            </w:pPr>
            <w:r w:rsidRPr="00986F85">
              <w:rPr>
                <w:rFonts w:eastAsia="Times New Roman" w:cs="Arial"/>
                <w:b/>
                <w:sz w:val="20"/>
                <w:szCs w:val="20"/>
                <w:lang w:val="en-US" w:eastAsia="en-US"/>
              </w:rPr>
              <w:t>Bővített GOP A 2007-2011</w:t>
            </w:r>
          </w:p>
        </w:tc>
        <w:tc>
          <w:tcPr>
            <w:tcW w:w="1059" w:type="dxa"/>
            <w:tcBorders>
              <w:top w:val="single" w:sz="4" w:space="0" w:color="auto"/>
              <w:left w:val="nil"/>
              <w:bottom w:val="single" w:sz="4" w:space="0" w:color="auto"/>
              <w:right w:val="nil"/>
            </w:tcBorders>
            <w:shd w:val="clear" w:color="auto" w:fill="B10000"/>
            <w:hideMark/>
          </w:tcPr>
          <w:p w14:paraId="73FC3849" w14:textId="77777777" w:rsidR="00585C26" w:rsidRPr="00986F85" w:rsidRDefault="00585C26" w:rsidP="002640E4">
            <w:pPr>
              <w:suppressAutoHyphens w:val="0"/>
              <w:spacing w:after="0" w:line="240" w:lineRule="auto"/>
              <w:jc w:val="center"/>
              <w:rPr>
                <w:rFonts w:eastAsia="Times New Roman" w:cs="Arial"/>
                <w:b/>
                <w:sz w:val="20"/>
                <w:szCs w:val="20"/>
                <w:lang w:val="en-US" w:eastAsia="en-US"/>
              </w:rPr>
            </w:pPr>
            <w:r w:rsidRPr="00986F85">
              <w:rPr>
                <w:rFonts w:eastAsia="Times New Roman" w:cs="Arial"/>
                <w:b/>
                <w:sz w:val="20"/>
                <w:szCs w:val="20"/>
                <w:lang w:val="en-US" w:eastAsia="en-US"/>
              </w:rPr>
              <w:t>Bővített GOP A 2007-2011</w:t>
            </w:r>
          </w:p>
        </w:tc>
        <w:tc>
          <w:tcPr>
            <w:tcW w:w="1059" w:type="dxa"/>
            <w:tcBorders>
              <w:top w:val="single" w:sz="4" w:space="0" w:color="auto"/>
              <w:left w:val="nil"/>
              <w:bottom w:val="single" w:sz="4" w:space="0" w:color="auto"/>
              <w:right w:val="nil"/>
            </w:tcBorders>
            <w:shd w:val="clear" w:color="auto" w:fill="B10000"/>
            <w:hideMark/>
          </w:tcPr>
          <w:p w14:paraId="2E082CB3" w14:textId="77777777" w:rsidR="00585C26" w:rsidRPr="00986F85" w:rsidRDefault="00585C26" w:rsidP="002640E4">
            <w:pPr>
              <w:suppressAutoHyphens w:val="0"/>
              <w:spacing w:after="0" w:line="240" w:lineRule="auto"/>
              <w:jc w:val="center"/>
              <w:rPr>
                <w:rFonts w:eastAsia="Times New Roman" w:cs="Arial"/>
                <w:b/>
                <w:sz w:val="20"/>
                <w:szCs w:val="20"/>
                <w:lang w:val="en-US" w:eastAsia="en-US"/>
              </w:rPr>
            </w:pPr>
            <w:r w:rsidRPr="00986F85">
              <w:rPr>
                <w:rFonts w:eastAsia="Times New Roman" w:cs="Arial"/>
                <w:b/>
                <w:sz w:val="20"/>
                <w:szCs w:val="20"/>
                <w:lang w:val="en-US" w:eastAsia="en-US"/>
              </w:rPr>
              <w:t>Bővített GOP A 2007-2011</w:t>
            </w:r>
          </w:p>
        </w:tc>
        <w:tc>
          <w:tcPr>
            <w:tcW w:w="1014" w:type="dxa"/>
            <w:tcBorders>
              <w:top w:val="single" w:sz="4" w:space="0" w:color="auto"/>
              <w:left w:val="nil"/>
              <w:bottom w:val="single" w:sz="4" w:space="0" w:color="auto"/>
              <w:right w:val="nil"/>
            </w:tcBorders>
            <w:shd w:val="clear" w:color="auto" w:fill="B10000"/>
            <w:hideMark/>
          </w:tcPr>
          <w:p w14:paraId="0AA7A353" w14:textId="77777777" w:rsidR="00585C26" w:rsidRPr="00986F85" w:rsidRDefault="00585C26" w:rsidP="002640E4">
            <w:pPr>
              <w:suppressAutoHyphens w:val="0"/>
              <w:spacing w:after="0" w:line="240" w:lineRule="auto"/>
              <w:jc w:val="center"/>
              <w:rPr>
                <w:rFonts w:eastAsia="Times New Roman" w:cs="Arial"/>
                <w:b/>
                <w:sz w:val="20"/>
                <w:szCs w:val="20"/>
                <w:lang w:val="en-US" w:eastAsia="en-US"/>
              </w:rPr>
            </w:pPr>
            <w:r w:rsidRPr="00986F85">
              <w:rPr>
                <w:rFonts w:eastAsia="Times New Roman" w:cs="Arial"/>
                <w:b/>
                <w:sz w:val="20"/>
                <w:szCs w:val="20"/>
                <w:lang w:val="en-US" w:eastAsia="en-US"/>
              </w:rPr>
              <w:t>Bővített GOP A 2007-2011</w:t>
            </w:r>
          </w:p>
        </w:tc>
        <w:tc>
          <w:tcPr>
            <w:tcW w:w="1139" w:type="dxa"/>
            <w:tcBorders>
              <w:top w:val="single" w:sz="4" w:space="0" w:color="auto"/>
              <w:left w:val="nil"/>
              <w:bottom w:val="single" w:sz="4" w:space="0" w:color="auto"/>
              <w:right w:val="nil"/>
            </w:tcBorders>
            <w:shd w:val="clear" w:color="auto" w:fill="B10000"/>
            <w:hideMark/>
          </w:tcPr>
          <w:p w14:paraId="5C3167E4" w14:textId="77777777" w:rsidR="00585C26" w:rsidRPr="00986F85" w:rsidRDefault="00585C26" w:rsidP="002640E4">
            <w:pPr>
              <w:suppressAutoHyphens w:val="0"/>
              <w:spacing w:after="0" w:line="240" w:lineRule="auto"/>
              <w:jc w:val="center"/>
              <w:rPr>
                <w:rFonts w:eastAsia="Times New Roman" w:cs="Arial"/>
                <w:b/>
                <w:sz w:val="20"/>
                <w:szCs w:val="20"/>
                <w:lang w:val="en-US" w:eastAsia="en-US"/>
              </w:rPr>
            </w:pPr>
            <w:r w:rsidRPr="00986F85">
              <w:rPr>
                <w:rFonts w:eastAsia="Times New Roman" w:cs="Arial"/>
                <w:b/>
                <w:sz w:val="20"/>
                <w:szCs w:val="20"/>
                <w:lang w:val="en-US" w:eastAsia="en-US"/>
              </w:rPr>
              <w:t>Bővített GOP A 2007-2011</w:t>
            </w:r>
          </w:p>
        </w:tc>
      </w:tr>
      <w:tr w:rsidR="00585C26" w:rsidRPr="00986F85" w14:paraId="1D202DE2" w14:textId="77777777" w:rsidTr="00585C26">
        <w:trPr>
          <w:trHeight w:val="240"/>
        </w:trPr>
        <w:tc>
          <w:tcPr>
            <w:tcW w:w="3441" w:type="dxa"/>
            <w:tcBorders>
              <w:top w:val="nil"/>
              <w:left w:val="nil"/>
              <w:bottom w:val="nil"/>
              <w:right w:val="nil"/>
            </w:tcBorders>
            <w:shd w:val="clear" w:color="auto" w:fill="auto"/>
            <w:noWrap/>
            <w:vAlign w:val="bottom"/>
            <w:hideMark/>
          </w:tcPr>
          <w:p w14:paraId="2A4BC8EF"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 xml:space="preserve">Adminisztratív és szolg. támogató tev. </w:t>
            </w:r>
          </w:p>
        </w:tc>
        <w:tc>
          <w:tcPr>
            <w:tcW w:w="994" w:type="dxa"/>
            <w:tcBorders>
              <w:top w:val="nil"/>
              <w:left w:val="nil"/>
              <w:bottom w:val="nil"/>
              <w:right w:val="nil"/>
            </w:tcBorders>
            <w:shd w:val="clear" w:color="auto" w:fill="auto"/>
            <w:noWrap/>
            <w:vAlign w:val="bottom"/>
            <w:hideMark/>
          </w:tcPr>
          <w:p w14:paraId="38683CC9"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-0.125</w:t>
            </w:r>
          </w:p>
        </w:tc>
        <w:tc>
          <w:tcPr>
            <w:tcW w:w="1057" w:type="dxa"/>
            <w:tcBorders>
              <w:top w:val="nil"/>
              <w:left w:val="nil"/>
              <w:bottom w:val="nil"/>
              <w:right w:val="nil"/>
            </w:tcBorders>
            <w:shd w:val="clear" w:color="auto" w:fill="auto"/>
            <w:noWrap/>
            <w:vAlign w:val="bottom"/>
            <w:hideMark/>
          </w:tcPr>
          <w:p w14:paraId="11F0BB32"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-0.108</w:t>
            </w:r>
          </w:p>
        </w:tc>
        <w:tc>
          <w:tcPr>
            <w:tcW w:w="1057" w:type="dxa"/>
            <w:tcBorders>
              <w:top w:val="nil"/>
              <w:left w:val="nil"/>
              <w:bottom w:val="nil"/>
              <w:right w:val="nil"/>
            </w:tcBorders>
            <w:shd w:val="clear" w:color="auto" w:fill="auto"/>
            <w:noWrap/>
            <w:vAlign w:val="bottom"/>
            <w:hideMark/>
          </w:tcPr>
          <w:p w14:paraId="5B4A2E47"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-0.104</w:t>
            </w:r>
          </w:p>
        </w:tc>
        <w:tc>
          <w:tcPr>
            <w:tcW w:w="1059" w:type="dxa"/>
            <w:tcBorders>
              <w:top w:val="nil"/>
              <w:left w:val="nil"/>
              <w:bottom w:val="nil"/>
              <w:right w:val="nil"/>
            </w:tcBorders>
            <w:shd w:val="clear" w:color="auto" w:fill="auto"/>
            <w:noWrap/>
            <w:vAlign w:val="bottom"/>
            <w:hideMark/>
          </w:tcPr>
          <w:p w14:paraId="47DE2DB6"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-0.0959</w:t>
            </w:r>
          </w:p>
        </w:tc>
        <w:tc>
          <w:tcPr>
            <w:tcW w:w="1059" w:type="dxa"/>
            <w:tcBorders>
              <w:top w:val="nil"/>
              <w:left w:val="nil"/>
              <w:bottom w:val="nil"/>
              <w:right w:val="nil"/>
            </w:tcBorders>
            <w:shd w:val="clear" w:color="auto" w:fill="auto"/>
            <w:noWrap/>
            <w:vAlign w:val="bottom"/>
            <w:hideMark/>
          </w:tcPr>
          <w:p w14:paraId="318C89B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0.143</w:t>
            </w:r>
          </w:p>
        </w:tc>
        <w:tc>
          <w:tcPr>
            <w:tcW w:w="1014" w:type="dxa"/>
            <w:tcBorders>
              <w:top w:val="nil"/>
              <w:left w:val="nil"/>
              <w:bottom w:val="nil"/>
              <w:right w:val="nil"/>
            </w:tcBorders>
            <w:shd w:val="clear" w:color="auto" w:fill="auto"/>
            <w:noWrap/>
            <w:vAlign w:val="bottom"/>
            <w:hideMark/>
          </w:tcPr>
          <w:p w14:paraId="778D03B4"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0.0748</w:t>
            </w:r>
          </w:p>
        </w:tc>
        <w:tc>
          <w:tcPr>
            <w:tcW w:w="1139" w:type="dxa"/>
            <w:tcBorders>
              <w:top w:val="nil"/>
              <w:left w:val="nil"/>
              <w:bottom w:val="nil"/>
              <w:right w:val="nil"/>
            </w:tcBorders>
            <w:shd w:val="clear" w:color="auto" w:fill="auto"/>
            <w:noWrap/>
            <w:vAlign w:val="bottom"/>
            <w:hideMark/>
          </w:tcPr>
          <w:p w14:paraId="77D40DB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-0.0933</w:t>
            </w:r>
          </w:p>
        </w:tc>
      </w:tr>
      <w:tr w:rsidR="00585C26" w:rsidRPr="00986F85" w14:paraId="3B37DD39" w14:textId="77777777" w:rsidTr="00585C26">
        <w:trPr>
          <w:trHeight w:val="240"/>
        </w:trPr>
        <w:tc>
          <w:tcPr>
            <w:tcW w:w="3441" w:type="dxa"/>
            <w:tcBorders>
              <w:top w:val="nil"/>
              <w:left w:val="nil"/>
              <w:bottom w:val="nil"/>
              <w:right w:val="nil"/>
            </w:tcBorders>
            <w:shd w:val="clear" w:color="auto" w:fill="auto"/>
            <w:noWrap/>
            <w:vAlign w:val="bottom"/>
            <w:hideMark/>
          </w:tcPr>
          <w:p w14:paraId="768CF451" w14:textId="77777777" w:rsidR="00585C26" w:rsidRPr="00986F85" w:rsidRDefault="00585C26" w:rsidP="00585C26">
            <w:pPr>
              <w:suppressAutoHyphens w:val="0"/>
              <w:spacing w:after="0" w:line="240" w:lineRule="auto"/>
              <w:rPr>
                <w:rFonts w:eastAsia="Times New Roman" w:cs="Arial"/>
                <w:sz w:val="20"/>
                <w:szCs w:val="20"/>
                <w:lang w:val="en-US" w:eastAsia="en-US"/>
              </w:rPr>
            </w:pPr>
          </w:p>
        </w:tc>
        <w:tc>
          <w:tcPr>
            <w:tcW w:w="994" w:type="dxa"/>
            <w:tcBorders>
              <w:top w:val="nil"/>
              <w:left w:val="nil"/>
              <w:bottom w:val="nil"/>
              <w:right w:val="nil"/>
            </w:tcBorders>
            <w:shd w:val="clear" w:color="auto" w:fill="auto"/>
            <w:noWrap/>
            <w:vAlign w:val="bottom"/>
            <w:hideMark/>
          </w:tcPr>
          <w:p w14:paraId="1885B0A1"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(0.152)</w:t>
            </w:r>
          </w:p>
        </w:tc>
        <w:tc>
          <w:tcPr>
            <w:tcW w:w="1057" w:type="dxa"/>
            <w:tcBorders>
              <w:top w:val="nil"/>
              <w:left w:val="nil"/>
              <w:bottom w:val="nil"/>
              <w:right w:val="nil"/>
            </w:tcBorders>
            <w:shd w:val="clear" w:color="auto" w:fill="auto"/>
            <w:noWrap/>
            <w:vAlign w:val="bottom"/>
            <w:hideMark/>
          </w:tcPr>
          <w:p w14:paraId="5BD5C4DD"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(0.156)</w:t>
            </w:r>
          </w:p>
        </w:tc>
        <w:tc>
          <w:tcPr>
            <w:tcW w:w="1057" w:type="dxa"/>
            <w:tcBorders>
              <w:top w:val="nil"/>
              <w:left w:val="nil"/>
              <w:bottom w:val="nil"/>
              <w:right w:val="nil"/>
            </w:tcBorders>
            <w:shd w:val="clear" w:color="auto" w:fill="auto"/>
            <w:noWrap/>
            <w:vAlign w:val="bottom"/>
            <w:hideMark/>
          </w:tcPr>
          <w:p w14:paraId="32EE2ADA"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(0.156)</w:t>
            </w:r>
          </w:p>
        </w:tc>
        <w:tc>
          <w:tcPr>
            <w:tcW w:w="1059" w:type="dxa"/>
            <w:tcBorders>
              <w:top w:val="nil"/>
              <w:left w:val="nil"/>
              <w:bottom w:val="nil"/>
              <w:right w:val="nil"/>
            </w:tcBorders>
            <w:shd w:val="clear" w:color="auto" w:fill="auto"/>
            <w:noWrap/>
            <w:vAlign w:val="bottom"/>
            <w:hideMark/>
          </w:tcPr>
          <w:p w14:paraId="75EEBB7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(0.156)</w:t>
            </w:r>
          </w:p>
        </w:tc>
        <w:tc>
          <w:tcPr>
            <w:tcW w:w="1059" w:type="dxa"/>
            <w:tcBorders>
              <w:top w:val="nil"/>
              <w:left w:val="nil"/>
              <w:bottom w:val="nil"/>
              <w:right w:val="nil"/>
            </w:tcBorders>
            <w:shd w:val="clear" w:color="auto" w:fill="auto"/>
            <w:noWrap/>
            <w:vAlign w:val="bottom"/>
            <w:hideMark/>
          </w:tcPr>
          <w:p w14:paraId="629BC9DB"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(0.163)</w:t>
            </w:r>
          </w:p>
        </w:tc>
        <w:tc>
          <w:tcPr>
            <w:tcW w:w="1014" w:type="dxa"/>
            <w:tcBorders>
              <w:top w:val="nil"/>
              <w:left w:val="nil"/>
              <w:bottom w:val="nil"/>
              <w:right w:val="nil"/>
            </w:tcBorders>
            <w:shd w:val="clear" w:color="auto" w:fill="auto"/>
            <w:noWrap/>
            <w:vAlign w:val="bottom"/>
            <w:hideMark/>
          </w:tcPr>
          <w:p w14:paraId="0D9BC4C8"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(0.163)</w:t>
            </w:r>
          </w:p>
        </w:tc>
        <w:tc>
          <w:tcPr>
            <w:tcW w:w="1139" w:type="dxa"/>
            <w:tcBorders>
              <w:top w:val="nil"/>
              <w:left w:val="nil"/>
              <w:bottom w:val="nil"/>
              <w:right w:val="nil"/>
            </w:tcBorders>
            <w:shd w:val="clear" w:color="auto" w:fill="auto"/>
            <w:noWrap/>
            <w:vAlign w:val="bottom"/>
            <w:hideMark/>
          </w:tcPr>
          <w:p w14:paraId="2BD8E78D"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(0.580)</w:t>
            </w:r>
          </w:p>
        </w:tc>
      </w:tr>
      <w:tr w:rsidR="00585C26" w:rsidRPr="00986F85" w14:paraId="4062EA77" w14:textId="77777777" w:rsidTr="00585C26">
        <w:trPr>
          <w:trHeight w:val="240"/>
        </w:trPr>
        <w:tc>
          <w:tcPr>
            <w:tcW w:w="3441" w:type="dxa"/>
            <w:tcBorders>
              <w:top w:val="nil"/>
              <w:left w:val="nil"/>
              <w:bottom w:val="nil"/>
              <w:right w:val="nil"/>
            </w:tcBorders>
            <w:shd w:val="clear" w:color="auto" w:fill="auto"/>
            <w:noWrap/>
            <w:vAlign w:val="bottom"/>
            <w:hideMark/>
          </w:tcPr>
          <w:p w14:paraId="692E94BE"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Bányászat, kőfejtés</w:t>
            </w:r>
          </w:p>
        </w:tc>
        <w:tc>
          <w:tcPr>
            <w:tcW w:w="994" w:type="dxa"/>
            <w:tcBorders>
              <w:top w:val="nil"/>
              <w:left w:val="nil"/>
              <w:bottom w:val="nil"/>
              <w:right w:val="nil"/>
            </w:tcBorders>
            <w:shd w:val="clear" w:color="auto" w:fill="auto"/>
            <w:noWrap/>
            <w:vAlign w:val="bottom"/>
            <w:hideMark/>
          </w:tcPr>
          <w:p w14:paraId="3B0D3057"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0.646***</w:t>
            </w:r>
          </w:p>
        </w:tc>
        <w:tc>
          <w:tcPr>
            <w:tcW w:w="1057" w:type="dxa"/>
            <w:tcBorders>
              <w:top w:val="nil"/>
              <w:left w:val="nil"/>
              <w:bottom w:val="nil"/>
              <w:right w:val="nil"/>
            </w:tcBorders>
            <w:shd w:val="clear" w:color="auto" w:fill="auto"/>
            <w:noWrap/>
            <w:vAlign w:val="bottom"/>
            <w:hideMark/>
          </w:tcPr>
          <w:p w14:paraId="040441FD"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0.751***</w:t>
            </w:r>
          </w:p>
        </w:tc>
        <w:tc>
          <w:tcPr>
            <w:tcW w:w="1057" w:type="dxa"/>
            <w:tcBorders>
              <w:top w:val="nil"/>
              <w:left w:val="nil"/>
              <w:bottom w:val="nil"/>
              <w:right w:val="nil"/>
            </w:tcBorders>
            <w:shd w:val="clear" w:color="auto" w:fill="auto"/>
            <w:noWrap/>
            <w:vAlign w:val="bottom"/>
            <w:hideMark/>
          </w:tcPr>
          <w:p w14:paraId="32644C38"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0.747***</w:t>
            </w:r>
          </w:p>
        </w:tc>
        <w:tc>
          <w:tcPr>
            <w:tcW w:w="1059" w:type="dxa"/>
            <w:tcBorders>
              <w:top w:val="nil"/>
              <w:left w:val="nil"/>
              <w:bottom w:val="nil"/>
              <w:right w:val="nil"/>
            </w:tcBorders>
            <w:shd w:val="clear" w:color="auto" w:fill="auto"/>
            <w:noWrap/>
            <w:vAlign w:val="bottom"/>
            <w:hideMark/>
          </w:tcPr>
          <w:p w14:paraId="4CCCDADB"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0.752***</w:t>
            </w:r>
          </w:p>
        </w:tc>
        <w:tc>
          <w:tcPr>
            <w:tcW w:w="1059" w:type="dxa"/>
            <w:tcBorders>
              <w:top w:val="nil"/>
              <w:left w:val="nil"/>
              <w:bottom w:val="nil"/>
              <w:right w:val="nil"/>
            </w:tcBorders>
            <w:shd w:val="clear" w:color="auto" w:fill="auto"/>
            <w:noWrap/>
            <w:vAlign w:val="bottom"/>
            <w:hideMark/>
          </w:tcPr>
          <w:p w14:paraId="69F4ED94"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0.630***</w:t>
            </w:r>
          </w:p>
        </w:tc>
        <w:tc>
          <w:tcPr>
            <w:tcW w:w="1014" w:type="dxa"/>
            <w:tcBorders>
              <w:top w:val="nil"/>
              <w:left w:val="nil"/>
              <w:bottom w:val="nil"/>
              <w:right w:val="nil"/>
            </w:tcBorders>
            <w:shd w:val="clear" w:color="auto" w:fill="auto"/>
            <w:noWrap/>
            <w:vAlign w:val="bottom"/>
            <w:hideMark/>
          </w:tcPr>
          <w:p w14:paraId="744B47CA"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0.597**</w:t>
            </w:r>
          </w:p>
        </w:tc>
        <w:tc>
          <w:tcPr>
            <w:tcW w:w="1139" w:type="dxa"/>
            <w:tcBorders>
              <w:top w:val="nil"/>
              <w:left w:val="nil"/>
              <w:bottom w:val="nil"/>
              <w:right w:val="nil"/>
            </w:tcBorders>
            <w:shd w:val="clear" w:color="auto" w:fill="auto"/>
            <w:noWrap/>
            <w:vAlign w:val="bottom"/>
            <w:hideMark/>
          </w:tcPr>
          <w:p w14:paraId="070E0859"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1.090*</w:t>
            </w:r>
          </w:p>
        </w:tc>
      </w:tr>
      <w:tr w:rsidR="00585C26" w:rsidRPr="00986F85" w14:paraId="2ED1733E" w14:textId="77777777" w:rsidTr="00585C26">
        <w:trPr>
          <w:trHeight w:val="240"/>
        </w:trPr>
        <w:tc>
          <w:tcPr>
            <w:tcW w:w="3441" w:type="dxa"/>
            <w:tcBorders>
              <w:top w:val="nil"/>
              <w:left w:val="nil"/>
              <w:bottom w:val="nil"/>
              <w:right w:val="nil"/>
            </w:tcBorders>
            <w:shd w:val="clear" w:color="auto" w:fill="auto"/>
            <w:noWrap/>
            <w:vAlign w:val="bottom"/>
            <w:hideMark/>
          </w:tcPr>
          <w:p w14:paraId="2DC9B08C" w14:textId="77777777" w:rsidR="00585C26" w:rsidRPr="00986F85" w:rsidRDefault="00585C26" w:rsidP="00585C26">
            <w:pPr>
              <w:suppressAutoHyphens w:val="0"/>
              <w:spacing w:after="0" w:line="240" w:lineRule="auto"/>
              <w:rPr>
                <w:rFonts w:eastAsia="Times New Roman" w:cs="Arial"/>
                <w:sz w:val="20"/>
                <w:szCs w:val="20"/>
                <w:lang w:val="en-US" w:eastAsia="en-US"/>
              </w:rPr>
            </w:pPr>
          </w:p>
        </w:tc>
        <w:tc>
          <w:tcPr>
            <w:tcW w:w="994" w:type="dxa"/>
            <w:tcBorders>
              <w:top w:val="nil"/>
              <w:left w:val="nil"/>
              <w:bottom w:val="nil"/>
              <w:right w:val="nil"/>
            </w:tcBorders>
            <w:shd w:val="clear" w:color="auto" w:fill="auto"/>
            <w:noWrap/>
            <w:vAlign w:val="bottom"/>
            <w:hideMark/>
          </w:tcPr>
          <w:p w14:paraId="2D86B21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(0.236)</w:t>
            </w:r>
          </w:p>
        </w:tc>
        <w:tc>
          <w:tcPr>
            <w:tcW w:w="1057" w:type="dxa"/>
            <w:tcBorders>
              <w:top w:val="nil"/>
              <w:left w:val="nil"/>
              <w:bottom w:val="nil"/>
              <w:right w:val="nil"/>
            </w:tcBorders>
            <w:shd w:val="clear" w:color="auto" w:fill="auto"/>
            <w:noWrap/>
            <w:vAlign w:val="bottom"/>
            <w:hideMark/>
          </w:tcPr>
          <w:p w14:paraId="236BF8C6"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(0.242)</w:t>
            </w:r>
          </w:p>
        </w:tc>
        <w:tc>
          <w:tcPr>
            <w:tcW w:w="1057" w:type="dxa"/>
            <w:tcBorders>
              <w:top w:val="nil"/>
              <w:left w:val="nil"/>
              <w:bottom w:val="nil"/>
              <w:right w:val="nil"/>
            </w:tcBorders>
            <w:shd w:val="clear" w:color="auto" w:fill="auto"/>
            <w:noWrap/>
            <w:vAlign w:val="bottom"/>
            <w:hideMark/>
          </w:tcPr>
          <w:p w14:paraId="00338F89"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(0.242)</w:t>
            </w:r>
          </w:p>
        </w:tc>
        <w:tc>
          <w:tcPr>
            <w:tcW w:w="1059" w:type="dxa"/>
            <w:tcBorders>
              <w:top w:val="nil"/>
              <w:left w:val="nil"/>
              <w:bottom w:val="nil"/>
              <w:right w:val="nil"/>
            </w:tcBorders>
            <w:shd w:val="clear" w:color="auto" w:fill="auto"/>
            <w:noWrap/>
            <w:vAlign w:val="bottom"/>
            <w:hideMark/>
          </w:tcPr>
          <w:p w14:paraId="551638CF"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(0.243)</w:t>
            </w:r>
          </w:p>
        </w:tc>
        <w:tc>
          <w:tcPr>
            <w:tcW w:w="1059" w:type="dxa"/>
            <w:tcBorders>
              <w:top w:val="nil"/>
              <w:left w:val="nil"/>
              <w:bottom w:val="nil"/>
              <w:right w:val="nil"/>
            </w:tcBorders>
            <w:shd w:val="clear" w:color="auto" w:fill="auto"/>
            <w:noWrap/>
            <w:vAlign w:val="bottom"/>
            <w:hideMark/>
          </w:tcPr>
          <w:p w14:paraId="508E4653"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(0.243)</w:t>
            </w:r>
          </w:p>
        </w:tc>
        <w:tc>
          <w:tcPr>
            <w:tcW w:w="1014" w:type="dxa"/>
            <w:tcBorders>
              <w:top w:val="nil"/>
              <w:left w:val="nil"/>
              <w:bottom w:val="nil"/>
              <w:right w:val="nil"/>
            </w:tcBorders>
            <w:shd w:val="clear" w:color="auto" w:fill="auto"/>
            <w:noWrap/>
            <w:vAlign w:val="bottom"/>
            <w:hideMark/>
          </w:tcPr>
          <w:p w14:paraId="7D2CC04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(0.242)</w:t>
            </w:r>
          </w:p>
        </w:tc>
        <w:tc>
          <w:tcPr>
            <w:tcW w:w="1139" w:type="dxa"/>
            <w:tcBorders>
              <w:top w:val="nil"/>
              <w:left w:val="nil"/>
              <w:bottom w:val="nil"/>
              <w:right w:val="nil"/>
            </w:tcBorders>
            <w:shd w:val="clear" w:color="auto" w:fill="auto"/>
            <w:noWrap/>
            <w:vAlign w:val="bottom"/>
            <w:hideMark/>
          </w:tcPr>
          <w:p w14:paraId="38DA6E97"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(0.634)</w:t>
            </w:r>
          </w:p>
        </w:tc>
      </w:tr>
      <w:tr w:rsidR="00585C26" w:rsidRPr="00986F85" w14:paraId="26B62376" w14:textId="77777777" w:rsidTr="00585C26">
        <w:trPr>
          <w:trHeight w:val="240"/>
        </w:trPr>
        <w:tc>
          <w:tcPr>
            <w:tcW w:w="3441" w:type="dxa"/>
            <w:tcBorders>
              <w:top w:val="nil"/>
              <w:left w:val="nil"/>
              <w:bottom w:val="nil"/>
              <w:right w:val="nil"/>
            </w:tcBorders>
            <w:shd w:val="clear" w:color="auto" w:fill="auto"/>
            <w:noWrap/>
            <w:vAlign w:val="bottom"/>
            <w:hideMark/>
          </w:tcPr>
          <w:p w14:paraId="343EE9F1"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Egyéb szolgáltatás</w:t>
            </w:r>
          </w:p>
        </w:tc>
        <w:tc>
          <w:tcPr>
            <w:tcW w:w="994" w:type="dxa"/>
            <w:tcBorders>
              <w:top w:val="nil"/>
              <w:left w:val="nil"/>
              <w:bottom w:val="nil"/>
              <w:right w:val="nil"/>
            </w:tcBorders>
            <w:shd w:val="clear" w:color="auto" w:fill="auto"/>
            <w:noWrap/>
            <w:vAlign w:val="bottom"/>
            <w:hideMark/>
          </w:tcPr>
          <w:p w14:paraId="6CA182E9"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0.0288</w:t>
            </w:r>
          </w:p>
        </w:tc>
        <w:tc>
          <w:tcPr>
            <w:tcW w:w="1057" w:type="dxa"/>
            <w:tcBorders>
              <w:top w:val="nil"/>
              <w:left w:val="nil"/>
              <w:bottom w:val="nil"/>
              <w:right w:val="nil"/>
            </w:tcBorders>
            <w:shd w:val="clear" w:color="auto" w:fill="auto"/>
            <w:noWrap/>
            <w:vAlign w:val="bottom"/>
            <w:hideMark/>
          </w:tcPr>
          <w:p w14:paraId="0B2825F9"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0.157</w:t>
            </w:r>
          </w:p>
        </w:tc>
        <w:tc>
          <w:tcPr>
            <w:tcW w:w="1057" w:type="dxa"/>
            <w:tcBorders>
              <w:top w:val="nil"/>
              <w:left w:val="nil"/>
              <w:bottom w:val="nil"/>
              <w:right w:val="nil"/>
            </w:tcBorders>
            <w:shd w:val="clear" w:color="auto" w:fill="auto"/>
            <w:noWrap/>
            <w:vAlign w:val="bottom"/>
            <w:hideMark/>
          </w:tcPr>
          <w:p w14:paraId="1E4588B7"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0.164</w:t>
            </w:r>
          </w:p>
        </w:tc>
        <w:tc>
          <w:tcPr>
            <w:tcW w:w="1059" w:type="dxa"/>
            <w:tcBorders>
              <w:top w:val="nil"/>
              <w:left w:val="nil"/>
              <w:bottom w:val="nil"/>
              <w:right w:val="nil"/>
            </w:tcBorders>
            <w:shd w:val="clear" w:color="auto" w:fill="auto"/>
            <w:noWrap/>
            <w:vAlign w:val="bottom"/>
            <w:hideMark/>
          </w:tcPr>
          <w:p w14:paraId="6C9AA45A"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0.176</w:t>
            </w:r>
          </w:p>
        </w:tc>
        <w:tc>
          <w:tcPr>
            <w:tcW w:w="1059" w:type="dxa"/>
            <w:tcBorders>
              <w:top w:val="nil"/>
              <w:left w:val="nil"/>
              <w:bottom w:val="nil"/>
              <w:right w:val="nil"/>
            </w:tcBorders>
            <w:shd w:val="clear" w:color="auto" w:fill="auto"/>
            <w:noWrap/>
            <w:vAlign w:val="bottom"/>
            <w:hideMark/>
          </w:tcPr>
          <w:p w14:paraId="03A002AA"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0.286</w:t>
            </w:r>
          </w:p>
        </w:tc>
        <w:tc>
          <w:tcPr>
            <w:tcW w:w="1014" w:type="dxa"/>
            <w:tcBorders>
              <w:top w:val="nil"/>
              <w:left w:val="nil"/>
              <w:bottom w:val="nil"/>
              <w:right w:val="nil"/>
            </w:tcBorders>
            <w:shd w:val="clear" w:color="auto" w:fill="auto"/>
            <w:noWrap/>
            <w:vAlign w:val="bottom"/>
            <w:hideMark/>
          </w:tcPr>
          <w:p w14:paraId="2C92F1E0"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0.285</w:t>
            </w:r>
          </w:p>
        </w:tc>
        <w:tc>
          <w:tcPr>
            <w:tcW w:w="1139" w:type="dxa"/>
            <w:tcBorders>
              <w:top w:val="nil"/>
              <w:left w:val="nil"/>
              <w:bottom w:val="nil"/>
              <w:right w:val="nil"/>
            </w:tcBorders>
            <w:shd w:val="clear" w:color="auto" w:fill="auto"/>
            <w:noWrap/>
            <w:vAlign w:val="bottom"/>
            <w:hideMark/>
          </w:tcPr>
          <w:p w14:paraId="1C55E81B"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0.460</w:t>
            </w:r>
          </w:p>
        </w:tc>
      </w:tr>
      <w:tr w:rsidR="00585C26" w:rsidRPr="00986F85" w14:paraId="5C0A8E13" w14:textId="77777777" w:rsidTr="00585C26">
        <w:trPr>
          <w:trHeight w:val="240"/>
        </w:trPr>
        <w:tc>
          <w:tcPr>
            <w:tcW w:w="3441" w:type="dxa"/>
            <w:tcBorders>
              <w:top w:val="nil"/>
              <w:left w:val="nil"/>
              <w:bottom w:val="nil"/>
              <w:right w:val="nil"/>
            </w:tcBorders>
            <w:shd w:val="clear" w:color="auto" w:fill="auto"/>
            <w:noWrap/>
            <w:vAlign w:val="bottom"/>
            <w:hideMark/>
          </w:tcPr>
          <w:p w14:paraId="347B1C91" w14:textId="77777777" w:rsidR="00585C26" w:rsidRPr="00986F85" w:rsidRDefault="00585C26" w:rsidP="00585C26">
            <w:pPr>
              <w:suppressAutoHyphens w:val="0"/>
              <w:spacing w:after="0" w:line="240" w:lineRule="auto"/>
              <w:rPr>
                <w:rFonts w:eastAsia="Times New Roman" w:cs="Arial"/>
                <w:sz w:val="20"/>
                <w:szCs w:val="20"/>
                <w:lang w:val="en-US" w:eastAsia="en-US"/>
              </w:rPr>
            </w:pPr>
          </w:p>
        </w:tc>
        <w:tc>
          <w:tcPr>
            <w:tcW w:w="994" w:type="dxa"/>
            <w:tcBorders>
              <w:top w:val="nil"/>
              <w:left w:val="nil"/>
              <w:bottom w:val="nil"/>
              <w:right w:val="nil"/>
            </w:tcBorders>
            <w:shd w:val="clear" w:color="auto" w:fill="auto"/>
            <w:noWrap/>
            <w:vAlign w:val="bottom"/>
            <w:hideMark/>
          </w:tcPr>
          <w:p w14:paraId="7203B114"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(0.178)</w:t>
            </w:r>
          </w:p>
        </w:tc>
        <w:tc>
          <w:tcPr>
            <w:tcW w:w="1057" w:type="dxa"/>
            <w:tcBorders>
              <w:top w:val="nil"/>
              <w:left w:val="nil"/>
              <w:bottom w:val="nil"/>
              <w:right w:val="nil"/>
            </w:tcBorders>
            <w:shd w:val="clear" w:color="auto" w:fill="auto"/>
            <w:noWrap/>
            <w:vAlign w:val="bottom"/>
            <w:hideMark/>
          </w:tcPr>
          <w:p w14:paraId="12AD3445"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(0.182)</w:t>
            </w:r>
          </w:p>
        </w:tc>
        <w:tc>
          <w:tcPr>
            <w:tcW w:w="1057" w:type="dxa"/>
            <w:tcBorders>
              <w:top w:val="nil"/>
              <w:left w:val="nil"/>
              <w:bottom w:val="nil"/>
              <w:right w:val="nil"/>
            </w:tcBorders>
            <w:shd w:val="clear" w:color="auto" w:fill="auto"/>
            <w:noWrap/>
            <w:vAlign w:val="bottom"/>
            <w:hideMark/>
          </w:tcPr>
          <w:p w14:paraId="19BAF30A"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(0.183)</w:t>
            </w:r>
          </w:p>
        </w:tc>
        <w:tc>
          <w:tcPr>
            <w:tcW w:w="1059" w:type="dxa"/>
            <w:tcBorders>
              <w:top w:val="nil"/>
              <w:left w:val="nil"/>
              <w:bottom w:val="nil"/>
              <w:right w:val="nil"/>
            </w:tcBorders>
            <w:shd w:val="clear" w:color="auto" w:fill="auto"/>
            <w:noWrap/>
            <w:vAlign w:val="bottom"/>
            <w:hideMark/>
          </w:tcPr>
          <w:p w14:paraId="340A9469"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(0.183)</w:t>
            </w:r>
          </w:p>
        </w:tc>
        <w:tc>
          <w:tcPr>
            <w:tcW w:w="1059" w:type="dxa"/>
            <w:tcBorders>
              <w:top w:val="nil"/>
              <w:left w:val="nil"/>
              <w:bottom w:val="nil"/>
              <w:right w:val="nil"/>
            </w:tcBorders>
            <w:shd w:val="clear" w:color="auto" w:fill="auto"/>
            <w:noWrap/>
            <w:vAlign w:val="bottom"/>
            <w:hideMark/>
          </w:tcPr>
          <w:p w14:paraId="14EC4874"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(0.192)</w:t>
            </w:r>
          </w:p>
        </w:tc>
        <w:tc>
          <w:tcPr>
            <w:tcW w:w="1014" w:type="dxa"/>
            <w:tcBorders>
              <w:top w:val="nil"/>
              <w:left w:val="nil"/>
              <w:bottom w:val="nil"/>
              <w:right w:val="nil"/>
            </w:tcBorders>
            <w:shd w:val="clear" w:color="auto" w:fill="auto"/>
            <w:noWrap/>
            <w:vAlign w:val="bottom"/>
            <w:hideMark/>
          </w:tcPr>
          <w:p w14:paraId="47A4487B"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(0.191)</w:t>
            </w:r>
          </w:p>
        </w:tc>
        <w:tc>
          <w:tcPr>
            <w:tcW w:w="1139" w:type="dxa"/>
            <w:tcBorders>
              <w:top w:val="nil"/>
              <w:left w:val="nil"/>
              <w:bottom w:val="nil"/>
              <w:right w:val="nil"/>
            </w:tcBorders>
            <w:shd w:val="clear" w:color="auto" w:fill="auto"/>
            <w:noWrap/>
            <w:vAlign w:val="bottom"/>
            <w:hideMark/>
          </w:tcPr>
          <w:p w14:paraId="047D7552"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(0.641)</w:t>
            </w:r>
          </w:p>
        </w:tc>
      </w:tr>
      <w:tr w:rsidR="00585C26" w:rsidRPr="00986F85" w14:paraId="2C4EC410" w14:textId="77777777" w:rsidTr="00585C26">
        <w:trPr>
          <w:trHeight w:val="240"/>
        </w:trPr>
        <w:tc>
          <w:tcPr>
            <w:tcW w:w="3441" w:type="dxa"/>
            <w:tcBorders>
              <w:top w:val="nil"/>
              <w:left w:val="nil"/>
              <w:bottom w:val="nil"/>
              <w:right w:val="nil"/>
            </w:tcBorders>
            <w:shd w:val="clear" w:color="auto" w:fill="auto"/>
            <w:noWrap/>
            <w:vAlign w:val="bottom"/>
            <w:hideMark/>
          </w:tcPr>
          <w:p w14:paraId="1BF94D17"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Építőipar</w:t>
            </w:r>
          </w:p>
        </w:tc>
        <w:tc>
          <w:tcPr>
            <w:tcW w:w="994" w:type="dxa"/>
            <w:tcBorders>
              <w:top w:val="nil"/>
              <w:left w:val="nil"/>
              <w:bottom w:val="nil"/>
              <w:right w:val="nil"/>
            </w:tcBorders>
            <w:shd w:val="clear" w:color="auto" w:fill="auto"/>
            <w:noWrap/>
            <w:vAlign w:val="bottom"/>
            <w:hideMark/>
          </w:tcPr>
          <w:p w14:paraId="460F2B32"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0.307**</w:t>
            </w:r>
          </w:p>
        </w:tc>
        <w:tc>
          <w:tcPr>
            <w:tcW w:w="1057" w:type="dxa"/>
            <w:tcBorders>
              <w:top w:val="nil"/>
              <w:left w:val="nil"/>
              <w:bottom w:val="nil"/>
              <w:right w:val="nil"/>
            </w:tcBorders>
            <w:shd w:val="clear" w:color="auto" w:fill="auto"/>
            <w:noWrap/>
            <w:vAlign w:val="bottom"/>
            <w:hideMark/>
          </w:tcPr>
          <w:p w14:paraId="4EF8EDB6"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0.450***</w:t>
            </w:r>
          </w:p>
        </w:tc>
        <w:tc>
          <w:tcPr>
            <w:tcW w:w="1057" w:type="dxa"/>
            <w:tcBorders>
              <w:top w:val="nil"/>
              <w:left w:val="nil"/>
              <w:bottom w:val="nil"/>
              <w:right w:val="nil"/>
            </w:tcBorders>
            <w:shd w:val="clear" w:color="auto" w:fill="auto"/>
            <w:noWrap/>
            <w:vAlign w:val="bottom"/>
            <w:hideMark/>
          </w:tcPr>
          <w:p w14:paraId="3EC44312"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0.455***</w:t>
            </w:r>
          </w:p>
        </w:tc>
        <w:tc>
          <w:tcPr>
            <w:tcW w:w="1059" w:type="dxa"/>
            <w:tcBorders>
              <w:top w:val="nil"/>
              <w:left w:val="nil"/>
              <w:bottom w:val="nil"/>
              <w:right w:val="nil"/>
            </w:tcBorders>
            <w:shd w:val="clear" w:color="auto" w:fill="auto"/>
            <w:noWrap/>
            <w:vAlign w:val="bottom"/>
            <w:hideMark/>
          </w:tcPr>
          <w:p w14:paraId="0A4DEF38"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0.466***</w:t>
            </w:r>
          </w:p>
        </w:tc>
        <w:tc>
          <w:tcPr>
            <w:tcW w:w="1059" w:type="dxa"/>
            <w:tcBorders>
              <w:top w:val="nil"/>
              <w:left w:val="nil"/>
              <w:bottom w:val="nil"/>
              <w:right w:val="nil"/>
            </w:tcBorders>
            <w:shd w:val="clear" w:color="auto" w:fill="auto"/>
            <w:noWrap/>
            <w:vAlign w:val="bottom"/>
            <w:hideMark/>
          </w:tcPr>
          <w:p w14:paraId="6ADEFD79"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0.547***</w:t>
            </w:r>
          </w:p>
        </w:tc>
        <w:tc>
          <w:tcPr>
            <w:tcW w:w="1014" w:type="dxa"/>
            <w:tcBorders>
              <w:top w:val="nil"/>
              <w:left w:val="nil"/>
              <w:bottom w:val="nil"/>
              <w:right w:val="nil"/>
            </w:tcBorders>
            <w:shd w:val="clear" w:color="auto" w:fill="auto"/>
            <w:noWrap/>
            <w:vAlign w:val="bottom"/>
            <w:hideMark/>
          </w:tcPr>
          <w:p w14:paraId="07AF0BC3"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0.532***</w:t>
            </w:r>
          </w:p>
        </w:tc>
        <w:tc>
          <w:tcPr>
            <w:tcW w:w="1139" w:type="dxa"/>
            <w:tcBorders>
              <w:top w:val="nil"/>
              <w:left w:val="nil"/>
              <w:bottom w:val="nil"/>
              <w:right w:val="nil"/>
            </w:tcBorders>
            <w:shd w:val="clear" w:color="auto" w:fill="auto"/>
            <w:noWrap/>
            <w:vAlign w:val="bottom"/>
            <w:hideMark/>
          </w:tcPr>
          <w:p w14:paraId="6162F49B"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0.677</w:t>
            </w:r>
          </w:p>
        </w:tc>
      </w:tr>
      <w:tr w:rsidR="00585C26" w:rsidRPr="00986F85" w14:paraId="4F8ACED2" w14:textId="77777777" w:rsidTr="00585C26">
        <w:trPr>
          <w:trHeight w:val="240"/>
        </w:trPr>
        <w:tc>
          <w:tcPr>
            <w:tcW w:w="3441" w:type="dxa"/>
            <w:tcBorders>
              <w:top w:val="nil"/>
              <w:left w:val="nil"/>
              <w:bottom w:val="nil"/>
              <w:right w:val="nil"/>
            </w:tcBorders>
            <w:shd w:val="clear" w:color="auto" w:fill="auto"/>
            <w:noWrap/>
            <w:vAlign w:val="bottom"/>
            <w:hideMark/>
          </w:tcPr>
          <w:p w14:paraId="64C466E9" w14:textId="77777777" w:rsidR="00585C26" w:rsidRPr="00986F85" w:rsidRDefault="00585C26" w:rsidP="00585C26">
            <w:pPr>
              <w:suppressAutoHyphens w:val="0"/>
              <w:spacing w:after="0" w:line="240" w:lineRule="auto"/>
              <w:rPr>
                <w:rFonts w:eastAsia="Times New Roman" w:cs="Arial"/>
                <w:sz w:val="20"/>
                <w:szCs w:val="20"/>
                <w:lang w:val="en-US" w:eastAsia="en-US"/>
              </w:rPr>
            </w:pPr>
          </w:p>
        </w:tc>
        <w:tc>
          <w:tcPr>
            <w:tcW w:w="994" w:type="dxa"/>
            <w:tcBorders>
              <w:top w:val="nil"/>
              <w:left w:val="nil"/>
              <w:bottom w:val="nil"/>
              <w:right w:val="nil"/>
            </w:tcBorders>
            <w:shd w:val="clear" w:color="auto" w:fill="auto"/>
            <w:noWrap/>
            <w:vAlign w:val="bottom"/>
            <w:hideMark/>
          </w:tcPr>
          <w:p w14:paraId="5DACF553"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(0.136)</w:t>
            </w:r>
          </w:p>
        </w:tc>
        <w:tc>
          <w:tcPr>
            <w:tcW w:w="1057" w:type="dxa"/>
            <w:tcBorders>
              <w:top w:val="nil"/>
              <w:left w:val="nil"/>
              <w:bottom w:val="nil"/>
              <w:right w:val="nil"/>
            </w:tcBorders>
            <w:shd w:val="clear" w:color="auto" w:fill="auto"/>
            <w:noWrap/>
            <w:vAlign w:val="bottom"/>
            <w:hideMark/>
          </w:tcPr>
          <w:p w14:paraId="4F4C5495"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(0.138)</w:t>
            </w:r>
          </w:p>
        </w:tc>
        <w:tc>
          <w:tcPr>
            <w:tcW w:w="1057" w:type="dxa"/>
            <w:tcBorders>
              <w:top w:val="nil"/>
              <w:left w:val="nil"/>
              <w:bottom w:val="nil"/>
              <w:right w:val="nil"/>
            </w:tcBorders>
            <w:shd w:val="clear" w:color="auto" w:fill="auto"/>
            <w:noWrap/>
            <w:vAlign w:val="bottom"/>
            <w:hideMark/>
          </w:tcPr>
          <w:p w14:paraId="3E55B364"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(0.138)</w:t>
            </w:r>
          </w:p>
        </w:tc>
        <w:tc>
          <w:tcPr>
            <w:tcW w:w="1059" w:type="dxa"/>
            <w:tcBorders>
              <w:top w:val="nil"/>
              <w:left w:val="nil"/>
              <w:bottom w:val="nil"/>
              <w:right w:val="nil"/>
            </w:tcBorders>
            <w:shd w:val="clear" w:color="auto" w:fill="auto"/>
            <w:noWrap/>
            <w:vAlign w:val="bottom"/>
            <w:hideMark/>
          </w:tcPr>
          <w:p w14:paraId="78CFE64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(0.139)</w:t>
            </w:r>
          </w:p>
        </w:tc>
        <w:tc>
          <w:tcPr>
            <w:tcW w:w="1059" w:type="dxa"/>
            <w:tcBorders>
              <w:top w:val="nil"/>
              <w:left w:val="nil"/>
              <w:bottom w:val="nil"/>
              <w:right w:val="nil"/>
            </w:tcBorders>
            <w:shd w:val="clear" w:color="auto" w:fill="auto"/>
            <w:noWrap/>
            <w:vAlign w:val="bottom"/>
            <w:hideMark/>
          </w:tcPr>
          <w:p w14:paraId="5AC33C84"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(0.144)</w:t>
            </w:r>
          </w:p>
        </w:tc>
        <w:tc>
          <w:tcPr>
            <w:tcW w:w="1014" w:type="dxa"/>
            <w:tcBorders>
              <w:top w:val="nil"/>
              <w:left w:val="nil"/>
              <w:bottom w:val="nil"/>
              <w:right w:val="nil"/>
            </w:tcBorders>
            <w:shd w:val="clear" w:color="auto" w:fill="auto"/>
            <w:noWrap/>
            <w:vAlign w:val="bottom"/>
            <w:hideMark/>
          </w:tcPr>
          <w:p w14:paraId="0EF5694D"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(0.144)</w:t>
            </w:r>
          </w:p>
        </w:tc>
        <w:tc>
          <w:tcPr>
            <w:tcW w:w="1139" w:type="dxa"/>
            <w:tcBorders>
              <w:top w:val="nil"/>
              <w:left w:val="nil"/>
              <w:bottom w:val="nil"/>
              <w:right w:val="nil"/>
            </w:tcBorders>
            <w:shd w:val="clear" w:color="auto" w:fill="auto"/>
            <w:noWrap/>
            <w:vAlign w:val="bottom"/>
            <w:hideMark/>
          </w:tcPr>
          <w:p w14:paraId="77D55E2D"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(0.523)</w:t>
            </w:r>
          </w:p>
        </w:tc>
      </w:tr>
      <w:tr w:rsidR="00585C26" w:rsidRPr="00986F85" w14:paraId="16D1E975" w14:textId="77777777" w:rsidTr="00585C26">
        <w:trPr>
          <w:trHeight w:val="240"/>
        </w:trPr>
        <w:tc>
          <w:tcPr>
            <w:tcW w:w="3441" w:type="dxa"/>
            <w:tcBorders>
              <w:top w:val="nil"/>
              <w:left w:val="nil"/>
              <w:bottom w:val="nil"/>
              <w:right w:val="nil"/>
            </w:tcBorders>
            <w:shd w:val="clear" w:color="auto" w:fill="auto"/>
            <w:noWrap/>
            <w:vAlign w:val="bottom"/>
            <w:hideMark/>
          </w:tcPr>
          <w:p w14:paraId="1B2D2C7A"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Feldolgozóipar</w:t>
            </w:r>
          </w:p>
        </w:tc>
        <w:tc>
          <w:tcPr>
            <w:tcW w:w="994" w:type="dxa"/>
            <w:tcBorders>
              <w:top w:val="nil"/>
              <w:left w:val="nil"/>
              <w:bottom w:val="nil"/>
              <w:right w:val="nil"/>
            </w:tcBorders>
            <w:shd w:val="clear" w:color="auto" w:fill="auto"/>
            <w:noWrap/>
            <w:vAlign w:val="bottom"/>
            <w:hideMark/>
          </w:tcPr>
          <w:p w14:paraId="2F100429"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0.472***</w:t>
            </w:r>
          </w:p>
        </w:tc>
        <w:tc>
          <w:tcPr>
            <w:tcW w:w="1057" w:type="dxa"/>
            <w:tcBorders>
              <w:top w:val="nil"/>
              <w:left w:val="nil"/>
              <w:bottom w:val="nil"/>
              <w:right w:val="nil"/>
            </w:tcBorders>
            <w:shd w:val="clear" w:color="auto" w:fill="auto"/>
            <w:noWrap/>
            <w:vAlign w:val="bottom"/>
            <w:hideMark/>
          </w:tcPr>
          <w:p w14:paraId="147C6972"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0.552***</w:t>
            </w:r>
          </w:p>
        </w:tc>
        <w:tc>
          <w:tcPr>
            <w:tcW w:w="1057" w:type="dxa"/>
            <w:tcBorders>
              <w:top w:val="nil"/>
              <w:left w:val="nil"/>
              <w:bottom w:val="nil"/>
              <w:right w:val="nil"/>
            </w:tcBorders>
            <w:shd w:val="clear" w:color="auto" w:fill="auto"/>
            <w:noWrap/>
            <w:vAlign w:val="bottom"/>
            <w:hideMark/>
          </w:tcPr>
          <w:p w14:paraId="03E5F802"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0.559***</w:t>
            </w:r>
          </w:p>
        </w:tc>
        <w:tc>
          <w:tcPr>
            <w:tcW w:w="1059" w:type="dxa"/>
            <w:tcBorders>
              <w:top w:val="nil"/>
              <w:left w:val="nil"/>
              <w:bottom w:val="nil"/>
              <w:right w:val="nil"/>
            </w:tcBorders>
            <w:shd w:val="clear" w:color="auto" w:fill="auto"/>
            <w:noWrap/>
            <w:vAlign w:val="bottom"/>
            <w:hideMark/>
          </w:tcPr>
          <w:p w14:paraId="2868240B"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0.574***</w:t>
            </w:r>
          </w:p>
        </w:tc>
        <w:tc>
          <w:tcPr>
            <w:tcW w:w="1059" w:type="dxa"/>
            <w:tcBorders>
              <w:top w:val="nil"/>
              <w:left w:val="nil"/>
              <w:bottom w:val="nil"/>
              <w:right w:val="nil"/>
            </w:tcBorders>
            <w:shd w:val="clear" w:color="auto" w:fill="auto"/>
            <w:noWrap/>
            <w:vAlign w:val="bottom"/>
            <w:hideMark/>
          </w:tcPr>
          <w:p w14:paraId="3E3B8021"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0.588***</w:t>
            </w:r>
          </w:p>
        </w:tc>
        <w:tc>
          <w:tcPr>
            <w:tcW w:w="1014" w:type="dxa"/>
            <w:tcBorders>
              <w:top w:val="nil"/>
              <w:left w:val="nil"/>
              <w:bottom w:val="nil"/>
              <w:right w:val="nil"/>
            </w:tcBorders>
            <w:shd w:val="clear" w:color="auto" w:fill="auto"/>
            <w:noWrap/>
            <w:vAlign w:val="bottom"/>
            <w:hideMark/>
          </w:tcPr>
          <w:p w14:paraId="0BAF4C6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0.582***</w:t>
            </w:r>
          </w:p>
        </w:tc>
        <w:tc>
          <w:tcPr>
            <w:tcW w:w="1139" w:type="dxa"/>
            <w:tcBorders>
              <w:top w:val="nil"/>
              <w:left w:val="nil"/>
              <w:bottom w:val="nil"/>
              <w:right w:val="nil"/>
            </w:tcBorders>
            <w:shd w:val="clear" w:color="auto" w:fill="auto"/>
            <w:noWrap/>
            <w:vAlign w:val="bottom"/>
            <w:hideMark/>
          </w:tcPr>
          <w:p w14:paraId="5F13D4A7"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0.616</w:t>
            </w:r>
          </w:p>
        </w:tc>
      </w:tr>
      <w:tr w:rsidR="00585C26" w:rsidRPr="00986F85" w14:paraId="560E8F58" w14:textId="77777777" w:rsidTr="00585C26">
        <w:trPr>
          <w:trHeight w:val="240"/>
        </w:trPr>
        <w:tc>
          <w:tcPr>
            <w:tcW w:w="3441" w:type="dxa"/>
            <w:tcBorders>
              <w:top w:val="nil"/>
              <w:left w:val="nil"/>
              <w:bottom w:val="nil"/>
              <w:right w:val="nil"/>
            </w:tcBorders>
            <w:shd w:val="clear" w:color="auto" w:fill="auto"/>
            <w:noWrap/>
            <w:vAlign w:val="bottom"/>
            <w:hideMark/>
          </w:tcPr>
          <w:p w14:paraId="0DF5D85E" w14:textId="77777777" w:rsidR="00585C26" w:rsidRPr="00986F85" w:rsidRDefault="00585C26" w:rsidP="00585C26">
            <w:pPr>
              <w:suppressAutoHyphens w:val="0"/>
              <w:spacing w:after="0" w:line="240" w:lineRule="auto"/>
              <w:rPr>
                <w:rFonts w:eastAsia="Times New Roman" w:cs="Arial"/>
                <w:sz w:val="20"/>
                <w:szCs w:val="20"/>
                <w:lang w:val="en-US" w:eastAsia="en-US"/>
              </w:rPr>
            </w:pPr>
          </w:p>
        </w:tc>
        <w:tc>
          <w:tcPr>
            <w:tcW w:w="994" w:type="dxa"/>
            <w:tcBorders>
              <w:top w:val="nil"/>
              <w:left w:val="nil"/>
              <w:bottom w:val="nil"/>
              <w:right w:val="nil"/>
            </w:tcBorders>
            <w:shd w:val="clear" w:color="auto" w:fill="auto"/>
            <w:noWrap/>
            <w:vAlign w:val="bottom"/>
            <w:hideMark/>
          </w:tcPr>
          <w:p w14:paraId="2B7A3DBB"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(0.134)</w:t>
            </w:r>
          </w:p>
        </w:tc>
        <w:tc>
          <w:tcPr>
            <w:tcW w:w="1057" w:type="dxa"/>
            <w:tcBorders>
              <w:top w:val="nil"/>
              <w:left w:val="nil"/>
              <w:bottom w:val="nil"/>
              <w:right w:val="nil"/>
            </w:tcBorders>
            <w:shd w:val="clear" w:color="auto" w:fill="auto"/>
            <w:noWrap/>
            <w:vAlign w:val="bottom"/>
            <w:hideMark/>
          </w:tcPr>
          <w:p w14:paraId="0B9EEF86"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(0.135)</w:t>
            </w:r>
          </w:p>
        </w:tc>
        <w:tc>
          <w:tcPr>
            <w:tcW w:w="1057" w:type="dxa"/>
            <w:tcBorders>
              <w:top w:val="nil"/>
              <w:left w:val="nil"/>
              <w:bottom w:val="nil"/>
              <w:right w:val="nil"/>
            </w:tcBorders>
            <w:shd w:val="clear" w:color="auto" w:fill="auto"/>
            <w:noWrap/>
            <w:vAlign w:val="bottom"/>
            <w:hideMark/>
          </w:tcPr>
          <w:p w14:paraId="6B57B12F"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(0.136)</w:t>
            </w:r>
          </w:p>
        </w:tc>
        <w:tc>
          <w:tcPr>
            <w:tcW w:w="1059" w:type="dxa"/>
            <w:tcBorders>
              <w:top w:val="nil"/>
              <w:left w:val="nil"/>
              <w:bottom w:val="nil"/>
              <w:right w:val="nil"/>
            </w:tcBorders>
            <w:shd w:val="clear" w:color="auto" w:fill="auto"/>
            <w:noWrap/>
            <w:vAlign w:val="bottom"/>
            <w:hideMark/>
          </w:tcPr>
          <w:p w14:paraId="1E35392F"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(0.136)</w:t>
            </w:r>
          </w:p>
        </w:tc>
        <w:tc>
          <w:tcPr>
            <w:tcW w:w="1059" w:type="dxa"/>
            <w:tcBorders>
              <w:top w:val="nil"/>
              <w:left w:val="nil"/>
              <w:bottom w:val="nil"/>
              <w:right w:val="nil"/>
            </w:tcBorders>
            <w:shd w:val="clear" w:color="auto" w:fill="auto"/>
            <w:noWrap/>
            <w:vAlign w:val="bottom"/>
            <w:hideMark/>
          </w:tcPr>
          <w:p w14:paraId="7ADF8322"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(0.141)</w:t>
            </w:r>
          </w:p>
        </w:tc>
        <w:tc>
          <w:tcPr>
            <w:tcW w:w="1014" w:type="dxa"/>
            <w:tcBorders>
              <w:top w:val="nil"/>
              <w:left w:val="nil"/>
              <w:bottom w:val="nil"/>
              <w:right w:val="nil"/>
            </w:tcBorders>
            <w:shd w:val="clear" w:color="auto" w:fill="auto"/>
            <w:noWrap/>
            <w:vAlign w:val="bottom"/>
            <w:hideMark/>
          </w:tcPr>
          <w:p w14:paraId="6BB69EF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(0.141)</w:t>
            </w:r>
          </w:p>
        </w:tc>
        <w:tc>
          <w:tcPr>
            <w:tcW w:w="1139" w:type="dxa"/>
            <w:tcBorders>
              <w:top w:val="nil"/>
              <w:left w:val="nil"/>
              <w:bottom w:val="nil"/>
              <w:right w:val="nil"/>
            </w:tcBorders>
            <w:shd w:val="clear" w:color="auto" w:fill="auto"/>
            <w:noWrap/>
            <w:vAlign w:val="bottom"/>
            <w:hideMark/>
          </w:tcPr>
          <w:p w14:paraId="57FE68FD"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(0.509)</w:t>
            </w:r>
          </w:p>
        </w:tc>
      </w:tr>
      <w:tr w:rsidR="00585C26" w:rsidRPr="00986F85" w14:paraId="20A8E83F" w14:textId="77777777" w:rsidTr="00585C26">
        <w:trPr>
          <w:trHeight w:val="240"/>
        </w:trPr>
        <w:tc>
          <w:tcPr>
            <w:tcW w:w="3441" w:type="dxa"/>
            <w:tcBorders>
              <w:top w:val="nil"/>
              <w:left w:val="nil"/>
              <w:bottom w:val="nil"/>
              <w:right w:val="nil"/>
            </w:tcBorders>
            <w:shd w:val="clear" w:color="auto" w:fill="auto"/>
            <w:noWrap/>
            <w:vAlign w:val="bottom"/>
            <w:hideMark/>
          </w:tcPr>
          <w:p w14:paraId="079E1038"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lastRenderedPageBreak/>
              <w:t>Humán-egészségügyi, szociális ellátás</w:t>
            </w:r>
          </w:p>
        </w:tc>
        <w:tc>
          <w:tcPr>
            <w:tcW w:w="994" w:type="dxa"/>
            <w:tcBorders>
              <w:top w:val="nil"/>
              <w:left w:val="nil"/>
              <w:bottom w:val="nil"/>
              <w:right w:val="nil"/>
            </w:tcBorders>
            <w:shd w:val="clear" w:color="auto" w:fill="auto"/>
            <w:noWrap/>
            <w:vAlign w:val="bottom"/>
            <w:hideMark/>
          </w:tcPr>
          <w:p w14:paraId="55E0E160"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0.109</w:t>
            </w:r>
          </w:p>
        </w:tc>
        <w:tc>
          <w:tcPr>
            <w:tcW w:w="1057" w:type="dxa"/>
            <w:tcBorders>
              <w:top w:val="nil"/>
              <w:left w:val="nil"/>
              <w:bottom w:val="nil"/>
              <w:right w:val="nil"/>
            </w:tcBorders>
            <w:shd w:val="clear" w:color="auto" w:fill="auto"/>
            <w:noWrap/>
            <w:vAlign w:val="bottom"/>
            <w:hideMark/>
          </w:tcPr>
          <w:p w14:paraId="2F330016"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0.237</w:t>
            </w:r>
          </w:p>
        </w:tc>
        <w:tc>
          <w:tcPr>
            <w:tcW w:w="1057" w:type="dxa"/>
            <w:tcBorders>
              <w:top w:val="nil"/>
              <w:left w:val="nil"/>
              <w:bottom w:val="nil"/>
              <w:right w:val="nil"/>
            </w:tcBorders>
            <w:shd w:val="clear" w:color="auto" w:fill="auto"/>
            <w:noWrap/>
            <w:vAlign w:val="bottom"/>
            <w:hideMark/>
          </w:tcPr>
          <w:p w14:paraId="52970829"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0.245</w:t>
            </w:r>
          </w:p>
        </w:tc>
        <w:tc>
          <w:tcPr>
            <w:tcW w:w="1059" w:type="dxa"/>
            <w:tcBorders>
              <w:top w:val="nil"/>
              <w:left w:val="nil"/>
              <w:bottom w:val="nil"/>
              <w:right w:val="nil"/>
            </w:tcBorders>
            <w:shd w:val="clear" w:color="auto" w:fill="auto"/>
            <w:noWrap/>
            <w:vAlign w:val="bottom"/>
            <w:hideMark/>
          </w:tcPr>
          <w:p w14:paraId="0720E145"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0.256</w:t>
            </w:r>
          </w:p>
        </w:tc>
        <w:tc>
          <w:tcPr>
            <w:tcW w:w="1059" w:type="dxa"/>
            <w:tcBorders>
              <w:top w:val="nil"/>
              <w:left w:val="nil"/>
              <w:bottom w:val="nil"/>
              <w:right w:val="nil"/>
            </w:tcBorders>
            <w:shd w:val="clear" w:color="auto" w:fill="auto"/>
            <w:noWrap/>
            <w:vAlign w:val="bottom"/>
            <w:hideMark/>
          </w:tcPr>
          <w:p w14:paraId="136EB56A"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0.441**</w:t>
            </w:r>
          </w:p>
        </w:tc>
        <w:tc>
          <w:tcPr>
            <w:tcW w:w="1014" w:type="dxa"/>
            <w:tcBorders>
              <w:top w:val="nil"/>
              <w:left w:val="nil"/>
              <w:bottom w:val="nil"/>
              <w:right w:val="nil"/>
            </w:tcBorders>
            <w:shd w:val="clear" w:color="auto" w:fill="auto"/>
            <w:noWrap/>
            <w:vAlign w:val="bottom"/>
            <w:hideMark/>
          </w:tcPr>
          <w:p w14:paraId="19325078"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0.437**</w:t>
            </w:r>
          </w:p>
        </w:tc>
        <w:tc>
          <w:tcPr>
            <w:tcW w:w="1139" w:type="dxa"/>
            <w:tcBorders>
              <w:top w:val="nil"/>
              <w:left w:val="nil"/>
              <w:bottom w:val="nil"/>
              <w:right w:val="nil"/>
            </w:tcBorders>
            <w:shd w:val="clear" w:color="auto" w:fill="auto"/>
            <w:noWrap/>
            <w:vAlign w:val="bottom"/>
            <w:hideMark/>
          </w:tcPr>
          <w:p w14:paraId="3A45BE79"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r>
      <w:tr w:rsidR="00585C26" w:rsidRPr="00986F85" w14:paraId="0EB1F72C" w14:textId="77777777" w:rsidTr="00585C26">
        <w:trPr>
          <w:trHeight w:val="240"/>
        </w:trPr>
        <w:tc>
          <w:tcPr>
            <w:tcW w:w="3441" w:type="dxa"/>
            <w:tcBorders>
              <w:top w:val="nil"/>
              <w:left w:val="nil"/>
              <w:bottom w:val="nil"/>
              <w:right w:val="nil"/>
            </w:tcBorders>
            <w:shd w:val="clear" w:color="auto" w:fill="auto"/>
            <w:noWrap/>
            <w:vAlign w:val="bottom"/>
            <w:hideMark/>
          </w:tcPr>
          <w:p w14:paraId="0AE28CE3" w14:textId="77777777" w:rsidR="00585C26" w:rsidRPr="00986F85" w:rsidRDefault="00585C26" w:rsidP="00585C26">
            <w:pPr>
              <w:suppressAutoHyphens w:val="0"/>
              <w:spacing w:after="0" w:line="240" w:lineRule="auto"/>
              <w:rPr>
                <w:rFonts w:eastAsia="Times New Roman" w:cs="Arial"/>
                <w:sz w:val="20"/>
                <w:szCs w:val="20"/>
                <w:lang w:val="en-US" w:eastAsia="en-US"/>
              </w:rPr>
            </w:pPr>
          </w:p>
        </w:tc>
        <w:tc>
          <w:tcPr>
            <w:tcW w:w="994" w:type="dxa"/>
            <w:tcBorders>
              <w:top w:val="nil"/>
              <w:left w:val="nil"/>
              <w:bottom w:val="nil"/>
              <w:right w:val="nil"/>
            </w:tcBorders>
            <w:shd w:val="clear" w:color="auto" w:fill="auto"/>
            <w:noWrap/>
            <w:vAlign w:val="bottom"/>
            <w:hideMark/>
          </w:tcPr>
          <w:p w14:paraId="30438555"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(0.167)</w:t>
            </w:r>
          </w:p>
        </w:tc>
        <w:tc>
          <w:tcPr>
            <w:tcW w:w="1057" w:type="dxa"/>
            <w:tcBorders>
              <w:top w:val="nil"/>
              <w:left w:val="nil"/>
              <w:bottom w:val="nil"/>
              <w:right w:val="nil"/>
            </w:tcBorders>
            <w:shd w:val="clear" w:color="auto" w:fill="auto"/>
            <w:noWrap/>
            <w:vAlign w:val="bottom"/>
            <w:hideMark/>
          </w:tcPr>
          <w:p w14:paraId="295ECF71"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(0.170)</w:t>
            </w:r>
          </w:p>
        </w:tc>
        <w:tc>
          <w:tcPr>
            <w:tcW w:w="1057" w:type="dxa"/>
            <w:tcBorders>
              <w:top w:val="nil"/>
              <w:left w:val="nil"/>
              <w:bottom w:val="nil"/>
              <w:right w:val="nil"/>
            </w:tcBorders>
            <w:shd w:val="clear" w:color="auto" w:fill="auto"/>
            <w:noWrap/>
            <w:vAlign w:val="bottom"/>
            <w:hideMark/>
          </w:tcPr>
          <w:p w14:paraId="3548F96B"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(0.171)</w:t>
            </w:r>
          </w:p>
        </w:tc>
        <w:tc>
          <w:tcPr>
            <w:tcW w:w="1059" w:type="dxa"/>
            <w:tcBorders>
              <w:top w:val="nil"/>
              <w:left w:val="nil"/>
              <w:bottom w:val="nil"/>
              <w:right w:val="nil"/>
            </w:tcBorders>
            <w:shd w:val="clear" w:color="auto" w:fill="auto"/>
            <w:noWrap/>
            <w:vAlign w:val="bottom"/>
            <w:hideMark/>
          </w:tcPr>
          <w:p w14:paraId="4B954FC4"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(0.171)</w:t>
            </w:r>
          </w:p>
        </w:tc>
        <w:tc>
          <w:tcPr>
            <w:tcW w:w="1059" w:type="dxa"/>
            <w:tcBorders>
              <w:top w:val="nil"/>
              <w:left w:val="nil"/>
              <w:bottom w:val="nil"/>
              <w:right w:val="nil"/>
            </w:tcBorders>
            <w:shd w:val="clear" w:color="auto" w:fill="auto"/>
            <w:noWrap/>
            <w:vAlign w:val="bottom"/>
            <w:hideMark/>
          </w:tcPr>
          <w:p w14:paraId="3A220080"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(0.177)</w:t>
            </w:r>
          </w:p>
        </w:tc>
        <w:tc>
          <w:tcPr>
            <w:tcW w:w="1014" w:type="dxa"/>
            <w:tcBorders>
              <w:top w:val="nil"/>
              <w:left w:val="nil"/>
              <w:bottom w:val="nil"/>
              <w:right w:val="nil"/>
            </w:tcBorders>
            <w:shd w:val="clear" w:color="auto" w:fill="auto"/>
            <w:noWrap/>
            <w:vAlign w:val="bottom"/>
            <w:hideMark/>
          </w:tcPr>
          <w:p w14:paraId="4579F05D"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(0.177)</w:t>
            </w:r>
          </w:p>
        </w:tc>
        <w:tc>
          <w:tcPr>
            <w:tcW w:w="1139" w:type="dxa"/>
            <w:tcBorders>
              <w:top w:val="nil"/>
              <w:left w:val="nil"/>
              <w:bottom w:val="nil"/>
              <w:right w:val="nil"/>
            </w:tcBorders>
            <w:shd w:val="clear" w:color="auto" w:fill="auto"/>
            <w:noWrap/>
            <w:vAlign w:val="bottom"/>
            <w:hideMark/>
          </w:tcPr>
          <w:p w14:paraId="7206ECA9"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r>
      <w:tr w:rsidR="00585C26" w:rsidRPr="00986F85" w14:paraId="061CC470" w14:textId="77777777" w:rsidTr="00585C26">
        <w:trPr>
          <w:trHeight w:val="240"/>
        </w:trPr>
        <w:tc>
          <w:tcPr>
            <w:tcW w:w="3441" w:type="dxa"/>
            <w:tcBorders>
              <w:top w:val="nil"/>
              <w:left w:val="nil"/>
              <w:bottom w:val="nil"/>
              <w:right w:val="nil"/>
            </w:tcBorders>
            <w:shd w:val="clear" w:color="auto" w:fill="auto"/>
            <w:noWrap/>
            <w:vAlign w:val="bottom"/>
            <w:hideMark/>
          </w:tcPr>
          <w:p w14:paraId="5C641C7D"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Információ, kommunikáció</w:t>
            </w:r>
          </w:p>
        </w:tc>
        <w:tc>
          <w:tcPr>
            <w:tcW w:w="994" w:type="dxa"/>
            <w:tcBorders>
              <w:top w:val="nil"/>
              <w:left w:val="nil"/>
              <w:bottom w:val="nil"/>
              <w:right w:val="nil"/>
            </w:tcBorders>
            <w:shd w:val="clear" w:color="auto" w:fill="auto"/>
            <w:noWrap/>
            <w:vAlign w:val="bottom"/>
            <w:hideMark/>
          </w:tcPr>
          <w:p w14:paraId="07A5C885"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0.257*</w:t>
            </w:r>
          </w:p>
        </w:tc>
        <w:tc>
          <w:tcPr>
            <w:tcW w:w="1057" w:type="dxa"/>
            <w:tcBorders>
              <w:top w:val="nil"/>
              <w:left w:val="nil"/>
              <w:bottom w:val="nil"/>
              <w:right w:val="nil"/>
            </w:tcBorders>
            <w:shd w:val="clear" w:color="auto" w:fill="auto"/>
            <w:noWrap/>
            <w:vAlign w:val="bottom"/>
            <w:hideMark/>
          </w:tcPr>
          <w:p w14:paraId="7E0A5960"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0.411***</w:t>
            </w:r>
          </w:p>
        </w:tc>
        <w:tc>
          <w:tcPr>
            <w:tcW w:w="1057" w:type="dxa"/>
            <w:tcBorders>
              <w:top w:val="nil"/>
              <w:left w:val="nil"/>
              <w:bottom w:val="nil"/>
              <w:right w:val="nil"/>
            </w:tcBorders>
            <w:shd w:val="clear" w:color="auto" w:fill="auto"/>
            <w:noWrap/>
            <w:vAlign w:val="bottom"/>
            <w:hideMark/>
          </w:tcPr>
          <w:p w14:paraId="6E13A784"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0.418***</w:t>
            </w:r>
          </w:p>
        </w:tc>
        <w:tc>
          <w:tcPr>
            <w:tcW w:w="1059" w:type="dxa"/>
            <w:tcBorders>
              <w:top w:val="nil"/>
              <w:left w:val="nil"/>
              <w:bottom w:val="nil"/>
              <w:right w:val="nil"/>
            </w:tcBorders>
            <w:shd w:val="clear" w:color="auto" w:fill="auto"/>
            <w:noWrap/>
            <w:vAlign w:val="bottom"/>
            <w:hideMark/>
          </w:tcPr>
          <w:p w14:paraId="030E65AC"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0.427***</w:t>
            </w:r>
          </w:p>
        </w:tc>
        <w:tc>
          <w:tcPr>
            <w:tcW w:w="1059" w:type="dxa"/>
            <w:tcBorders>
              <w:top w:val="nil"/>
              <w:left w:val="nil"/>
              <w:bottom w:val="nil"/>
              <w:right w:val="nil"/>
            </w:tcBorders>
            <w:shd w:val="clear" w:color="auto" w:fill="auto"/>
            <w:noWrap/>
            <w:vAlign w:val="bottom"/>
            <w:hideMark/>
          </w:tcPr>
          <w:p w14:paraId="5A5F2E8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0.488***</w:t>
            </w:r>
          </w:p>
        </w:tc>
        <w:tc>
          <w:tcPr>
            <w:tcW w:w="1014" w:type="dxa"/>
            <w:tcBorders>
              <w:top w:val="nil"/>
              <w:left w:val="nil"/>
              <w:bottom w:val="nil"/>
              <w:right w:val="nil"/>
            </w:tcBorders>
            <w:shd w:val="clear" w:color="auto" w:fill="auto"/>
            <w:noWrap/>
            <w:vAlign w:val="bottom"/>
            <w:hideMark/>
          </w:tcPr>
          <w:p w14:paraId="1089EAD6"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0.475***</w:t>
            </w:r>
          </w:p>
        </w:tc>
        <w:tc>
          <w:tcPr>
            <w:tcW w:w="1139" w:type="dxa"/>
            <w:tcBorders>
              <w:top w:val="nil"/>
              <w:left w:val="nil"/>
              <w:bottom w:val="nil"/>
              <w:right w:val="nil"/>
            </w:tcBorders>
            <w:shd w:val="clear" w:color="auto" w:fill="auto"/>
            <w:noWrap/>
            <w:vAlign w:val="bottom"/>
            <w:hideMark/>
          </w:tcPr>
          <w:p w14:paraId="1602D7C8"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0.344</w:t>
            </w:r>
          </w:p>
        </w:tc>
      </w:tr>
      <w:tr w:rsidR="00585C26" w:rsidRPr="00986F85" w14:paraId="1DBB690E" w14:textId="77777777" w:rsidTr="00585C26">
        <w:trPr>
          <w:trHeight w:val="240"/>
        </w:trPr>
        <w:tc>
          <w:tcPr>
            <w:tcW w:w="3441" w:type="dxa"/>
            <w:tcBorders>
              <w:top w:val="nil"/>
              <w:left w:val="nil"/>
              <w:bottom w:val="nil"/>
              <w:right w:val="nil"/>
            </w:tcBorders>
            <w:shd w:val="clear" w:color="auto" w:fill="auto"/>
            <w:noWrap/>
            <w:vAlign w:val="bottom"/>
            <w:hideMark/>
          </w:tcPr>
          <w:p w14:paraId="18A8B9AF" w14:textId="77777777" w:rsidR="00585C26" w:rsidRPr="00986F85" w:rsidRDefault="00585C26" w:rsidP="00585C26">
            <w:pPr>
              <w:suppressAutoHyphens w:val="0"/>
              <w:spacing w:after="0" w:line="240" w:lineRule="auto"/>
              <w:rPr>
                <w:rFonts w:eastAsia="Times New Roman" w:cs="Arial"/>
                <w:sz w:val="20"/>
                <w:szCs w:val="20"/>
                <w:lang w:val="en-US" w:eastAsia="en-US"/>
              </w:rPr>
            </w:pPr>
          </w:p>
        </w:tc>
        <w:tc>
          <w:tcPr>
            <w:tcW w:w="994" w:type="dxa"/>
            <w:tcBorders>
              <w:top w:val="nil"/>
              <w:left w:val="nil"/>
              <w:bottom w:val="nil"/>
              <w:right w:val="nil"/>
            </w:tcBorders>
            <w:shd w:val="clear" w:color="auto" w:fill="auto"/>
            <w:noWrap/>
            <w:vAlign w:val="bottom"/>
            <w:hideMark/>
          </w:tcPr>
          <w:p w14:paraId="1BE81C82"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(0.152)</w:t>
            </w:r>
          </w:p>
        </w:tc>
        <w:tc>
          <w:tcPr>
            <w:tcW w:w="1057" w:type="dxa"/>
            <w:tcBorders>
              <w:top w:val="nil"/>
              <w:left w:val="nil"/>
              <w:bottom w:val="nil"/>
              <w:right w:val="nil"/>
            </w:tcBorders>
            <w:shd w:val="clear" w:color="auto" w:fill="auto"/>
            <w:noWrap/>
            <w:vAlign w:val="bottom"/>
            <w:hideMark/>
          </w:tcPr>
          <w:p w14:paraId="329A67F7"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(0.154)</w:t>
            </w:r>
          </w:p>
        </w:tc>
        <w:tc>
          <w:tcPr>
            <w:tcW w:w="1057" w:type="dxa"/>
            <w:tcBorders>
              <w:top w:val="nil"/>
              <w:left w:val="nil"/>
              <w:bottom w:val="nil"/>
              <w:right w:val="nil"/>
            </w:tcBorders>
            <w:shd w:val="clear" w:color="auto" w:fill="auto"/>
            <w:noWrap/>
            <w:vAlign w:val="bottom"/>
            <w:hideMark/>
          </w:tcPr>
          <w:p w14:paraId="6893462B"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(0.155)</w:t>
            </w:r>
          </w:p>
        </w:tc>
        <w:tc>
          <w:tcPr>
            <w:tcW w:w="1059" w:type="dxa"/>
            <w:tcBorders>
              <w:top w:val="nil"/>
              <w:left w:val="nil"/>
              <w:bottom w:val="nil"/>
              <w:right w:val="nil"/>
            </w:tcBorders>
            <w:shd w:val="clear" w:color="auto" w:fill="auto"/>
            <w:noWrap/>
            <w:vAlign w:val="bottom"/>
            <w:hideMark/>
          </w:tcPr>
          <w:p w14:paraId="74F7DED9"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(0.155)</w:t>
            </w:r>
          </w:p>
        </w:tc>
        <w:tc>
          <w:tcPr>
            <w:tcW w:w="1059" w:type="dxa"/>
            <w:tcBorders>
              <w:top w:val="nil"/>
              <w:left w:val="nil"/>
              <w:bottom w:val="nil"/>
              <w:right w:val="nil"/>
            </w:tcBorders>
            <w:shd w:val="clear" w:color="auto" w:fill="auto"/>
            <w:noWrap/>
            <w:vAlign w:val="bottom"/>
            <w:hideMark/>
          </w:tcPr>
          <w:p w14:paraId="642D1501"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(0.161)</w:t>
            </w:r>
          </w:p>
        </w:tc>
        <w:tc>
          <w:tcPr>
            <w:tcW w:w="1014" w:type="dxa"/>
            <w:tcBorders>
              <w:top w:val="nil"/>
              <w:left w:val="nil"/>
              <w:bottom w:val="nil"/>
              <w:right w:val="nil"/>
            </w:tcBorders>
            <w:shd w:val="clear" w:color="auto" w:fill="auto"/>
            <w:noWrap/>
            <w:vAlign w:val="bottom"/>
            <w:hideMark/>
          </w:tcPr>
          <w:p w14:paraId="308BB00A"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(0.161)</w:t>
            </w:r>
          </w:p>
        </w:tc>
        <w:tc>
          <w:tcPr>
            <w:tcW w:w="1139" w:type="dxa"/>
            <w:tcBorders>
              <w:top w:val="nil"/>
              <w:left w:val="nil"/>
              <w:bottom w:val="nil"/>
              <w:right w:val="nil"/>
            </w:tcBorders>
            <w:shd w:val="clear" w:color="auto" w:fill="auto"/>
            <w:noWrap/>
            <w:vAlign w:val="bottom"/>
            <w:hideMark/>
          </w:tcPr>
          <w:p w14:paraId="79ED3FF4"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(0.540)</w:t>
            </w:r>
          </w:p>
        </w:tc>
      </w:tr>
      <w:tr w:rsidR="00585C26" w:rsidRPr="00986F85" w14:paraId="3CFCDA44" w14:textId="77777777" w:rsidTr="00585C26">
        <w:trPr>
          <w:trHeight w:val="240"/>
        </w:trPr>
        <w:tc>
          <w:tcPr>
            <w:tcW w:w="3441" w:type="dxa"/>
            <w:tcBorders>
              <w:top w:val="nil"/>
              <w:left w:val="nil"/>
              <w:bottom w:val="nil"/>
              <w:right w:val="nil"/>
            </w:tcBorders>
            <w:shd w:val="clear" w:color="auto" w:fill="auto"/>
            <w:noWrap/>
            <w:vAlign w:val="bottom"/>
            <w:hideMark/>
          </w:tcPr>
          <w:p w14:paraId="39BA09D7"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Ingatlanügyek</w:t>
            </w:r>
          </w:p>
        </w:tc>
        <w:tc>
          <w:tcPr>
            <w:tcW w:w="994" w:type="dxa"/>
            <w:tcBorders>
              <w:top w:val="nil"/>
              <w:left w:val="nil"/>
              <w:bottom w:val="nil"/>
              <w:right w:val="nil"/>
            </w:tcBorders>
            <w:shd w:val="clear" w:color="auto" w:fill="auto"/>
            <w:noWrap/>
            <w:vAlign w:val="bottom"/>
            <w:hideMark/>
          </w:tcPr>
          <w:p w14:paraId="31184916"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0.00910</w:t>
            </w:r>
          </w:p>
        </w:tc>
        <w:tc>
          <w:tcPr>
            <w:tcW w:w="1057" w:type="dxa"/>
            <w:tcBorders>
              <w:top w:val="nil"/>
              <w:left w:val="nil"/>
              <w:bottom w:val="nil"/>
              <w:right w:val="nil"/>
            </w:tcBorders>
            <w:shd w:val="clear" w:color="auto" w:fill="auto"/>
            <w:noWrap/>
            <w:vAlign w:val="bottom"/>
            <w:hideMark/>
          </w:tcPr>
          <w:p w14:paraId="0BB88B84"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0.188</w:t>
            </w:r>
          </w:p>
        </w:tc>
        <w:tc>
          <w:tcPr>
            <w:tcW w:w="1057" w:type="dxa"/>
            <w:tcBorders>
              <w:top w:val="nil"/>
              <w:left w:val="nil"/>
              <w:bottom w:val="nil"/>
              <w:right w:val="nil"/>
            </w:tcBorders>
            <w:shd w:val="clear" w:color="auto" w:fill="auto"/>
            <w:noWrap/>
            <w:vAlign w:val="bottom"/>
            <w:hideMark/>
          </w:tcPr>
          <w:p w14:paraId="41CCF51C"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0.183</w:t>
            </w:r>
          </w:p>
        </w:tc>
        <w:tc>
          <w:tcPr>
            <w:tcW w:w="1059" w:type="dxa"/>
            <w:tcBorders>
              <w:top w:val="nil"/>
              <w:left w:val="nil"/>
              <w:bottom w:val="nil"/>
              <w:right w:val="nil"/>
            </w:tcBorders>
            <w:shd w:val="clear" w:color="auto" w:fill="auto"/>
            <w:noWrap/>
            <w:vAlign w:val="bottom"/>
            <w:hideMark/>
          </w:tcPr>
          <w:p w14:paraId="6EE408D0"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0.192</w:t>
            </w:r>
          </w:p>
        </w:tc>
        <w:tc>
          <w:tcPr>
            <w:tcW w:w="1059" w:type="dxa"/>
            <w:tcBorders>
              <w:top w:val="nil"/>
              <w:left w:val="nil"/>
              <w:bottom w:val="nil"/>
              <w:right w:val="nil"/>
            </w:tcBorders>
            <w:shd w:val="clear" w:color="auto" w:fill="auto"/>
            <w:noWrap/>
            <w:vAlign w:val="bottom"/>
            <w:hideMark/>
          </w:tcPr>
          <w:p w14:paraId="3D330501"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0.141</w:t>
            </w:r>
          </w:p>
        </w:tc>
        <w:tc>
          <w:tcPr>
            <w:tcW w:w="1014" w:type="dxa"/>
            <w:tcBorders>
              <w:top w:val="nil"/>
              <w:left w:val="nil"/>
              <w:bottom w:val="nil"/>
              <w:right w:val="nil"/>
            </w:tcBorders>
            <w:shd w:val="clear" w:color="auto" w:fill="auto"/>
            <w:noWrap/>
            <w:vAlign w:val="bottom"/>
            <w:hideMark/>
          </w:tcPr>
          <w:p w14:paraId="6953D180"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0.0401</w:t>
            </w:r>
          </w:p>
        </w:tc>
        <w:tc>
          <w:tcPr>
            <w:tcW w:w="1139" w:type="dxa"/>
            <w:tcBorders>
              <w:top w:val="nil"/>
              <w:left w:val="nil"/>
              <w:bottom w:val="nil"/>
              <w:right w:val="nil"/>
            </w:tcBorders>
            <w:shd w:val="clear" w:color="auto" w:fill="auto"/>
            <w:noWrap/>
            <w:vAlign w:val="bottom"/>
            <w:hideMark/>
          </w:tcPr>
          <w:p w14:paraId="4F99090B"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0.280</w:t>
            </w:r>
          </w:p>
        </w:tc>
      </w:tr>
      <w:tr w:rsidR="00585C26" w:rsidRPr="00986F85" w14:paraId="5C4AC881" w14:textId="77777777" w:rsidTr="00585C26">
        <w:trPr>
          <w:trHeight w:val="240"/>
        </w:trPr>
        <w:tc>
          <w:tcPr>
            <w:tcW w:w="3441" w:type="dxa"/>
            <w:tcBorders>
              <w:top w:val="nil"/>
              <w:left w:val="nil"/>
              <w:bottom w:val="nil"/>
              <w:right w:val="nil"/>
            </w:tcBorders>
            <w:shd w:val="clear" w:color="auto" w:fill="auto"/>
            <w:noWrap/>
            <w:vAlign w:val="bottom"/>
            <w:hideMark/>
          </w:tcPr>
          <w:p w14:paraId="4B4E326D" w14:textId="77777777" w:rsidR="00585C26" w:rsidRPr="00986F85" w:rsidRDefault="00585C26" w:rsidP="00585C26">
            <w:pPr>
              <w:suppressAutoHyphens w:val="0"/>
              <w:spacing w:after="0" w:line="240" w:lineRule="auto"/>
              <w:rPr>
                <w:rFonts w:eastAsia="Times New Roman" w:cs="Arial"/>
                <w:sz w:val="20"/>
                <w:szCs w:val="20"/>
                <w:lang w:val="en-US" w:eastAsia="en-US"/>
              </w:rPr>
            </w:pPr>
          </w:p>
        </w:tc>
        <w:tc>
          <w:tcPr>
            <w:tcW w:w="994" w:type="dxa"/>
            <w:tcBorders>
              <w:top w:val="nil"/>
              <w:left w:val="nil"/>
              <w:bottom w:val="nil"/>
              <w:right w:val="nil"/>
            </w:tcBorders>
            <w:shd w:val="clear" w:color="auto" w:fill="auto"/>
            <w:noWrap/>
            <w:vAlign w:val="bottom"/>
            <w:hideMark/>
          </w:tcPr>
          <w:p w14:paraId="11F163A1"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(0.152)</w:t>
            </w:r>
          </w:p>
        </w:tc>
        <w:tc>
          <w:tcPr>
            <w:tcW w:w="1057" w:type="dxa"/>
            <w:tcBorders>
              <w:top w:val="nil"/>
              <w:left w:val="nil"/>
              <w:bottom w:val="nil"/>
              <w:right w:val="nil"/>
            </w:tcBorders>
            <w:shd w:val="clear" w:color="auto" w:fill="auto"/>
            <w:noWrap/>
            <w:vAlign w:val="bottom"/>
            <w:hideMark/>
          </w:tcPr>
          <w:p w14:paraId="7487DDC5"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(0.154)</w:t>
            </w:r>
          </w:p>
        </w:tc>
        <w:tc>
          <w:tcPr>
            <w:tcW w:w="1057" w:type="dxa"/>
            <w:tcBorders>
              <w:top w:val="nil"/>
              <w:left w:val="nil"/>
              <w:bottom w:val="nil"/>
              <w:right w:val="nil"/>
            </w:tcBorders>
            <w:shd w:val="clear" w:color="auto" w:fill="auto"/>
            <w:noWrap/>
            <w:vAlign w:val="bottom"/>
            <w:hideMark/>
          </w:tcPr>
          <w:p w14:paraId="1B53B6F2"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(0.155)</w:t>
            </w:r>
          </w:p>
        </w:tc>
        <w:tc>
          <w:tcPr>
            <w:tcW w:w="1059" w:type="dxa"/>
            <w:tcBorders>
              <w:top w:val="nil"/>
              <w:left w:val="nil"/>
              <w:bottom w:val="nil"/>
              <w:right w:val="nil"/>
            </w:tcBorders>
            <w:shd w:val="clear" w:color="auto" w:fill="auto"/>
            <w:noWrap/>
            <w:vAlign w:val="bottom"/>
            <w:hideMark/>
          </w:tcPr>
          <w:p w14:paraId="759E1670"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(0.155)</w:t>
            </w:r>
          </w:p>
        </w:tc>
        <w:tc>
          <w:tcPr>
            <w:tcW w:w="1059" w:type="dxa"/>
            <w:tcBorders>
              <w:top w:val="nil"/>
              <w:left w:val="nil"/>
              <w:bottom w:val="nil"/>
              <w:right w:val="nil"/>
            </w:tcBorders>
            <w:shd w:val="clear" w:color="auto" w:fill="auto"/>
            <w:noWrap/>
            <w:vAlign w:val="bottom"/>
            <w:hideMark/>
          </w:tcPr>
          <w:p w14:paraId="4CCFAD30"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(0.160)</w:t>
            </w:r>
          </w:p>
        </w:tc>
        <w:tc>
          <w:tcPr>
            <w:tcW w:w="1014" w:type="dxa"/>
            <w:tcBorders>
              <w:top w:val="nil"/>
              <w:left w:val="nil"/>
              <w:bottom w:val="nil"/>
              <w:right w:val="nil"/>
            </w:tcBorders>
            <w:shd w:val="clear" w:color="auto" w:fill="auto"/>
            <w:noWrap/>
            <w:vAlign w:val="bottom"/>
            <w:hideMark/>
          </w:tcPr>
          <w:p w14:paraId="5633F6DC"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(0.160)</w:t>
            </w:r>
          </w:p>
        </w:tc>
        <w:tc>
          <w:tcPr>
            <w:tcW w:w="1139" w:type="dxa"/>
            <w:tcBorders>
              <w:top w:val="nil"/>
              <w:left w:val="nil"/>
              <w:bottom w:val="nil"/>
              <w:right w:val="nil"/>
            </w:tcBorders>
            <w:shd w:val="clear" w:color="auto" w:fill="auto"/>
            <w:noWrap/>
            <w:vAlign w:val="bottom"/>
            <w:hideMark/>
          </w:tcPr>
          <w:p w14:paraId="22922965"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(0.556)</w:t>
            </w:r>
          </w:p>
        </w:tc>
      </w:tr>
      <w:tr w:rsidR="00585C26" w:rsidRPr="00986F85" w14:paraId="0AB02D0A" w14:textId="77777777" w:rsidTr="00585C26">
        <w:trPr>
          <w:trHeight w:val="240"/>
        </w:trPr>
        <w:tc>
          <w:tcPr>
            <w:tcW w:w="3441" w:type="dxa"/>
            <w:tcBorders>
              <w:top w:val="nil"/>
              <w:left w:val="nil"/>
              <w:bottom w:val="nil"/>
              <w:right w:val="nil"/>
            </w:tcBorders>
            <w:shd w:val="clear" w:color="auto" w:fill="auto"/>
            <w:noWrap/>
            <w:vAlign w:val="bottom"/>
            <w:hideMark/>
          </w:tcPr>
          <w:p w14:paraId="3BFADB46"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Kereskedelem, gépjárműjavítás</w:t>
            </w:r>
          </w:p>
        </w:tc>
        <w:tc>
          <w:tcPr>
            <w:tcW w:w="994" w:type="dxa"/>
            <w:tcBorders>
              <w:top w:val="nil"/>
              <w:left w:val="nil"/>
              <w:bottom w:val="nil"/>
              <w:right w:val="nil"/>
            </w:tcBorders>
            <w:shd w:val="clear" w:color="auto" w:fill="auto"/>
            <w:noWrap/>
            <w:vAlign w:val="bottom"/>
            <w:hideMark/>
          </w:tcPr>
          <w:p w14:paraId="21BAE12D"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0.236*</w:t>
            </w:r>
          </w:p>
        </w:tc>
        <w:tc>
          <w:tcPr>
            <w:tcW w:w="1057" w:type="dxa"/>
            <w:tcBorders>
              <w:top w:val="nil"/>
              <w:left w:val="nil"/>
              <w:bottom w:val="nil"/>
              <w:right w:val="nil"/>
            </w:tcBorders>
            <w:shd w:val="clear" w:color="auto" w:fill="auto"/>
            <w:noWrap/>
            <w:vAlign w:val="bottom"/>
            <w:hideMark/>
          </w:tcPr>
          <w:p w14:paraId="195D3F89"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0.389***</w:t>
            </w:r>
          </w:p>
        </w:tc>
        <w:tc>
          <w:tcPr>
            <w:tcW w:w="1057" w:type="dxa"/>
            <w:tcBorders>
              <w:top w:val="nil"/>
              <w:left w:val="nil"/>
              <w:bottom w:val="nil"/>
              <w:right w:val="nil"/>
            </w:tcBorders>
            <w:shd w:val="clear" w:color="auto" w:fill="auto"/>
            <w:noWrap/>
            <w:vAlign w:val="bottom"/>
            <w:hideMark/>
          </w:tcPr>
          <w:p w14:paraId="295B297C"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0.393***</w:t>
            </w:r>
          </w:p>
        </w:tc>
        <w:tc>
          <w:tcPr>
            <w:tcW w:w="1059" w:type="dxa"/>
            <w:tcBorders>
              <w:top w:val="nil"/>
              <w:left w:val="nil"/>
              <w:bottom w:val="nil"/>
              <w:right w:val="nil"/>
            </w:tcBorders>
            <w:shd w:val="clear" w:color="auto" w:fill="auto"/>
            <w:noWrap/>
            <w:vAlign w:val="bottom"/>
            <w:hideMark/>
          </w:tcPr>
          <w:p w14:paraId="29535529"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0.406***</w:t>
            </w:r>
          </w:p>
        </w:tc>
        <w:tc>
          <w:tcPr>
            <w:tcW w:w="1059" w:type="dxa"/>
            <w:tcBorders>
              <w:top w:val="nil"/>
              <w:left w:val="nil"/>
              <w:bottom w:val="nil"/>
              <w:right w:val="nil"/>
            </w:tcBorders>
            <w:shd w:val="clear" w:color="auto" w:fill="auto"/>
            <w:noWrap/>
            <w:vAlign w:val="bottom"/>
            <w:hideMark/>
          </w:tcPr>
          <w:p w14:paraId="7CF6DAEF"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0.277*</w:t>
            </w:r>
          </w:p>
        </w:tc>
        <w:tc>
          <w:tcPr>
            <w:tcW w:w="1014" w:type="dxa"/>
            <w:tcBorders>
              <w:top w:val="nil"/>
              <w:left w:val="nil"/>
              <w:bottom w:val="nil"/>
              <w:right w:val="nil"/>
            </w:tcBorders>
            <w:shd w:val="clear" w:color="auto" w:fill="auto"/>
            <w:noWrap/>
            <w:vAlign w:val="bottom"/>
            <w:hideMark/>
          </w:tcPr>
          <w:p w14:paraId="253A093F"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0.272*</w:t>
            </w:r>
          </w:p>
        </w:tc>
        <w:tc>
          <w:tcPr>
            <w:tcW w:w="1139" w:type="dxa"/>
            <w:tcBorders>
              <w:top w:val="nil"/>
              <w:left w:val="nil"/>
              <w:bottom w:val="nil"/>
              <w:right w:val="nil"/>
            </w:tcBorders>
            <w:shd w:val="clear" w:color="auto" w:fill="auto"/>
            <w:noWrap/>
            <w:vAlign w:val="bottom"/>
            <w:hideMark/>
          </w:tcPr>
          <w:p w14:paraId="3E818AA2"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0.415</w:t>
            </w:r>
          </w:p>
        </w:tc>
      </w:tr>
      <w:tr w:rsidR="00585C26" w:rsidRPr="00986F85" w14:paraId="5E0127B5" w14:textId="77777777" w:rsidTr="00585C26">
        <w:trPr>
          <w:trHeight w:val="240"/>
        </w:trPr>
        <w:tc>
          <w:tcPr>
            <w:tcW w:w="3441" w:type="dxa"/>
            <w:tcBorders>
              <w:top w:val="nil"/>
              <w:left w:val="nil"/>
              <w:bottom w:val="nil"/>
              <w:right w:val="nil"/>
            </w:tcBorders>
            <w:shd w:val="clear" w:color="auto" w:fill="auto"/>
            <w:noWrap/>
            <w:vAlign w:val="bottom"/>
            <w:hideMark/>
          </w:tcPr>
          <w:p w14:paraId="23BC975A" w14:textId="77777777" w:rsidR="00585C26" w:rsidRPr="00986F85" w:rsidRDefault="00585C26" w:rsidP="00585C26">
            <w:pPr>
              <w:suppressAutoHyphens w:val="0"/>
              <w:spacing w:after="0" w:line="240" w:lineRule="auto"/>
              <w:rPr>
                <w:rFonts w:eastAsia="Times New Roman" w:cs="Arial"/>
                <w:sz w:val="20"/>
                <w:szCs w:val="20"/>
                <w:lang w:val="en-US" w:eastAsia="en-US"/>
              </w:rPr>
            </w:pPr>
          </w:p>
        </w:tc>
        <w:tc>
          <w:tcPr>
            <w:tcW w:w="994" w:type="dxa"/>
            <w:tcBorders>
              <w:top w:val="nil"/>
              <w:left w:val="nil"/>
              <w:bottom w:val="nil"/>
              <w:right w:val="nil"/>
            </w:tcBorders>
            <w:shd w:val="clear" w:color="auto" w:fill="auto"/>
            <w:noWrap/>
            <w:vAlign w:val="bottom"/>
            <w:hideMark/>
          </w:tcPr>
          <w:p w14:paraId="15070C73"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(0.134)</w:t>
            </w:r>
          </w:p>
        </w:tc>
        <w:tc>
          <w:tcPr>
            <w:tcW w:w="1057" w:type="dxa"/>
            <w:tcBorders>
              <w:top w:val="nil"/>
              <w:left w:val="nil"/>
              <w:bottom w:val="nil"/>
              <w:right w:val="nil"/>
            </w:tcBorders>
            <w:shd w:val="clear" w:color="auto" w:fill="auto"/>
            <w:noWrap/>
            <w:vAlign w:val="bottom"/>
            <w:hideMark/>
          </w:tcPr>
          <w:p w14:paraId="4A754675"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(0.136)</w:t>
            </w:r>
          </w:p>
        </w:tc>
        <w:tc>
          <w:tcPr>
            <w:tcW w:w="1057" w:type="dxa"/>
            <w:tcBorders>
              <w:top w:val="nil"/>
              <w:left w:val="nil"/>
              <w:bottom w:val="nil"/>
              <w:right w:val="nil"/>
            </w:tcBorders>
            <w:shd w:val="clear" w:color="auto" w:fill="auto"/>
            <w:noWrap/>
            <w:vAlign w:val="bottom"/>
            <w:hideMark/>
          </w:tcPr>
          <w:p w14:paraId="101CD691"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(0.136)</w:t>
            </w:r>
          </w:p>
        </w:tc>
        <w:tc>
          <w:tcPr>
            <w:tcW w:w="1059" w:type="dxa"/>
            <w:tcBorders>
              <w:top w:val="nil"/>
              <w:left w:val="nil"/>
              <w:bottom w:val="nil"/>
              <w:right w:val="nil"/>
            </w:tcBorders>
            <w:shd w:val="clear" w:color="auto" w:fill="auto"/>
            <w:noWrap/>
            <w:vAlign w:val="bottom"/>
            <w:hideMark/>
          </w:tcPr>
          <w:p w14:paraId="3D6026E8"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(0.137)</w:t>
            </w:r>
          </w:p>
        </w:tc>
        <w:tc>
          <w:tcPr>
            <w:tcW w:w="1059" w:type="dxa"/>
            <w:tcBorders>
              <w:top w:val="nil"/>
              <w:left w:val="nil"/>
              <w:bottom w:val="nil"/>
              <w:right w:val="nil"/>
            </w:tcBorders>
            <w:shd w:val="clear" w:color="auto" w:fill="auto"/>
            <w:noWrap/>
            <w:vAlign w:val="bottom"/>
            <w:hideMark/>
          </w:tcPr>
          <w:p w14:paraId="2CC16EE5"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(0.143)</w:t>
            </w:r>
          </w:p>
        </w:tc>
        <w:tc>
          <w:tcPr>
            <w:tcW w:w="1014" w:type="dxa"/>
            <w:tcBorders>
              <w:top w:val="nil"/>
              <w:left w:val="nil"/>
              <w:bottom w:val="nil"/>
              <w:right w:val="nil"/>
            </w:tcBorders>
            <w:shd w:val="clear" w:color="auto" w:fill="auto"/>
            <w:noWrap/>
            <w:vAlign w:val="bottom"/>
            <w:hideMark/>
          </w:tcPr>
          <w:p w14:paraId="13C80E27"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(0.143)</w:t>
            </w:r>
          </w:p>
        </w:tc>
        <w:tc>
          <w:tcPr>
            <w:tcW w:w="1139" w:type="dxa"/>
            <w:tcBorders>
              <w:top w:val="nil"/>
              <w:left w:val="nil"/>
              <w:bottom w:val="nil"/>
              <w:right w:val="nil"/>
            </w:tcBorders>
            <w:shd w:val="clear" w:color="auto" w:fill="auto"/>
            <w:noWrap/>
            <w:vAlign w:val="bottom"/>
            <w:hideMark/>
          </w:tcPr>
          <w:p w14:paraId="7CD3A22A"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(0.510)</w:t>
            </w:r>
          </w:p>
        </w:tc>
      </w:tr>
      <w:tr w:rsidR="00585C26" w:rsidRPr="00986F85" w14:paraId="099F6B3A" w14:textId="77777777" w:rsidTr="00585C26">
        <w:trPr>
          <w:trHeight w:val="240"/>
        </w:trPr>
        <w:tc>
          <w:tcPr>
            <w:tcW w:w="3441" w:type="dxa"/>
            <w:tcBorders>
              <w:top w:val="nil"/>
              <w:left w:val="nil"/>
              <w:bottom w:val="nil"/>
              <w:right w:val="nil"/>
            </w:tcBorders>
            <w:shd w:val="clear" w:color="auto" w:fill="auto"/>
            <w:noWrap/>
            <w:vAlign w:val="bottom"/>
            <w:hideMark/>
          </w:tcPr>
          <w:p w14:paraId="6D5D2DBB"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Közigazgatás, védelem; kötelező tb.</w:t>
            </w:r>
          </w:p>
        </w:tc>
        <w:tc>
          <w:tcPr>
            <w:tcW w:w="994" w:type="dxa"/>
            <w:tcBorders>
              <w:top w:val="nil"/>
              <w:left w:val="nil"/>
              <w:bottom w:val="nil"/>
              <w:right w:val="nil"/>
            </w:tcBorders>
            <w:shd w:val="clear" w:color="auto" w:fill="auto"/>
            <w:noWrap/>
            <w:vAlign w:val="bottom"/>
            <w:hideMark/>
          </w:tcPr>
          <w:p w14:paraId="2AB05D1D"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0.622</w:t>
            </w:r>
          </w:p>
        </w:tc>
        <w:tc>
          <w:tcPr>
            <w:tcW w:w="1057" w:type="dxa"/>
            <w:tcBorders>
              <w:top w:val="nil"/>
              <w:left w:val="nil"/>
              <w:bottom w:val="nil"/>
              <w:right w:val="nil"/>
            </w:tcBorders>
            <w:shd w:val="clear" w:color="auto" w:fill="auto"/>
            <w:noWrap/>
            <w:vAlign w:val="bottom"/>
            <w:hideMark/>
          </w:tcPr>
          <w:p w14:paraId="4AF0F6E1"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0.525</w:t>
            </w:r>
          </w:p>
        </w:tc>
        <w:tc>
          <w:tcPr>
            <w:tcW w:w="1057" w:type="dxa"/>
            <w:tcBorders>
              <w:top w:val="nil"/>
              <w:left w:val="nil"/>
              <w:bottom w:val="nil"/>
              <w:right w:val="nil"/>
            </w:tcBorders>
            <w:shd w:val="clear" w:color="auto" w:fill="auto"/>
            <w:noWrap/>
            <w:vAlign w:val="bottom"/>
            <w:hideMark/>
          </w:tcPr>
          <w:p w14:paraId="193BEB4F"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0.539</w:t>
            </w:r>
          </w:p>
        </w:tc>
        <w:tc>
          <w:tcPr>
            <w:tcW w:w="1059" w:type="dxa"/>
            <w:tcBorders>
              <w:top w:val="nil"/>
              <w:left w:val="nil"/>
              <w:bottom w:val="nil"/>
              <w:right w:val="nil"/>
            </w:tcBorders>
            <w:shd w:val="clear" w:color="auto" w:fill="auto"/>
            <w:noWrap/>
            <w:vAlign w:val="bottom"/>
            <w:hideMark/>
          </w:tcPr>
          <w:p w14:paraId="2ABEF9D0"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0.546</w:t>
            </w:r>
          </w:p>
        </w:tc>
        <w:tc>
          <w:tcPr>
            <w:tcW w:w="1059" w:type="dxa"/>
            <w:tcBorders>
              <w:top w:val="nil"/>
              <w:left w:val="nil"/>
              <w:bottom w:val="nil"/>
              <w:right w:val="nil"/>
            </w:tcBorders>
            <w:shd w:val="clear" w:color="auto" w:fill="auto"/>
            <w:noWrap/>
            <w:vAlign w:val="bottom"/>
            <w:hideMark/>
          </w:tcPr>
          <w:p w14:paraId="7B82584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1.015</w:t>
            </w:r>
          </w:p>
        </w:tc>
        <w:tc>
          <w:tcPr>
            <w:tcW w:w="1014" w:type="dxa"/>
            <w:tcBorders>
              <w:top w:val="nil"/>
              <w:left w:val="nil"/>
              <w:bottom w:val="nil"/>
              <w:right w:val="nil"/>
            </w:tcBorders>
            <w:shd w:val="clear" w:color="auto" w:fill="auto"/>
            <w:noWrap/>
            <w:vAlign w:val="bottom"/>
            <w:hideMark/>
          </w:tcPr>
          <w:p w14:paraId="5282ADEF"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0.982</w:t>
            </w:r>
          </w:p>
        </w:tc>
        <w:tc>
          <w:tcPr>
            <w:tcW w:w="1139" w:type="dxa"/>
            <w:tcBorders>
              <w:top w:val="nil"/>
              <w:left w:val="nil"/>
              <w:bottom w:val="nil"/>
              <w:right w:val="nil"/>
            </w:tcBorders>
            <w:shd w:val="clear" w:color="auto" w:fill="auto"/>
            <w:noWrap/>
            <w:vAlign w:val="bottom"/>
            <w:hideMark/>
          </w:tcPr>
          <w:p w14:paraId="7A577E91"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r>
      <w:tr w:rsidR="00585C26" w:rsidRPr="00986F85" w14:paraId="7315A485" w14:textId="77777777" w:rsidTr="00585C26">
        <w:trPr>
          <w:trHeight w:val="240"/>
        </w:trPr>
        <w:tc>
          <w:tcPr>
            <w:tcW w:w="3441" w:type="dxa"/>
            <w:tcBorders>
              <w:top w:val="nil"/>
              <w:left w:val="nil"/>
              <w:bottom w:val="nil"/>
              <w:right w:val="nil"/>
            </w:tcBorders>
            <w:shd w:val="clear" w:color="auto" w:fill="auto"/>
            <w:noWrap/>
            <w:vAlign w:val="bottom"/>
            <w:hideMark/>
          </w:tcPr>
          <w:p w14:paraId="43E14EEF" w14:textId="77777777" w:rsidR="00585C26" w:rsidRPr="00986F85" w:rsidRDefault="00585C26" w:rsidP="00585C26">
            <w:pPr>
              <w:suppressAutoHyphens w:val="0"/>
              <w:spacing w:after="0" w:line="240" w:lineRule="auto"/>
              <w:rPr>
                <w:rFonts w:eastAsia="Times New Roman" w:cs="Arial"/>
                <w:sz w:val="20"/>
                <w:szCs w:val="20"/>
                <w:lang w:val="en-US" w:eastAsia="en-US"/>
              </w:rPr>
            </w:pPr>
          </w:p>
        </w:tc>
        <w:tc>
          <w:tcPr>
            <w:tcW w:w="994" w:type="dxa"/>
            <w:tcBorders>
              <w:top w:val="nil"/>
              <w:left w:val="nil"/>
              <w:bottom w:val="nil"/>
              <w:right w:val="nil"/>
            </w:tcBorders>
            <w:shd w:val="clear" w:color="auto" w:fill="auto"/>
            <w:noWrap/>
            <w:vAlign w:val="bottom"/>
            <w:hideMark/>
          </w:tcPr>
          <w:p w14:paraId="359E0FE0"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(0.596)</w:t>
            </w:r>
          </w:p>
        </w:tc>
        <w:tc>
          <w:tcPr>
            <w:tcW w:w="1057" w:type="dxa"/>
            <w:tcBorders>
              <w:top w:val="nil"/>
              <w:left w:val="nil"/>
              <w:bottom w:val="nil"/>
              <w:right w:val="nil"/>
            </w:tcBorders>
            <w:shd w:val="clear" w:color="auto" w:fill="auto"/>
            <w:noWrap/>
            <w:vAlign w:val="bottom"/>
            <w:hideMark/>
          </w:tcPr>
          <w:p w14:paraId="0BD3D12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(0.617)</w:t>
            </w:r>
          </w:p>
        </w:tc>
        <w:tc>
          <w:tcPr>
            <w:tcW w:w="1057" w:type="dxa"/>
            <w:tcBorders>
              <w:top w:val="nil"/>
              <w:left w:val="nil"/>
              <w:bottom w:val="nil"/>
              <w:right w:val="nil"/>
            </w:tcBorders>
            <w:shd w:val="clear" w:color="auto" w:fill="auto"/>
            <w:noWrap/>
            <w:vAlign w:val="bottom"/>
            <w:hideMark/>
          </w:tcPr>
          <w:p w14:paraId="580C8C27"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(0.616)</w:t>
            </w:r>
          </w:p>
        </w:tc>
        <w:tc>
          <w:tcPr>
            <w:tcW w:w="1059" w:type="dxa"/>
            <w:tcBorders>
              <w:top w:val="nil"/>
              <w:left w:val="nil"/>
              <w:bottom w:val="nil"/>
              <w:right w:val="nil"/>
            </w:tcBorders>
            <w:shd w:val="clear" w:color="auto" w:fill="auto"/>
            <w:noWrap/>
            <w:vAlign w:val="bottom"/>
            <w:hideMark/>
          </w:tcPr>
          <w:p w14:paraId="7469A814"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(0.616)</w:t>
            </w:r>
          </w:p>
        </w:tc>
        <w:tc>
          <w:tcPr>
            <w:tcW w:w="1059" w:type="dxa"/>
            <w:tcBorders>
              <w:top w:val="nil"/>
              <w:left w:val="nil"/>
              <w:bottom w:val="nil"/>
              <w:right w:val="nil"/>
            </w:tcBorders>
            <w:shd w:val="clear" w:color="auto" w:fill="auto"/>
            <w:noWrap/>
            <w:vAlign w:val="bottom"/>
            <w:hideMark/>
          </w:tcPr>
          <w:p w14:paraId="14620765"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(0.620)</w:t>
            </w:r>
          </w:p>
        </w:tc>
        <w:tc>
          <w:tcPr>
            <w:tcW w:w="1014" w:type="dxa"/>
            <w:tcBorders>
              <w:top w:val="nil"/>
              <w:left w:val="nil"/>
              <w:bottom w:val="nil"/>
              <w:right w:val="nil"/>
            </w:tcBorders>
            <w:shd w:val="clear" w:color="auto" w:fill="auto"/>
            <w:noWrap/>
            <w:vAlign w:val="bottom"/>
            <w:hideMark/>
          </w:tcPr>
          <w:p w14:paraId="0FC2788C"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(0.621)</w:t>
            </w:r>
          </w:p>
        </w:tc>
        <w:tc>
          <w:tcPr>
            <w:tcW w:w="1139" w:type="dxa"/>
            <w:tcBorders>
              <w:top w:val="nil"/>
              <w:left w:val="nil"/>
              <w:bottom w:val="nil"/>
              <w:right w:val="nil"/>
            </w:tcBorders>
            <w:shd w:val="clear" w:color="auto" w:fill="auto"/>
            <w:noWrap/>
            <w:vAlign w:val="bottom"/>
            <w:hideMark/>
          </w:tcPr>
          <w:p w14:paraId="329757F2"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r>
      <w:tr w:rsidR="00585C26" w:rsidRPr="00986F85" w14:paraId="6DA57A8D" w14:textId="77777777" w:rsidTr="00585C26">
        <w:trPr>
          <w:trHeight w:val="240"/>
        </w:trPr>
        <w:tc>
          <w:tcPr>
            <w:tcW w:w="3441" w:type="dxa"/>
            <w:tcBorders>
              <w:top w:val="nil"/>
              <w:left w:val="nil"/>
              <w:bottom w:val="nil"/>
              <w:right w:val="nil"/>
            </w:tcBorders>
            <w:shd w:val="clear" w:color="auto" w:fill="auto"/>
            <w:noWrap/>
            <w:vAlign w:val="bottom"/>
            <w:hideMark/>
          </w:tcPr>
          <w:p w14:paraId="205578B5"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Mezőgazdaság, erdőgazdaság, halászat</w:t>
            </w:r>
          </w:p>
        </w:tc>
        <w:tc>
          <w:tcPr>
            <w:tcW w:w="994" w:type="dxa"/>
            <w:tcBorders>
              <w:top w:val="nil"/>
              <w:left w:val="nil"/>
              <w:bottom w:val="nil"/>
              <w:right w:val="nil"/>
            </w:tcBorders>
            <w:shd w:val="clear" w:color="auto" w:fill="auto"/>
            <w:noWrap/>
            <w:vAlign w:val="bottom"/>
            <w:hideMark/>
          </w:tcPr>
          <w:p w14:paraId="0A046AEF"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-1.171***</w:t>
            </w:r>
          </w:p>
        </w:tc>
        <w:tc>
          <w:tcPr>
            <w:tcW w:w="1057" w:type="dxa"/>
            <w:tcBorders>
              <w:top w:val="nil"/>
              <w:left w:val="nil"/>
              <w:bottom w:val="nil"/>
              <w:right w:val="nil"/>
            </w:tcBorders>
            <w:shd w:val="clear" w:color="auto" w:fill="auto"/>
            <w:noWrap/>
            <w:vAlign w:val="bottom"/>
            <w:hideMark/>
          </w:tcPr>
          <w:p w14:paraId="6687089F"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-1.075***</w:t>
            </w:r>
          </w:p>
        </w:tc>
        <w:tc>
          <w:tcPr>
            <w:tcW w:w="1057" w:type="dxa"/>
            <w:tcBorders>
              <w:top w:val="nil"/>
              <w:left w:val="nil"/>
              <w:bottom w:val="nil"/>
              <w:right w:val="nil"/>
            </w:tcBorders>
            <w:shd w:val="clear" w:color="auto" w:fill="auto"/>
            <w:noWrap/>
            <w:vAlign w:val="bottom"/>
            <w:hideMark/>
          </w:tcPr>
          <w:p w14:paraId="6562A5A2"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-1.072***</w:t>
            </w:r>
          </w:p>
        </w:tc>
        <w:tc>
          <w:tcPr>
            <w:tcW w:w="1059" w:type="dxa"/>
            <w:tcBorders>
              <w:top w:val="nil"/>
              <w:left w:val="nil"/>
              <w:bottom w:val="nil"/>
              <w:right w:val="nil"/>
            </w:tcBorders>
            <w:shd w:val="clear" w:color="auto" w:fill="auto"/>
            <w:noWrap/>
            <w:vAlign w:val="bottom"/>
            <w:hideMark/>
          </w:tcPr>
          <w:p w14:paraId="14792AF2"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-1.063***</w:t>
            </w:r>
          </w:p>
        </w:tc>
        <w:tc>
          <w:tcPr>
            <w:tcW w:w="1059" w:type="dxa"/>
            <w:tcBorders>
              <w:top w:val="nil"/>
              <w:left w:val="nil"/>
              <w:bottom w:val="nil"/>
              <w:right w:val="nil"/>
            </w:tcBorders>
            <w:shd w:val="clear" w:color="auto" w:fill="auto"/>
            <w:noWrap/>
            <w:vAlign w:val="bottom"/>
            <w:hideMark/>
          </w:tcPr>
          <w:p w14:paraId="07713965"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-1.262***</w:t>
            </w:r>
          </w:p>
        </w:tc>
        <w:tc>
          <w:tcPr>
            <w:tcW w:w="1014" w:type="dxa"/>
            <w:tcBorders>
              <w:top w:val="nil"/>
              <w:left w:val="nil"/>
              <w:bottom w:val="nil"/>
              <w:right w:val="nil"/>
            </w:tcBorders>
            <w:shd w:val="clear" w:color="auto" w:fill="auto"/>
            <w:noWrap/>
            <w:vAlign w:val="bottom"/>
            <w:hideMark/>
          </w:tcPr>
          <w:p w14:paraId="1DB38301"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-1.263***</w:t>
            </w:r>
          </w:p>
        </w:tc>
        <w:tc>
          <w:tcPr>
            <w:tcW w:w="1139" w:type="dxa"/>
            <w:tcBorders>
              <w:top w:val="nil"/>
              <w:left w:val="nil"/>
              <w:bottom w:val="nil"/>
              <w:right w:val="nil"/>
            </w:tcBorders>
            <w:shd w:val="clear" w:color="auto" w:fill="auto"/>
            <w:noWrap/>
            <w:vAlign w:val="bottom"/>
            <w:hideMark/>
          </w:tcPr>
          <w:p w14:paraId="0AB57065"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r>
      <w:tr w:rsidR="00585C26" w:rsidRPr="00986F85" w14:paraId="58606CF1" w14:textId="77777777" w:rsidTr="00585C26">
        <w:trPr>
          <w:trHeight w:val="240"/>
        </w:trPr>
        <w:tc>
          <w:tcPr>
            <w:tcW w:w="3441" w:type="dxa"/>
            <w:tcBorders>
              <w:top w:val="nil"/>
              <w:left w:val="nil"/>
              <w:bottom w:val="nil"/>
              <w:right w:val="nil"/>
            </w:tcBorders>
            <w:shd w:val="clear" w:color="auto" w:fill="auto"/>
            <w:noWrap/>
            <w:vAlign w:val="bottom"/>
            <w:hideMark/>
          </w:tcPr>
          <w:p w14:paraId="005B6558" w14:textId="77777777" w:rsidR="00585C26" w:rsidRPr="00986F85" w:rsidRDefault="00585C26" w:rsidP="00585C26">
            <w:pPr>
              <w:suppressAutoHyphens w:val="0"/>
              <w:spacing w:after="0" w:line="240" w:lineRule="auto"/>
              <w:rPr>
                <w:rFonts w:eastAsia="Times New Roman" w:cs="Arial"/>
                <w:sz w:val="20"/>
                <w:szCs w:val="20"/>
                <w:lang w:val="en-US" w:eastAsia="en-US"/>
              </w:rPr>
            </w:pPr>
          </w:p>
        </w:tc>
        <w:tc>
          <w:tcPr>
            <w:tcW w:w="994" w:type="dxa"/>
            <w:tcBorders>
              <w:top w:val="nil"/>
              <w:left w:val="nil"/>
              <w:bottom w:val="nil"/>
              <w:right w:val="nil"/>
            </w:tcBorders>
            <w:shd w:val="clear" w:color="auto" w:fill="auto"/>
            <w:noWrap/>
            <w:vAlign w:val="bottom"/>
            <w:hideMark/>
          </w:tcPr>
          <w:p w14:paraId="4D4B86A8"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(0.228)</w:t>
            </w:r>
          </w:p>
        </w:tc>
        <w:tc>
          <w:tcPr>
            <w:tcW w:w="1057" w:type="dxa"/>
            <w:tcBorders>
              <w:top w:val="nil"/>
              <w:left w:val="nil"/>
              <w:bottom w:val="nil"/>
              <w:right w:val="nil"/>
            </w:tcBorders>
            <w:shd w:val="clear" w:color="auto" w:fill="auto"/>
            <w:noWrap/>
            <w:vAlign w:val="bottom"/>
            <w:hideMark/>
          </w:tcPr>
          <w:p w14:paraId="6579C2E2"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(0.229)</w:t>
            </w:r>
          </w:p>
        </w:tc>
        <w:tc>
          <w:tcPr>
            <w:tcW w:w="1057" w:type="dxa"/>
            <w:tcBorders>
              <w:top w:val="nil"/>
              <w:left w:val="nil"/>
              <w:bottom w:val="nil"/>
              <w:right w:val="nil"/>
            </w:tcBorders>
            <w:shd w:val="clear" w:color="auto" w:fill="auto"/>
            <w:noWrap/>
            <w:vAlign w:val="bottom"/>
            <w:hideMark/>
          </w:tcPr>
          <w:p w14:paraId="0B3636E4"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(0.229)</w:t>
            </w:r>
          </w:p>
        </w:tc>
        <w:tc>
          <w:tcPr>
            <w:tcW w:w="1059" w:type="dxa"/>
            <w:tcBorders>
              <w:top w:val="nil"/>
              <w:left w:val="nil"/>
              <w:bottom w:val="nil"/>
              <w:right w:val="nil"/>
            </w:tcBorders>
            <w:shd w:val="clear" w:color="auto" w:fill="auto"/>
            <w:noWrap/>
            <w:vAlign w:val="bottom"/>
            <w:hideMark/>
          </w:tcPr>
          <w:p w14:paraId="39E473B0"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(0.229)</w:t>
            </w:r>
          </w:p>
        </w:tc>
        <w:tc>
          <w:tcPr>
            <w:tcW w:w="1059" w:type="dxa"/>
            <w:tcBorders>
              <w:top w:val="nil"/>
              <w:left w:val="nil"/>
              <w:bottom w:val="nil"/>
              <w:right w:val="nil"/>
            </w:tcBorders>
            <w:shd w:val="clear" w:color="auto" w:fill="auto"/>
            <w:noWrap/>
            <w:vAlign w:val="bottom"/>
            <w:hideMark/>
          </w:tcPr>
          <w:p w14:paraId="0C36FCE2"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(0.229)</w:t>
            </w:r>
          </w:p>
        </w:tc>
        <w:tc>
          <w:tcPr>
            <w:tcW w:w="1014" w:type="dxa"/>
            <w:tcBorders>
              <w:top w:val="nil"/>
              <w:left w:val="nil"/>
              <w:bottom w:val="nil"/>
              <w:right w:val="nil"/>
            </w:tcBorders>
            <w:shd w:val="clear" w:color="auto" w:fill="auto"/>
            <w:noWrap/>
            <w:vAlign w:val="bottom"/>
            <w:hideMark/>
          </w:tcPr>
          <w:p w14:paraId="34902AB1"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(0.229)</w:t>
            </w:r>
          </w:p>
        </w:tc>
        <w:tc>
          <w:tcPr>
            <w:tcW w:w="1139" w:type="dxa"/>
            <w:tcBorders>
              <w:top w:val="nil"/>
              <w:left w:val="nil"/>
              <w:bottom w:val="nil"/>
              <w:right w:val="nil"/>
            </w:tcBorders>
            <w:shd w:val="clear" w:color="auto" w:fill="auto"/>
            <w:noWrap/>
            <w:vAlign w:val="bottom"/>
            <w:hideMark/>
          </w:tcPr>
          <w:p w14:paraId="19C291CF"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r>
      <w:tr w:rsidR="00585C26" w:rsidRPr="00986F85" w14:paraId="2995DFEB" w14:textId="77777777" w:rsidTr="00585C26">
        <w:trPr>
          <w:trHeight w:val="240"/>
        </w:trPr>
        <w:tc>
          <w:tcPr>
            <w:tcW w:w="3441" w:type="dxa"/>
            <w:tcBorders>
              <w:top w:val="nil"/>
              <w:left w:val="nil"/>
              <w:bottom w:val="nil"/>
              <w:right w:val="nil"/>
            </w:tcBorders>
            <w:shd w:val="clear" w:color="auto" w:fill="auto"/>
            <w:noWrap/>
            <w:vAlign w:val="bottom"/>
            <w:hideMark/>
          </w:tcPr>
          <w:p w14:paraId="064042FB"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Művészet, szórakoztatás, szabadidő</w:t>
            </w:r>
          </w:p>
        </w:tc>
        <w:tc>
          <w:tcPr>
            <w:tcW w:w="994" w:type="dxa"/>
            <w:tcBorders>
              <w:top w:val="nil"/>
              <w:left w:val="nil"/>
              <w:bottom w:val="nil"/>
              <w:right w:val="nil"/>
            </w:tcBorders>
            <w:shd w:val="clear" w:color="auto" w:fill="auto"/>
            <w:noWrap/>
            <w:vAlign w:val="bottom"/>
            <w:hideMark/>
          </w:tcPr>
          <w:p w14:paraId="6A563A19"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-0.179</w:t>
            </w:r>
          </w:p>
        </w:tc>
        <w:tc>
          <w:tcPr>
            <w:tcW w:w="1057" w:type="dxa"/>
            <w:tcBorders>
              <w:top w:val="nil"/>
              <w:left w:val="nil"/>
              <w:bottom w:val="nil"/>
              <w:right w:val="nil"/>
            </w:tcBorders>
            <w:shd w:val="clear" w:color="auto" w:fill="auto"/>
            <w:noWrap/>
            <w:vAlign w:val="bottom"/>
            <w:hideMark/>
          </w:tcPr>
          <w:p w14:paraId="08FFC3A7"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-0.107</w:t>
            </w:r>
          </w:p>
        </w:tc>
        <w:tc>
          <w:tcPr>
            <w:tcW w:w="1057" w:type="dxa"/>
            <w:tcBorders>
              <w:top w:val="nil"/>
              <w:left w:val="nil"/>
              <w:bottom w:val="nil"/>
              <w:right w:val="nil"/>
            </w:tcBorders>
            <w:shd w:val="clear" w:color="auto" w:fill="auto"/>
            <w:noWrap/>
            <w:vAlign w:val="bottom"/>
            <w:hideMark/>
          </w:tcPr>
          <w:p w14:paraId="570186BA"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-0.103</w:t>
            </w:r>
          </w:p>
        </w:tc>
        <w:tc>
          <w:tcPr>
            <w:tcW w:w="1059" w:type="dxa"/>
            <w:tcBorders>
              <w:top w:val="nil"/>
              <w:left w:val="nil"/>
              <w:bottom w:val="nil"/>
              <w:right w:val="nil"/>
            </w:tcBorders>
            <w:shd w:val="clear" w:color="auto" w:fill="auto"/>
            <w:noWrap/>
            <w:vAlign w:val="bottom"/>
            <w:hideMark/>
          </w:tcPr>
          <w:p w14:paraId="709A7C16"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-0.0933</w:t>
            </w:r>
          </w:p>
        </w:tc>
        <w:tc>
          <w:tcPr>
            <w:tcW w:w="1059" w:type="dxa"/>
            <w:tcBorders>
              <w:top w:val="nil"/>
              <w:left w:val="nil"/>
              <w:bottom w:val="nil"/>
              <w:right w:val="nil"/>
            </w:tcBorders>
            <w:shd w:val="clear" w:color="auto" w:fill="auto"/>
            <w:noWrap/>
            <w:vAlign w:val="bottom"/>
            <w:hideMark/>
          </w:tcPr>
          <w:p w14:paraId="7197551F"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-0.155</w:t>
            </w:r>
          </w:p>
        </w:tc>
        <w:tc>
          <w:tcPr>
            <w:tcW w:w="1014" w:type="dxa"/>
            <w:tcBorders>
              <w:top w:val="nil"/>
              <w:left w:val="nil"/>
              <w:bottom w:val="nil"/>
              <w:right w:val="nil"/>
            </w:tcBorders>
            <w:shd w:val="clear" w:color="auto" w:fill="auto"/>
            <w:noWrap/>
            <w:vAlign w:val="bottom"/>
            <w:hideMark/>
          </w:tcPr>
          <w:p w14:paraId="55A96D4A"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-0.171</w:t>
            </w:r>
          </w:p>
        </w:tc>
        <w:tc>
          <w:tcPr>
            <w:tcW w:w="1139" w:type="dxa"/>
            <w:tcBorders>
              <w:top w:val="nil"/>
              <w:left w:val="nil"/>
              <w:bottom w:val="nil"/>
              <w:right w:val="nil"/>
            </w:tcBorders>
            <w:shd w:val="clear" w:color="auto" w:fill="auto"/>
            <w:noWrap/>
            <w:vAlign w:val="bottom"/>
            <w:hideMark/>
          </w:tcPr>
          <w:p w14:paraId="5FD2806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0.335</w:t>
            </w:r>
          </w:p>
        </w:tc>
      </w:tr>
      <w:tr w:rsidR="00585C26" w:rsidRPr="00986F85" w14:paraId="0AB145F5" w14:textId="77777777" w:rsidTr="00585C26">
        <w:trPr>
          <w:trHeight w:val="240"/>
        </w:trPr>
        <w:tc>
          <w:tcPr>
            <w:tcW w:w="3441" w:type="dxa"/>
            <w:tcBorders>
              <w:top w:val="nil"/>
              <w:left w:val="nil"/>
              <w:bottom w:val="nil"/>
              <w:right w:val="nil"/>
            </w:tcBorders>
            <w:shd w:val="clear" w:color="auto" w:fill="auto"/>
            <w:noWrap/>
            <w:vAlign w:val="bottom"/>
            <w:hideMark/>
          </w:tcPr>
          <w:p w14:paraId="75BBF9AF" w14:textId="77777777" w:rsidR="00585C26" w:rsidRPr="00986F85" w:rsidRDefault="00585C26" w:rsidP="00585C26">
            <w:pPr>
              <w:suppressAutoHyphens w:val="0"/>
              <w:spacing w:after="0" w:line="240" w:lineRule="auto"/>
              <w:rPr>
                <w:rFonts w:eastAsia="Times New Roman" w:cs="Arial"/>
                <w:sz w:val="20"/>
                <w:szCs w:val="20"/>
                <w:lang w:val="en-US" w:eastAsia="en-US"/>
              </w:rPr>
            </w:pPr>
          </w:p>
        </w:tc>
        <w:tc>
          <w:tcPr>
            <w:tcW w:w="994" w:type="dxa"/>
            <w:tcBorders>
              <w:top w:val="nil"/>
              <w:left w:val="nil"/>
              <w:bottom w:val="nil"/>
              <w:right w:val="nil"/>
            </w:tcBorders>
            <w:shd w:val="clear" w:color="auto" w:fill="auto"/>
            <w:noWrap/>
            <w:vAlign w:val="bottom"/>
            <w:hideMark/>
          </w:tcPr>
          <w:p w14:paraId="47669B12"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(0.206)</w:t>
            </w:r>
          </w:p>
        </w:tc>
        <w:tc>
          <w:tcPr>
            <w:tcW w:w="1057" w:type="dxa"/>
            <w:tcBorders>
              <w:top w:val="nil"/>
              <w:left w:val="nil"/>
              <w:bottom w:val="nil"/>
              <w:right w:val="nil"/>
            </w:tcBorders>
            <w:shd w:val="clear" w:color="auto" w:fill="auto"/>
            <w:noWrap/>
            <w:vAlign w:val="bottom"/>
            <w:hideMark/>
          </w:tcPr>
          <w:p w14:paraId="4657DBFA"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(0.210)</w:t>
            </w:r>
          </w:p>
        </w:tc>
        <w:tc>
          <w:tcPr>
            <w:tcW w:w="1057" w:type="dxa"/>
            <w:tcBorders>
              <w:top w:val="nil"/>
              <w:left w:val="nil"/>
              <w:bottom w:val="nil"/>
              <w:right w:val="nil"/>
            </w:tcBorders>
            <w:shd w:val="clear" w:color="auto" w:fill="auto"/>
            <w:noWrap/>
            <w:vAlign w:val="bottom"/>
            <w:hideMark/>
          </w:tcPr>
          <w:p w14:paraId="339EE8E0"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(0.211)</w:t>
            </w:r>
          </w:p>
        </w:tc>
        <w:tc>
          <w:tcPr>
            <w:tcW w:w="1059" w:type="dxa"/>
            <w:tcBorders>
              <w:top w:val="nil"/>
              <w:left w:val="nil"/>
              <w:bottom w:val="nil"/>
              <w:right w:val="nil"/>
            </w:tcBorders>
            <w:shd w:val="clear" w:color="auto" w:fill="auto"/>
            <w:noWrap/>
            <w:vAlign w:val="bottom"/>
            <w:hideMark/>
          </w:tcPr>
          <w:p w14:paraId="7258B828"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(0.211)</w:t>
            </w:r>
          </w:p>
        </w:tc>
        <w:tc>
          <w:tcPr>
            <w:tcW w:w="1059" w:type="dxa"/>
            <w:tcBorders>
              <w:top w:val="nil"/>
              <w:left w:val="nil"/>
              <w:bottom w:val="nil"/>
              <w:right w:val="nil"/>
            </w:tcBorders>
            <w:shd w:val="clear" w:color="auto" w:fill="auto"/>
            <w:noWrap/>
            <w:vAlign w:val="bottom"/>
            <w:hideMark/>
          </w:tcPr>
          <w:p w14:paraId="509DCE1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(0.220)</w:t>
            </w:r>
          </w:p>
        </w:tc>
        <w:tc>
          <w:tcPr>
            <w:tcW w:w="1014" w:type="dxa"/>
            <w:tcBorders>
              <w:top w:val="nil"/>
              <w:left w:val="nil"/>
              <w:bottom w:val="nil"/>
              <w:right w:val="nil"/>
            </w:tcBorders>
            <w:shd w:val="clear" w:color="auto" w:fill="auto"/>
            <w:noWrap/>
            <w:vAlign w:val="bottom"/>
            <w:hideMark/>
          </w:tcPr>
          <w:p w14:paraId="50F92AD7"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(0.220)</w:t>
            </w:r>
          </w:p>
        </w:tc>
        <w:tc>
          <w:tcPr>
            <w:tcW w:w="1139" w:type="dxa"/>
            <w:tcBorders>
              <w:top w:val="nil"/>
              <w:left w:val="nil"/>
              <w:bottom w:val="nil"/>
              <w:right w:val="nil"/>
            </w:tcBorders>
            <w:shd w:val="clear" w:color="auto" w:fill="auto"/>
            <w:noWrap/>
            <w:vAlign w:val="bottom"/>
            <w:hideMark/>
          </w:tcPr>
          <w:p w14:paraId="01ED6110"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(0.653)</w:t>
            </w:r>
          </w:p>
        </w:tc>
      </w:tr>
      <w:tr w:rsidR="00585C26" w:rsidRPr="00986F85" w14:paraId="2BB8C8C3" w14:textId="77777777" w:rsidTr="00585C26">
        <w:trPr>
          <w:trHeight w:val="240"/>
        </w:trPr>
        <w:tc>
          <w:tcPr>
            <w:tcW w:w="3441" w:type="dxa"/>
            <w:tcBorders>
              <w:top w:val="nil"/>
              <w:left w:val="nil"/>
              <w:bottom w:val="nil"/>
              <w:right w:val="nil"/>
            </w:tcBorders>
            <w:shd w:val="clear" w:color="auto" w:fill="auto"/>
            <w:noWrap/>
            <w:vAlign w:val="bottom"/>
            <w:hideMark/>
          </w:tcPr>
          <w:p w14:paraId="4DD582C0"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Oktatás</w:t>
            </w:r>
          </w:p>
        </w:tc>
        <w:tc>
          <w:tcPr>
            <w:tcW w:w="994" w:type="dxa"/>
            <w:tcBorders>
              <w:top w:val="nil"/>
              <w:left w:val="nil"/>
              <w:bottom w:val="nil"/>
              <w:right w:val="nil"/>
            </w:tcBorders>
            <w:shd w:val="clear" w:color="auto" w:fill="auto"/>
            <w:noWrap/>
            <w:vAlign w:val="bottom"/>
            <w:hideMark/>
          </w:tcPr>
          <w:p w14:paraId="1305D9CF"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0.141</w:t>
            </w:r>
          </w:p>
        </w:tc>
        <w:tc>
          <w:tcPr>
            <w:tcW w:w="1057" w:type="dxa"/>
            <w:tcBorders>
              <w:top w:val="nil"/>
              <w:left w:val="nil"/>
              <w:bottom w:val="nil"/>
              <w:right w:val="nil"/>
            </w:tcBorders>
            <w:shd w:val="clear" w:color="auto" w:fill="auto"/>
            <w:noWrap/>
            <w:vAlign w:val="bottom"/>
            <w:hideMark/>
          </w:tcPr>
          <w:p w14:paraId="62818B20"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0.342*</w:t>
            </w:r>
          </w:p>
        </w:tc>
        <w:tc>
          <w:tcPr>
            <w:tcW w:w="1057" w:type="dxa"/>
            <w:tcBorders>
              <w:top w:val="nil"/>
              <w:left w:val="nil"/>
              <w:bottom w:val="nil"/>
              <w:right w:val="nil"/>
            </w:tcBorders>
            <w:shd w:val="clear" w:color="auto" w:fill="auto"/>
            <w:noWrap/>
            <w:vAlign w:val="bottom"/>
            <w:hideMark/>
          </w:tcPr>
          <w:p w14:paraId="1EC33BEB"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0.352*</w:t>
            </w:r>
          </w:p>
        </w:tc>
        <w:tc>
          <w:tcPr>
            <w:tcW w:w="1059" w:type="dxa"/>
            <w:tcBorders>
              <w:top w:val="nil"/>
              <w:left w:val="nil"/>
              <w:bottom w:val="nil"/>
              <w:right w:val="nil"/>
            </w:tcBorders>
            <w:shd w:val="clear" w:color="auto" w:fill="auto"/>
            <w:noWrap/>
            <w:vAlign w:val="bottom"/>
            <w:hideMark/>
          </w:tcPr>
          <w:p w14:paraId="42DE726C"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0.361*</w:t>
            </w:r>
          </w:p>
        </w:tc>
        <w:tc>
          <w:tcPr>
            <w:tcW w:w="1059" w:type="dxa"/>
            <w:tcBorders>
              <w:top w:val="nil"/>
              <w:left w:val="nil"/>
              <w:bottom w:val="nil"/>
              <w:right w:val="nil"/>
            </w:tcBorders>
            <w:shd w:val="clear" w:color="auto" w:fill="auto"/>
            <w:noWrap/>
            <w:vAlign w:val="bottom"/>
            <w:hideMark/>
          </w:tcPr>
          <w:p w14:paraId="6AD88115"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0.547***</w:t>
            </w:r>
          </w:p>
        </w:tc>
        <w:tc>
          <w:tcPr>
            <w:tcW w:w="1014" w:type="dxa"/>
            <w:tcBorders>
              <w:top w:val="nil"/>
              <w:left w:val="nil"/>
              <w:bottom w:val="nil"/>
              <w:right w:val="nil"/>
            </w:tcBorders>
            <w:shd w:val="clear" w:color="auto" w:fill="auto"/>
            <w:noWrap/>
            <w:vAlign w:val="bottom"/>
            <w:hideMark/>
          </w:tcPr>
          <w:p w14:paraId="0EDCF965"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0.555***</w:t>
            </w:r>
          </w:p>
        </w:tc>
        <w:tc>
          <w:tcPr>
            <w:tcW w:w="1139" w:type="dxa"/>
            <w:tcBorders>
              <w:top w:val="nil"/>
              <w:left w:val="nil"/>
              <w:bottom w:val="nil"/>
              <w:right w:val="nil"/>
            </w:tcBorders>
            <w:shd w:val="clear" w:color="auto" w:fill="auto"/>
            <w:noWrap/>
            <w:vAlign w:val="bottom"/>
            <w:hideMark/>
          </w:tcPr>
          <w:p w14:paraId="4E58476C"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r>
      <w:tr w:rsidR="00585C26" w:rsidRPr="00986F85" w14:paraId="7ADE0E79" w14:textId="77777777" w:rsidTr="00585C26">
        <w:trPr>
          <w:trHeight w:val="240"/>
        </w:trPr>
        <w:tc>
          <w:tcPr>
            <w:tcW w:w="3441" w:type="dxa"/>
            <w:tcBorders>
              <w:top w:val="nil"/>
              <w:left w:val="nil"/>
              <w:bottom w:val="nil"/>
              <w:right w:val="nil"/>
            </w:tcBorders>
            <w:shd w:val="clear" w:color="auto" w:fill="auto"/>
            <w:noWrap/>
            <w:vAlign w:val="bottom"/>
            <w:hideMark/>
          </w:tcPr>
          <w:p w14:paraId="6AFAA21A" w14:textId="77777777" w:rsidR="00585C26" w:rsidRPr="00986F85" w:rsidRDefault="00585C26" w:rsidP="00585C26">
            <w:pPr>
              <w:suppressAutoHyphens w:val="0"/>
              <w:spacing w:after="0" w:line="240" w:lineRule="auto"/>
              <w:rPr>
                <w:rFonts w:eastAsia="Times New Roman" w:cs="Arial"/>
                <w:sz w:val="20"/>
                <w:szCs w:val="20"/>
                <w:lang w:val="en-US" w:eastAsia="en-US"/>
              </w:rPr>
            </w:pPr>
          </w:p>
        </w:tc>
        <w:tc>
          <w:tcPr>
            <w:tcW w:w="994" w:type="dxa"/>
            <w:tcBorders>
              <w:top w:val="nil"/>
              <w:left w:val="nil"/>
              <w:bottom w:val="nil"/>
              <w:right w:val="nil"/>
            </w:tcBorders>
            <w:shd w:val="clear" w:color="auto" w:fill="auto"/>
            <w:noWrap/>
            <w:vAlign w:val="bottom"/>
            <w:hideMark/>
          </w:tcPr>
          <w:p w14:paraId="2C29A14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(0.197)</w:t>
            </w:r>
          </w:p>
        </w:tc>
        <w:tc>
          <w:tcPr>
            <w:tcW w:w="1057" w:type="dxa"/>
            <w:tcBorders>
              <w:top w:val="nil"/>
              <w:left w:val="nil"/>
              <w:bottom w:val="nil"/>
              <w:right w:val="nil"/>
            </w:tcBorders>
            <w:shd w:val="clear" w:color="auto" w:fill="auto"/>
            <w:noWrap/>
            <w:vAlign w:val="bottom"/>
            <w:hideMark/>
          </w:tcPr>
          <w:p w14:paraId="541DE981"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(0.200)</w:t>
            </w:r>
          </w:p>
        </w:tc>
        <w:tc>
          <w:tcPr>
            <w:tcW w:w="1057" w:type="dxa"/>
            <w:tcBorders>
              <w:top w:val="nil"/>
              <w:left w:val="nil"/>
              <w:bottom w:val="nil"/>
              <w:right w:val="nil"/>
            </w:tcBorders>
            <w:shd w:val="clear" w:color="auto" w:fill="auto"/>
            <w:noWrap/>
            <w:vAlign w:val="bottom"/>
            <w:hideMark/>
          </w:tcPr>
          <w:p w14:paraId="1A93CE3C"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(0.200)</w:t>
            </w:r>
          </w:p>
        </w:tc>
        <w:tc>
          <w:tcPr>
            <w:tcW w:w="1059" w:type="dxa"/>
            <w:tcBorders>
              <w:top w:val="nil"/>
              <w:left w:val="nil"/>
              <w:bottom w:val="nil"/>
              <w:right w:val="nil"/>
            </w:tcBorders>
            <w:shd w:val="clear" w:color="auto" w:fill="auto"/>
            <w:noWrap/>
            <w:vAlign w:val="bottom"/>
            <w:hideMark/>
          </w:tcPr>
          <w:p w14:paraId="335B9B81"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(0.200)</w:t>
            </w:r>
          </w:p>
        </w:tc>
        <w:tc>
          <w:tcPr>
            <w:tcW w:w="1059" w:type="dxa"/>
            <w:tcBorders>
              <w:top w:val="nil"/>
              <w:left w:val="nil"/>
              <w:bottom w:val="nil"/>
              <w:right w:val="nil"/>
            </w:tcBorders>
            <w:shd w:val="clear" w:color="auto" w:fill="auto"/>
            <w:noWrap/>
            <w:vAlign w:val="bottom"/>
            <w:hideMark/>
          </w:tcPr>
          <w:p w14:paraId="5C69772F"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(0.208)</w:t>
            </w:r>
          </w:p>
        </w:tc>
        <w:tc>
          <w:tcPr>
            <w:tcW w:w="1014" w:type="dxa"/>
            <w:tcBorders>
              <w:top w:val="nil"/>
              <w:left w:val="nil"/>
              <w:bottom w:val="nil"/>
              <w:right w:val="nil"/>
            </w:tcBorders>
            <w:shd w:val="clear" w:color="auto" w:fill="auto"/>
            <w:noWrap/>
            <w:vAlign w:val="bottom"/>
            <w:hideMark/>
          </w:tcPr>
          <w:p w14:paraId="550E1F50"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(0.207)</w:t>
            </w:r>
          </w:p>
        </w:tc>
        <w:tc>
          <w:tcPr>
            <w:tcW w:w="1139" w:type="dxa"/>
            <w:tcBorders>
              <w:top w:val="nil"/>
              <w:left w:val="nil"/>
              <w:bottom w:val="nil"/>
              <w:right w:val="nil"/>
            </w:tcBorders>
            <w:shd w:val="clear" w:color="auto" w:fill="auto"/>
            <w:noWrap/>
            <w:vAlign w:val="bottom"/>
            <w:hideMark/>
          </w:tcPr>
          <w:p w14:paraId="19D426B8"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r>
      <w:tr w:rsidR="00585C26" w:rsidRPr="00986F85" w14:paraId="0B792973" w14:textId="77777777" w:rsidTr="00585C26">
        <w:trPr>
          <w:trHeight w:val="240"/>
        </w:trPr>
        <w:tc>
          <w:tcPr>
            <w:tcW w:w="3441" w:type="dxa"/>
            <w:tcBorders>
              <w:top w:val="nil"/>
              <w:left w:val="nil"/>
              <w:bottom w:val="nil"/>
              <w:right w:val="nil"/>
            </w:tcBorders>
            <w:shd w:val="clear" w:color="auto" w:fill="auto"/>
            <w:noWrap/>
            <w:vAlign w:val="bottom"/>
            <w:hideMark/>
          </w:tcPr>
          <w:p w14:paraId="33DE298D"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Pénzügyi, biztosítási tevékenység</w:t>
            </w:r>
          </w:p>
        </w:tc>
        <w:tc>
          <w:tcPr>
            <w:tcW w:w="994" w:type="dxa"/>
            <w:tcBorders>
              <w:top w:val="nil"/>
              <w:left w:val="nil"/>
              <w:bottom w:val="nil"/>
              <w:right w:val="nil"/>
            </w:tcBorders>
            <w:shd w:val="clear" w:color="auto" w:fill="auto"/>
            <w:noWrap/>
            <w:vAlign w:val="bottom"/>
            <w:hideMark/>
          </w:tcPr>
          <w:p w14:paraId="6CECC7C8"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0.412**</w:t>
            </w:r>
          </w:p>
        </w:tc>
        <w:tc>
          <w:tcPr>
            <w:tcW w:w="1057" w:type="dxa"/>
            <w:tcBorders>
              <w:top w:val="nil"/>
              <w:left w:val="nil"/>
              <w:bottom w:val="nil"/>
              <w:right w:val="nil"/>
            </w:tcBorders>
            <w:shd w:val="clear" w:color="auto" w:fill="auto"/>
            <w:noWrap/>
            <w:vAlign w:val="bottom"/>
            <w:hideMark/>
          </w:tcPr>
          <w:p w14:paraId="52B94163"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0.429**</w:t>
            </w:r>
          </w:p>
        </w:tc>
        <w:tc>
          <w:tcPr>
            <w:tcW w:w="1057" w:type="dxa"/>
            <w:tcBorders>
              <w:top w:val="nil"/>
              <w:left w:val="nil"/>
              <w:bottom w:val="nil"/>
              <w:right w:val="nil"/>
            </w:tcBorders>
            <w:shd w:val="clear" w:color="auto" w:fill="auto"/>
            <w:noWrap/>
            <w:vAlign w:val="bottom"/>
            <w:hideMark/>
          </w:tcPr>
          <w:p w14:paraId="280E4503"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0.459**</w:t>
            </w:r>
          </w:p>
        </w:tc>
        <w:tc>
          <w:tcPr>
            <w:tcW w:w="1059" w:type="dxa"/>
            <w:tcBorders>
              <w:top w:val="nil"/>
              <w:left w:val="nil"/>
              <w:bottom w:val="nil"/>
              <w:right w:val="nil"/>
            </w:tcBorders>
            <w:shd w:val="clear" w:color="auto" w:fill="auto"/>
            <w:noWrap/>
            <w:vAlign w:val="bottom"/>
            <w:hideMark/>
          </w:tcPr>
          <w:p w14:paraId="467A59F5"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0.427**</w:t>
            </w:r>
          </w:p>
        </w:tc>
        <w:tc>
          <w:tcPr>
            <w:tcW w:w="1059" w:type="dxa"/>
            <w:tcBorders>
              <w:top w:val="nil"/>
              <w:left w:val="nil"/>
              <w:bottom w:val="nil"/>
              <w:right w:val="nil"/>
            </w:tcBorders>
            <w:shd w:val="clear" w:color="auto" w:fill="auto"/>
            <w:noWrap/>
            <w:vAlign w:val="bottom"/>
            <w:hideMark/>
          </w:tcPr>
          <w:p w14:paraId="5ED9EBFC"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0.391**</w:t>
            </w:r>
          </w:p>
        </w:tc>
        <w:tc>
          <w:tcPr>
            <w:tcW w:w="1014" w:type="dxa"/>
            <w:tcBorders>
              <w:top w:val="nil"/>
              <w:left w:val="nil"/>
              <w:bottom w:val="nil"/>
              <w:right w:val="nil"/>
            </w:tcBorders>
            <w:shd w:val="clear" w:color="auto" w:fill="auto"/>
            <w:noWrap/>
            <w:vAlign w:val="bottom"/>
            <w:hideMark/>
          </w:tcPr>
          <w:p w14:paraId="693F1689"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0.397**</w:t>
            </w:r>
          </w:p>
        </w:tc>
        <w:tc>
          <w:tcPr>
            <w:tcW w:w="1139" w:type="dxa"/>
            <w:tcBorders>
              <w:top w:val="nil"/>
              <w:left w:val="nil"/>
              <w:bottom w:val="nil"/>
              <w:right w:val="nil"/>
            </w:tcBorders>
            <w:shd w:val="clear" w:color="auto" w:fill="auto"/>
            <w:noWrap/>
            <w:vAlign w:val="bottom"/>
            <w:hideMark/>
          </w:tcPr>
          <w:p w14:paraId="34506681"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r>
      <w:tr w:rsidR="00585C26" w:rsidRPr="00986F85" w14:paraId="4DC2FCF0" w14:textId="77777777" w:rsidTr="00585C26">
        <w:trPr>
          <w:trHeight w:val="240"/>
        </w:trPr>
        <w:tc>
          <w:tcPr>
            <w:tcW w:w="3441" w:type="dxa"/>
            <w:tcBorders>
              <w:top w:val="nil"/>
              <w:left w:val="nil"/>
              <w:bottom w:val="nil"/>
              <w:right w:val="nil"/>
            </w:tcBorders>
            <w:shd w:val="clear" w:color="auto" w:fill="auto"/>
            <w:noWrap/>
            <w:vAlign w:val="bottom"/>
            <w:hideMark/>
          </w:tcPr>
          <w:p w14:paraId="4237D84D" w14:textId="77777777" w:rsidR="00585C26" w:rsidRPr="00986F85" w:rsidRDefault="00585C26" w:rsidP="00585C26">
            <w:pPr>
              <w:suppressAutoHyphens w:val="0"/>
              <w:spacing w:after="0" w:line="240" w:lineRule="auto"/>
              <w:rPr>
                <w:rFonts w:eastAsia="Times New Roman" w:cs="Arial"/>
                <w:sz w:val="20"/>
                <w:szCs w:val="20"/>
                <w:lang w:val="en-US" w:eastAsia="en-US"/>
              </w:rPr>
            </w:pPr>
          </w:p>
        </w:tc>
        <w:tc>
          <w:tcPr>
            <w:tcW w:w="994" w:type="dxa"/>
            <w:tcBorders>
              <w:top w:val="nil"/>
              <w:left w:val="nil"/>
              <w:bottom w:val="nil"/>
              <w:right w:val="nil"/>
            </w:tcBorders>
            <w:shd w:val="clear" w:color="auto" w:fill="auto"/>
            <w:noWrap/>
            <w:vAlign w:val="bottom"/>
            <w:hideMark/>
          </w:tcPr>
          <w:p w14:paraId="7371CC4C"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(0.167)</w:t>
            </w:r>
          </w:p>
        </w:tc>
        <w:tc>
          <w:tcPr>
            <w:tcW w:w="1057" w:type="dxa"/>
            <w:tcBorders>
              <w:top w:val="nil"/>
              <w:left w:val="nil"/>
              <w:bottom w:val="nil"/>
              <w:right w:val="nil"/>
            </w:tcBorders>
            <w:shd w:val="clear" w:color="auto" w:fill="auto"/>
            <w:noWrap/>
            <w:vAlign w:val="bottom"/>
            <w:hideMark/>
          </w:tcPr>
          <w:p w14:paraId="6FB78701"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(0.188)</w:t>
            </w:r>
          </w:p>
        </w:tc>
        <w:tc>
          <w:tcPr>
            <w:tcW w:w="1057" w:type="dxa"/>
            <w:tcBorders>
              <w:top w:val="nil"/>
              <w:left w:val="nil"/>
              <w:bottom w:val="nil"/>
              <w:right w:val="nil"/>
            </w:tcBorders>
            <w:shd w:val="clear" w:color="auto" w:fill="auto"/>
            <w:noWrap/>
            <w:vAlign w:val="bottom"/>
            <w:hideMark/>
          </w:tcPr>
          <w:p w14:paraId="6EC313E4"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(0.190)</w:t>
            </w:r>
          </w:p>
        </w:tc>
        <w:tc>
          <w:tcPr>
            <w:tcW w:w="1059" w:type="dxa"/>
            <w:tcBorders>
              <w:top w:val="nil"/>
              <w:left w:val="nil"/>
              <w:bottom w:val="nil"/>
              <w:right w:val="nil"/>
            </w:tcBorders>
            <w:shd w:val="clear" w:color="auto" w:fill="auto"/>
            <w:noWrap/>
            <w:vAlign w:val="bottom"/>
            <w:hideMark/>
          </w:tcPr>
          <w:p w14:paraId="4CDF0CA3"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(0.191)</w:t>
            </w:r>
          </w:p>
        </w:tc>
        <w:tc>
          <w:tcPr>
            <w:tcW w:w="1059" w:type="dxa"/>
            <w:tcBorders>
              <w:top w:val="nil"/>
              <w:left w:val="nil"/>
              <w:bottom w:val="nil"/>
              <w:right w:val="nil"/>
            </w:tcBorders>
            <w:shd w:val="clear" w:color="auto" w:fill="auto"/>
            <w:noWrap/>
            <w:vAlign w:val="bottom"/>
            <w:hideMark/>
          </w:tcPr>
          <w:p w14:paraId="23F497F7"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(0.192)</w:t>
            </w:r>
          </w:p>
        </w:tc>
        <w:tc>
          <w:tcPr>
            <w:tcW w:w="1014" w:type="dxa"/>
            <w:tcBorders>
              <w:top w:val="nil"/>
              <w:left w:val="nil"/>
              <w:bottom w:val="nil"/>
              <w:right w:val="nil"/>
            </w:tcBorders>
            <w:shd w:val="clear" w:color="auto" w:fill="auto"/>
            <w:noWrap/>
            <w:vAlign w:val="bottom"/>
            <w:hideMark/>
          </w:tcPr>
          <w:p w14:paraId="7976B4E5"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(0.191)</w:t>
            </w:r>
          </w:p>
        </w:tc>
        <w:tc>
          <w:tcPr>
            <w:tcW w:w="1139" w:type="dxa"/>
            <w:tcBorders>
              <w:top w:val="nil"/>
              <w:left w:val="nil"/>
              <w:bottom w:val="nil"/>
              <w:right w:val="nil"/>
            </w:tcBorders>
            <w:shd w:val="clear" w:color="auto" w:fill="auto"/>
            <w:noWrap/>
            <w:vAlign w:val="bottom"/>
            <w:hideMark/>
          </w:tcPr>
          <w:p w14:paraId="5A06B10C"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r>
      <w:tr w:rsidR="00585C26" w:rsidRPr="00986F85" w14:paraId="50C43261" w14:textId="77777777" w:rsidTr="00585C26">
        <w:trPr>
          <w:trHeight w:val="240"/>
        </w:trPr>
        <w:tc>
          <w:tcPr>
            <w:tcW w:w="3441" w:type="dxa"/>
            <w:tcBorders>
              <w:top w:val="nil"/>
              <w:left w:val="nil"/>
              <w:bottom w:val="nil"/>
              <w:right w:val="nil"/>
            </w:tcBorders>
            <w:shd w:val="clear" w:color="auto" w:fill="auto"/>
            <w:noWrap/>
            <w:vAlign w:val="bottom"/>
            <w:hideMark/>
          </w:tcPr>
          <w:p w14:paraId="4C6E6C63"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Szakmai, tudományos, műszaki tev.</w:t>
            </w:r>
          </w:p>
        </w:tc>
        <w:tc>
          <w:tcPr>
            <w:tcW w:w="994" w:type="dxa"/>
            <w:tcBorders>
              <w:top w:val="nil"/>
              <w:left w:val="nil"/>
              <w:bottom w:val="nil"/>
              <w:right w:val="nil"/>
            </w:tcBorders>
            <w:shd w:val="clear" w:color="auto" w:fill="auto"/>
            <w:noWrap/>
            <w:vAlign w:val="bottom"/>
            <w:hideMark/>
          </w:tcPr>
          <w:p w14:paraId="4340ECB4"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0.102</w:t>
            </w:r>
          </w:p>
        </w:tc>
        <w:tc>
          <w:tcPr>
            <w:tcW w:w="1057" w:type="dxa"/>
            <w:tcBorders>
              <w:top w:val="nil"/>
              <w:left w:val="nil"/>
              <w:bottom w:val="nil"/>
              <w:right w:val="nil"/>
            </w:tcBorders>
            <w:shd w:val="clear" w:color="auto" w:fill="auto"/>
            <w:noWrap/>
            <w:vAlign w:val="bottom"/>
            <w:hideMark/>
          </w:tcPr>
          <w:p w14:paraId="2CC58DF5"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0.272*</w:t>
            </w:r>
          </w:p>
        </w:tc>
        <w:tc>
          <w:tcPr>
            <w:tcW w:w="1057" w:type="dxa"/>
            <w:tcBorders>
              <w:top w:val="nil"/>
              <w:left w:val="nil"/>
              <w:bottom w:val="nil"/>
              <w:right w:val="nil"/>
            </w:tcBorders>
            <w:shd w:val="clear" w:color="auto" w:fill="auto"/>
            <w:noWrap/>
            <w:vAlign w:val="bottom"/>
            <w:hideMark/>
          </w:tcPr>
          <w:p w14:paraId="31E3BE4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0.279*</w:t>
            </w:r>
          </w:p>
        </w:tc>
        <w:tc>
          <w:tcPr>
            <w:tcW w:w="1059" w:type="dxa"/>
            <w:tcBorders>
              <w:top w:val="nil"/>
              <w:left w:val="nil"/>
              <w:bottom w:val="nil"/>
              <w:right w:val="nil"/>
            </w:tcBorders>
            <w:shd w:val="clear" w:color="auto" w:fill="auto"/>
            <w:noWrap/>
            <w:vAlign w:val="bottom"/>
            <w:hideMark/>
          </w:tcPr>
          <w:p w14:paraId="0908890F"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0.290**</w:t>
            </w:r>
          </w:p>
        </w:tc>
        <w:tc>
          <w:tcPr>
            <w:tcW w:w="1059" w:type="dxa"/>
            <w:tcBorders>
              <w:top w:val="nil"/>
              <w:left w:val="nil"/>
              <w:bottom w:val="nil"/>
              <w:right w:val="nil"/>
            </w:tcBorders>
            <w:shd w:val="clear" w:color="auto" w:fill="auto"/>
            <w:noWrap/>
            <w:vAlign w:val="bottom"/>
            <w:hideMark/>
          </w:tcPr>
          <w:p w14:paraId="277ECC4F"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0.417***</w:t>
            </w:r>
          </w:p>
        </w:tc>
        <w:tc>
          <w:tcPr>
            <w:tcW w:w="1014" w:type="dxa"/>
            <w:tcBorders>
              <w:top w:val="nil"/>
              <w:left w:val="nil"/>
              <w:bottom w:val="nil"/>
              <w:right w:val="nil"/>
            </w:tcBorders>
            <w:shd w:val="clear" w:color="auto" w:fill="auto"/>
            <w:noWrap/>
            <w:vAlign w:val="bottom"/>
            <w:hideMark/>
          </w:tcPr>
          <w:p w14:paraId="4670AD98"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0.415***</w:t>
            </w:r>
          </w:p>
        </w:tc>
        <w:tc>
          <w:tcPr>
            <w:tcW w:w="1139" w:type="dxa"/>
            <w:tcBorders>
              <w:top w:val="nil"/>
              <w:left w:val="nil"/>
              <w:bottom w:val="nil"/>
              <w:right w:val="nil"/>
            </w:tcBorders>
            <w:shd w:val="clear" w:color="auto" w:fill="auto"/>
            <w:noWrap/>
            <w:vAlign w:val="bottom"/>
            <w:hideMark/>
          </w:tcPr>
          <w:p w14:paraId="6BC07137"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0.437</w:t>
            </w:r>
          </w:p>
        </w:tc>
      </w:tr>
      <w:tr w:rsidR="00585C26" w:rsidRPr="00986F85" w14:paraId="62B17122" w14:textId="77777777" w:rsidTr="00585C26">
        <w:trPr>
          <w:trHeight w:val="240"/>
        </w:trPr>
        <w:tc>
          <w:tcPr>
            <w:tcW w:w="3441" w:type="dxa"/>
            <w:tcBorders>
              <w:top w:val="nil"/>
              <w:left w:val="nil"/>
              <w:bottom w:val="nil"/>
              <w:right w:val="nil"/>
            </w:tcBorders>
            <w:shd w:val="clear" w:color="auto" w:fill="auto"/>
            <w:noWrap/>
            <w:vAlign w:val="bottom"/>
            <w:hideMark/>
          </w:tcPr>
          <w:p w14:paraId="11CDA68E" w14:textId="77777777" w:rsidR="00585C26" w:rsidRPr="00986F85" w:rsidRDefault="00585C26" w:rsidP="00585C26">
            <w:pPr>
              <w:suppressAutoHyphens w:val="0"/>
              <w:spacing w:after="0" w:line="240" w:lineRule="auto"/>
              <w:rPr>
                <w:rFonts w:eastAsia="Times New Roman" w:cs="Arial"/>
                <w:sz w:val="20"/>
                <w:szCs w:val="20"/>
                <w:lang w:val="en-US" w:eastAsia="en-US"/>
              </w:rPr>
            </w:pPr>
          </w:p>
        </w:tc>
        <w:tc>
          <w:tcPr>
            <w:tcW w:w="994" w:type="dxa"/>
            <w:tcBorders>
              <w:top w:val="nil"/>
              <w:left w:val="nil"/>
              <w:bottom w:val="nil"/>
              <w:right w:val="nil"/>
            </w:tcBorders>
            <w:shd w:val="clear" w:color="auto" w:fill="auto"/>
            <w:noWrap/>
            <w:vAlign w:val="bottom"/>
            <w:hideMark/>
          </w:tcPr>
          <w:p w14:paraId="197B5DF8"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(0.142)</w:t>
            </w:r>
          </w:p>
        </w:tc>
        <w:tc>
          <w:tcPr>
            <w:tcW w:w="1057" w:type="dxa"/>
            <w:tcBorders>
              <w:top w:val="nil"/>
              <w:left w:val="nil"/>
              <w:bottom w:val="nil"/>
              <w:right w:val="nil"/>
            </w:tcBorders>
            <w:shd w:val="clear" w:color="auto" w:fill="auto"/>
            <w:noWrap/>
            <w:vAlign w:val="bottom"/>
            <w:hideMark/>
          </w:tcPr>
          <w:p w14:paraId="2CD0B867"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(0.145)</w:t>
            </w:r>
          </w:p>
        </w:tc>
        <w:tc>
          <w:tcPr>
            <w:tcW w:w="1057" w:type="dxa"/>
            <w:tcBorders>
              <w:top w:val="nil"/>
              <w:left w:val="nil"/>
              <w:bottom w:val="nil"/>
              <w:right w:val="nil"/>
            </w:tcBorders>
            <w:shd w:val="clear" w:color="auto" w:fill="auto"/>
            <w:noWrap/>
            <w:vAlign w:val="bottom"/>
            <w:hideMark/>
          </w:tcPr>
          <w:p w14:paraId="5E3F21E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(0.145)</w:t>
            </w:r>
          </w:p>
        </w:tc>
        <w:tc>
          <w:tcPr>
            <w:tcW w:w="1059" w:type="dxa"/>
            <w:tcBorders>
              <w:top w:val="nil"/>
              <w:left w:val="nil"/>
              <w:bottom w:val="nil"/>
              <w:right w:val="nil"/>
            </w:tcBorders>
            <w:shd w:val="clear" w:color="auto" w:fill="auto"/>
            <w:noWrap/>
            <w:vAlign w:val="bottom"/>
            <w:hideMark/>
          </w:tcPr>
          <w:p w14:paraId="3705917C"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(0.146)</w:t>
            </w:r>
          </w:p>
        </w:tc>
        <w:tc>
          <w:tcPr>
            <w:tcW w:w="1059" w:type="dxa"/>
            <w:tcBorders>
              <w:top w:val="nil"/>
              <w:left w:val="nil"/>
              <w:bottom w:val="nil"/>
              <w:right w:val="nil"/>
            </w:tcBorders>
            <w:shd w:val="clear" w:color="auto" w:fill="auto"/>
            <w:noWrap/>
            <w:vAlign w:val="bottom"/>
            <w:hideMark/>
          </w:tcPr>
          <w:p w14:paraId="6BAB1CB5"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(0.151)</w:t>
            </w:r>
          </w:p>
        </w:tc>
        <w:tc>
          <w:tcPr>
            <w:tcW w:w="1014" w:type="dxa"/>
            <w:tcBorders>
              <w:top w:val="nil"/>
              <w:left w:val="nil"/>
              <w:bottom w:val="nil"/>
              <w:right w:val="nil"/>
            </w:tcBorders>
            <w:shd w:val="clear" w:color="auto" w:fill="auto"/>
            <w:noWrap/>
            <w:vAlign w:val="bottom"/>
            <w:hideMark/>
          </w:tcPr>
          <w:p w14:paraId="1E7943B7"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(0.150)</w:t>
            </w:r>
          </w:p>
        </w:tc>
        <w:tc>
          <w:tcPr>
            <w:tcW w:w="1139" w:type="dxa"/>
            <w:tcBorders>
              <w:top w:val="nil"/>
              <w:left w:val="nil"/>
              <w:bottom w:val="nil"/>
              <w:right w:val="nil"/>
            </w:tcBorders>
            <w:shd w:val="clear" w:color="auto" w:fill="auto"/>
            <w:noWrap/>
            <w:vAlign w:val="bottom"/>
            <w:hideMark/>
          </w:tcPr>
          <w:p w14:paraId="2D2795FA"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(0.522)</w:t>
            </w:r>
          </w:p>
        </w:tc>
      </w:tr>
      <w:tr w:rsidR="00585C26" w:rsidRPr="00986F85" w14:paraId="013F94DF" w14:textId="77777777" w:rsidTr="00585C26">
        <w:trPr>
          <w:trHeight w:val="240"/>
        </w:trPr>
        <w:tc>
          <w:tcPr>
            <w:tcW w:w="3441" w:type="dxa"/>
            <w:tcBorders>
              <w:top w:val="nil"/>
              <w:left w:val="nil"/>
              <w:bottom w:val="nil"/>
              <w:right w:val="nil"/>
            </w:tcBorders>
            <w:shd w:val="clear" w:color="auto" w:fill="auto"/>
            <w:noWrap/>
            <w:vAlign w:val="bottom"/>
            <w:hideMark/>
          </w:tcPr>
          <w:p w14:paraId="4C4E12F9"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Szálláshely-szolgáltatás, vendéglátás</w:t>
            </w:r>
          </w:p>
        </w:tc>
        <w:tc>
          <w:tcPr>
            <w:tcW w:w="994" w:type="dxa"/>
            <w:tcBorders>
              <w:top w:val="nil"/>
              <w:left w:val="nil"/>
              <w:bottom w:val="nil"/>
              <w:right w:val="nil"/>
            </w:tcBorders>
            <w:shd w:val="clear" w:color="auto" w:fill="auto"/>
            <w:noWrap/>
            <w:vAlign w:val="bottom"/>
            <w:hideMark/>
          </w:tcPr>
          <w:p w14:paraId="6A3AAA54"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0.00374</w:t>
            </w:r>
          </w:p>
        </w:tc>
        <w:tc>
          <w:tcPr>
            <w:tcW w:w="1057" w:type="dxa"/>
            <w:tcBorders>
              <w:top w:val="nil"/>
              <w:left w:val="nil"/>
              <w:bottom w:val="nil"/>
              <w:right w:val="nil"/>
            </w:tcBorders>
            <w:shd w:val="clear" w:color="auto" w:fill="auto"/>
            <w:noWrap/>
            <w:vAlign w:val="bottom"/>
            <w:hideMark/>
          </w:tcPr>
          <w:p w14:paraId="67A54A7B"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0.169</w:t>
            </w:r>
          </w:p>
        </w:tc>
        <w:tc>
          <w:tcPr>
            <w:tcW w:w="1057" w:type="dxa"/>
            <w:tcBorders>
              <w:top w:val="nil"/>
              <w:left w:val="nil"/>
              <w:bottom w:val="nil"/>
              <w:right w:val="nil"/>
            </w:tcBorders>
            <w:shd w:val="clear" w:color="auto" w:fill="auto"/>
            <w:noWrap/>
            <w:vAlign w:val="bottom"/>
            <w:hideMark/>
          </w:tcPr>
          <w:p w14:paraId="4B273516"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0.175</w:t>
            </w:r>
          </w:p>
        </w:tc>
        <w:tc>
          <w:tcPr>
            <w:tcW w:w="1059" w:type="dxa"/>
            <w:tcBorders>
              <w:top w:val="nil"/>
              <w:left w:val="nil"/>
              <w:bottom w:val="nil"/>
              <w:right w:val="nil"/>
            </w:tcBorders>
            <w:shd w:val="clear" w:color="auto" w:fill="auto"/>
            <w:noWrap/>
            <w:vAlign w:val="bottom"/>
            <w:hideMark/>
          </w:tcPr>
          <w:p w14:paraId="3A2C761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0.187</w:t>
            </w:r>
          </w:p>
        </w:tc>
        <w:tc>
          <w:tcPr>
            <w:tcW w:w="1059" w:type="dxa"/>
            <w:tcBorders>
              <w:top w:val="nil"/>
              <w:left w:val="nil"/>
              <w:bottom w:val="nil"/>
              <w:right w:val="nil"/>
            </w:tcBorders>
            <w:shd w:val="clear" w:color="auto" w:fill="auto"/>
            <w:noWrap/>
            <w:vAlign w:val="bottom"/>
            <w:hideMark/>
          </w:tcPr>
          <w:p w14:paraId="56BC30AB"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0.305**</w:t>
            </w:r>
          </w:p>
        </w:tc>
        <w:tc>
          <w:tcPr>
            <w:tcW w:w="1014" w:type="dxa"/>
            <w:tcBorders>
              <w:top w:val="nil"/>
              <w:left w:val="nil"/>
              <w:bottom w:val="nil"/>
              <w:right w:val="nil"/>
            </w:tcBorders>
            <w:shd w:val="clear" w:color="auto" w:fill="auto"/>
            <w:noWrap/>
            <w:vAlign w:val="bottom"/>
            <w:hideMark/>
          </w:tcPr>
          <w:p w14:paraId="0CA3ECD0"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0.285*</w:t>
            </w:r>
          </w:p>
        </w:tc>
        <w:tc>
          <w:tcPr>
            <w:tcW w:w="1139" w:type="dxa"/>
            <w:tcBorders>
              <w:top w:val="nil"/>
              <w:left w:val="nil"/>
              <w:bottom w:val="nil"/>
              <w:right w:val="nil"/>
            </w:tcBorders>
            <w:shd w:val="clear" w:color="auto" w:fill="auto"/>
            <w:noWrap/>
            <w:vAlign w:val="bottom"/>
            <w:hideMark/>
          </w:tcPr>
          <w:p w14:paraId="07C08F21"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0.456</w:t>
            </w:r>
          </w:p>
        </w:tc>
      </w:tr>
      <w:tr w:rsidR="00585C26" w:rsidRPr="00986F85" w14:paraId="41B5C01B" w14:textId="77777777" w:rsidTr="00585C26">
        <w:trPr>
          <w:trHeight w:val="240"/>
        </w:trPr>
        <w:tc>
          <w:tcPr>
            <w:tcW w:w="3441" w:type="dxa"/>
            <w:tcBorders>
              <w:top w:val="nil"/>
              <w:left w:val="nil"/>
              <w:bottom w:val="nil"/>
              <w:right w:val="nil"/>
            </w:tcBorders>
            <w:shd w:val="clear" w:color="auto" w:fill="auto"/>
            <w:noWrap/>
            <w:vAlign w:val="bottom"/>
            <w:hideMark/>
          </w:tcPr>
          <w:p w14:paraId="7F3EE51B" w14:textId="77777777" w:rsidR="00585C26" w:rsidRPr="00986F85" w:rsidRDefault="00585C26" w:rsidP="00585C26">
            <w:pPr>
              <w:suppressAutoHyphens w:val="0"/>
              <w:spacing w:after="0" w:line="240" w:lineRule="auto"/>
              <w:rPr>
                <w:rFonts w:eastAsia="Times New Roman" w:cs="Arial"/>
                <w:sz w:val="20"/>
                <w:szCs w:val="20"/>
                <w:lang w:val="en-US" w:eastAsia="en-US"/>
              </w:rPr>
            </w:pPr>
          </w:p>
        </w:tc>
        <w:tc>
          <w:tcPr>
            <w:tcW w:w="994" w:type="dxa"/>
            <w:tcBorders>
              <w:top w:val="nil"/>
              <w:left w:val="nil"/>
              <w:bottom w:val="nil"/>
              <w:right w:val="nil"/>
            </w:tcBorders>
            <w:shd w:val="clear" w:color="auto" w:fill="auto"/>
            <w:noWrap/>
            <w:vAlign w:val="bottom"/>
            <w:hideMark/>
          </w:tcPr>
          <w:p w14:paraId="2AE8428F"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(0.144)</w:t>
            </w:r>
          </w:p>
        </w:tc>
        <w:tc>
          <w:tcPr>
            <w:tcW w:w="1057" w:type="dxa"/>
            <w:tcBorders>
              <w:top w:val="nil"/>
              <w:left w:val="nil"/>
              <w:bottom w:val="nil"/>
              <w:right w:val="nil"/>
            </w:tcBorders>
            <w:shd w:val="clear" w:color="auto" w:fill="auto"/>
            <w:noWrap/>
            <w:vAlign w:val="bottom"/>
            <w:hideMark/>
          </w:tcPr>
          <w:p w14:paraId="2B4E2FCF"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(0.146)</w:t>
            </w:r>
          </w:p>
        </w:tc>
        <w:tc>
          <w:tcPr>
            <w:tcW w:w="1057" w:type="dxa"/>
            <w:tcBorders>
              <w:top w:val="nil"/>
              <w:left w:val="nil"/>
              <w:bottom w:val="nil"/>
              <w:right w:val="nil"/>
            </w:tcBorders>
            <w:shd w:val="clear" w:color="auto" w:fill="auto"/>
            <w:noWrap/>
            <w:vAlign w:val="bottom"/>
            <w:hideMark/>
          </w:tcPr>
          <w:p w14:paraId="718CD317"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(0.146)</w:t>
            </w:r>
          </w:p>
        </w:tc>
        <w:tc>
          <w:tcPr>
            <w:tcW w:w="1059" w:type="dxa"/>
            <w:tcBorders>
              <w:top w:val="nil"/>
              <w:left w:val="nil"/>
              <w:bottom w:val="nil"/>
              <w:right w:val="nil"/>
            </w:tcBorders>
            <w:shd w:val="clear" w:color="auto" w:fill="auto"/>
            <w:noWrap/>
            <w:vAlign w:val="bottom"/>
            <w:hideMark/>
          </w:tcPr>
          <w:p w14:paraId="428B10B7"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(0.147)</w:t>
            </w:r>
          </w:p>
        </w:tc>
        <w:tc>
          <w:tcPr>
            <w:tcW w:w="1059" w:type="dxa"/>
            <w:tcBorders>
              <w:top w:val="nil"/>
              <w:left w:val="nil"/>
              <w:bottom w:val="nil"/>
              <w:right w:val="nil"/>
            </w:tcBorders>
            <w:shd w:val="clear" w:color="auto" w:fill="auto"/>
            <w:noWrap/>
            <w:vAlign w:val="bottom"/>
            <w:hideMark/>
          </w:tcPr>
          <w:p w14:paraId="6C0D23F4"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(0.152)</w:t>
            </w:r>
          </w:p>
        </w:tc>
        <w:tc>
          <w:tcPr>
            <w:tcW w:w="1014" w:type="dxa"/>
            <w:tcBorders>
              <w:top w:val="nil"/>
              <w:left w:val="nil"/>
              <w:bottom w:val="nil"/>
              <w:right w:val="nil"/>
            </w:tcBorders>
            <w:shd w:val="clear" w:color="auto" w:fill="auto"/>
            <w:noWrap/>
            <w:vAlign w:val="bottom"/>
            <w:hideMark/>
          </w:tcPr>
          <w:p w14:paraId="4F2941EC"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(0.152)</w:t>
            </w:r>
          </w:p>
        </w:tc>
        <w:tc>
          <w:tcPr>
            <w:tcW w:w="1139" w:type="dxa"/>
            <w:tcBorders>
              <w:top w:val="nil"/>
              <w:left w:val="nil"/>
              <w:bottom w:val="nil"/>
              <w:right w:val="nil"/>
            </w:tcBorders>
            <w:shd w:val="clear" w:color="auto" w:fill="auto"/>
            <w:noWrap/>
            <w:vAlign w:val="bottom"/>
            <w:hideMark/>
          </w:tcPr>
          <w:p w14:paraId="7CD2E55B"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(0.635)</w:t>
            </w:r>
          </w:p>
        </w:tc>
      </w:tr>
      <w:tr w:rsidR="00585C26" w:rsidRPr="00986F85" w14:paraId="3DFC14B9" w14:textId="77777777" w:rsidTr="00585C26">
        <w:trPr>
          <w:trHeight w:val="240"/>
        </w:trPr>
        <w:tc>
          <w:tcPr>
            <w:tcW w:w="3441" w:type="dxa"/>
            <w:tcBorders>
              <w:top w:val="nil"/>
              <w:left w:val="nil"/>
              <w:bottom w:val="nil"/>
              <w:right w:val="nil"/>
            </w:tcBorders>
            <w:shd w:val="clear" w:color="auto" w:fill="auto"/>
            <w:noWrap/>
            <w:vAlign w:val="bottom"/>
            <w:hideMark/>
          </w:tcPr>
          <w:p w14:paraId="7497A2F3"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Szállítás, raktározás</w:t>
            </w:r>
          </w:p>
        </w:tc>
        <w:tc>
          <w:tcPr>
            <w:tcW w:w="994" w:type="dxa"/>
            <w:tcBorders>
              <w:top w:val="nil"/>
              <w:left w:val="nil"/>
              <w:bottom w:val="nil"/>
              <w:right w:val="nil"/>
            </w:tcBorders>
            <w:shd w:val="clear" w:color="auto" w:fill="auto"/>
            <w:noWrap/>
            <w:vAlign w:val="bottom"/>
            <w:hideMark/>
          </w:tcPr>
          <w:p w14:paraId="785327A1"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0.161</w:t>
            </w:r>
          </w:p>
        </w:tc>
        <w:tc>
          <w:tcPr>
            <w:tcW w:w="1057" w:type="dxa"/>
            <w:tcBorders>
              <w:top w:val="nil"/>
              <w:left w:val="nil"/>
              <w:bottom w:val="nil"/>
              <w:right w:val="nil"/>
            </w:tcBorders>
            <w:shd w:val="clear" w:color="auto" w:fill="auto"/>
            <w:noWrap/>
            <w:vAlign w:val="bottom"/>
            <w:hideMark/>
          </w:tcPr>
          <w:p w14:paraId="2924464C"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0.276*</w:t>
            </w:r>
          </w:p>
        </w:tc>
        <w:tc>
          <w:tcPr>
            <w:tcW w:w="1057" w:type="dxa"/>
            <w:tcBorders>
              <w:top w:val="nil"/>
              <w:left w:val="nil"/>
              <w:bottom w:val="nil"/>
              <w:right w:val="nil"/>
            </w:tcBorders>
            <w:shd w:val="clear" w:color="auto" w:fill="auto"/>
            <w:noWrap/>
            <w:vAlign w:val="bottom"/>
            <w:hideMark/>
          </w:tcPr>
          <w:p w14:paraId="6FA9A05B"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0.280*</w:t>
            </w:r>
          </w:p>
        </w:tc>
        <w:tc>
          <w:tcPr>
            <w:tcW w:w="1059" w:type="dxa"/>
            <w:tcBorders>
              <w:top w:val="nil"/>
              <w:left w:val="nil"/>
              <w:bottom w:val="nil"/>
              <w:right w:val="nil"/>
            </w:tcBorders>
            <w:shd w:val="clear" w:color="auto" w:fill="auto"/>
            <w:noWrap/>
            <w:vAlign w:val="bottom"/>
            <w:hideMark/>
          </w:tcPr>
          <w:p w14:paraId="5979BF97"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0.297**</w:t>
            </w:r>
          </w:p>
        </w:tc>
        <w:tc>
          <w:tcPr>
            <w:tcW w:w="1059" w:type="dxa"/>
            <w:tcBorders>
              <w:top w:val="nil"/>
              <w:left w:val="nil"/>
              <w:bottom w:val="nil"/>
              <w:right w:val="nil"/>
            </w:tcBorders>
            <w:shd w:val="clear" w:color="auto" w:fill="auto"/>
            <w:noWrap/>
            <w:vAlign w:val="bottom"/>
            <w:hideMark/>
          </w:tcPr>
          <w:p w14:paraId="2EB7D980"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0.104</w:t>
            </w:r>
          </w:p>
        </w:tc>
        <w:tc>
          <w:tcPr>
            <w:tcW w:w="1014" w:type="dxa"/>
            <w:tcBorders>
              <w:top w:val="nil"/>
              <w:left w:val="nil"/>
              <w:bottom w:val="nil"/>
              <w:right w:val="nil"/>
            </w:tcBorders>
            <w:shd w:val="clear" w:color="auto" w:fill="auto"/>
            <w:noWrap/>
            <w:vAlign w:val="bottom"/>
            <w:hideMark/>
          </w:tcPr>
          <w:p w14:paraId="5E1FCE94"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0.115</w:t>
            </w:r>
          </w:p>
        </w:tc>
        <w:tc>
          <w:tcPr>
            <w:tcW w:w="1139" w:type="dxa"/>
            <w:tcBorders>
              <w:top w:val="nil"/>
              <w:left w:val="nil"/>
              <w:bottom w:val="nil"/>
              <w:right w:val="nil"/>
            </w:tcBorders>
            <w:shd w:val="clear" w:color="auto" w:fill="auto"/>
            <w:noWrap/>
            <w:vAlign w:val="bottom"/>
            <w:hideMark/>
          </w:tcPr>
          <w:p w14:paraId="0544DDC2"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0.0701</w:t>
            </w:r>
          </w:p>
        </w:tc>
      </w:tr>
      <w:tr w:rsidR="00585C26" w:rsidRPr="00986F85" w14:paraId="13AB026D" w14:textId="77777777" w:rsidTr="00585C26">
        <w:trPr>
          <w:trHeight w:val="240"/>
        </w:trPr>
        <w:tc>
          <w:tcPr>
            <w:tcW w:w="3441" w:type="dxa"/>
            <w:tcBorders>
              <w:top w:val="nil"/>
              <w:left w:val="nil"/>
              <w:bottom w:val="nil"/>
              <w:right w:val="nil"/>
            </w:tcBorders>
            <w:shd w:val="clear" w:color="auto" w:fill="auto"/>
            <w:noWrap/>
            <w:vAlign w:val="bottom"/>
            <w:hideMark/>
          </w:tcPr>
          <w:p w14:paraId="0AB3CE5C" w14:textId="77777777" w:rsidR="00585C26" w:rsidRPr="00986F85" w:rsidRDefault="00585C26" w:rsidP="00585C26">
            <w:pPr>
              <w:suppressAutoHyphens w:val="0"/>
              <w:spacing w:after="0" w:line="240" w:lineRule="auto"/>
              <w:rPr>
                <w:rFonts w:eastAsia="Times New Roman" w:cs="Arial"/>
                <w:sz w:val="20"/>
                <w:szCs w:val="20"/>
                <w:lang w:val="en-US" w:eastAsia="en-US"/>
              </w:rPr>
            </w:pPr>
          </w:p>
        </w:tc>
        <w:tc>
          <w:tcPr>
            <w:tcW w:w="994" w:type="dxa"/>
            <w:tcBorders>
              <w:top w:val="nil"/>
              <w:left w:val="nil"/>
              <w:bottom w:val="nil"/>
              <w:right w:val="nil"/>
            </w:tcBorders>
            <w:shd w:val="clear" w:color="auto" w:fill="auto"/>
            <w:noWrap/>
            <w:vAlign w:val="bottom"/>
            <w:hideMark/>
          </w:tcPr>
          <w:p w14:paraId="2F004809"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(0.144)</w:t>
            </w:r>
          </w:p>
        </w:tc>
        <w:tc>
          <w:tcPr>
            <w:tcW w:w="1057" w:type="dxa"/>
            <w:tcBorders>
              <w:top w:val="nil"/>
              <w:left w:val="nil"/>
              <w:bottom w:val="nil"/>
              <w:right w:val="nil"/>
            </w:tcBorders>
            <w:shd w:val="clear" w:color="auto" w:fill="auto"/>
            <w:noWrap/>
            <w:vAlign w:val="bottom"/>
            <w:hideMark/>
          </w:tcPr>
          <w:p w14:paraId="38D845FB"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(0.146)</w:t>
            </w:r>
          </w:p>
        </w:tc>
        <w:tc>
          <w:tcPr>
            <w:tcW w:w="1057" w:type="dxa"/>
            <w:tcBorders>
              <w:top w:val="nil"/>
              <w:left w:val="nil"/>
              <w:bottom w:val="nil"/>
              <w:right w:val="nil"/>
            </w:tcBorders>
            <w:shd w:val="clear" w:color="auto" w:fill="auto"/>
            <w:noWrap/>
            <w:vAlign w:val="bottom"/>
            <w:hideMark/>
          </w:tcPr>
          <w:p w14:paraId="5C017750"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(0.146)</w:t>
            </w:r>
          </w:p>
        </w:tc>
        <w:tc>
          <w:tcPr>
            <w:tcW w:w="1059" w:type="dxa"/>
            <w:tcBorders>
              <w:top w:val="nil"/>
              <w:left w:val="nil"/>
              <w:bottom w:val="nil"/>
              <w:right w:val="nil"/>
            </w:tcBorders>
            <w:shd w:val="clear" w:color="auto" w:fill="auto"/>
            <w:noWrap/>
            <w:vAlign w:val="bottom"/>
            <w:hideMark/>
          </w:tcPr>
          <w:p w14:paraId="3F4B1CB1"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(0.147)</w:t>
            </w:r>
          </w:p>
        </w:tc>
        <w:tc>
          <w:tcPr>
            <w:tcW w:w="1059" w:type="dxa"/>
            <w:tcBorders>
              <w:top w:val="nil"/>
              <w:left w:val="nil"/>
              <w:bottom w:val="nil"/>
              <w:right w:val="nil"/>
            </w:tcBorders>
            <w:shd w:val="clear" w:color="auto" w:fill="auto"/>
            <w:noWrap/>
            <w:vAlign w:val="bottom"/>
            <w:hideMark/>
          </w:tcPr>
          <w:p w14:paraId="3F9889F8"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(0.152)</w:t>
            </w:r>
          </w:p>
        </w:tc>
        <w:tc>
          <w:tcPr>
            <w:tcW w:w="1014" w:type="dxa"/>
            <w:tcBorders>
              <w:top w:val="nil"/>
              <w:left w:val="nil"/>
              <w:bottom w:val="nil"/>
              <w:right w:val="nil"/>
            </w:tcBorders>
            <w:shd w:val="clear" w:color="auto" w:fill="auto"/>
            <w:noWrap/>
            <w:vAlign w:val="bottom"/>
            <w:hideMark/>
          </w:tcPr>
          <w:p w14:paraId="59F1B680"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(0.151)</w:t>
            </w:r>
          </w:p>
        </w:tc>
        <w:tc>
          <w:tcPr>
            <w:tcW w:w="1139" w:type="dxa"/>
            <w:tcBorders>
              <w:top w:val="nil"/>
              <w:left w:val="nil"/>
              <w:bottom w:val="nil"/>
              <w:right w:val="nil"/>
            </w:tcBorders>
            <w:shd w:val="clear" w:color="auto" w:fill="auto"/>
            <w:noWrap/>
            <w:vAlign w:val="bottom"/>
            <w:hideMark/>
          </w:tcPr>
          <w:p w14:paraId="28F32A50"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(0.517)</w:t>
            </w:r>
          </w:p>
        </w:tc>
      </w:tr>
      <w:tr w:rsidR="00585C26" w:rsidRPr="00986F85" w14:paraId="7CEB1123" w14:textId="77777777" w:rsidTr="00585C26">
        <w:trPr>
          <w:trHeight w:val="240"/>
        </w:trPr>
        <w:tc>
          <w:tcPr>
            <w:tcW w:w="3441" w:type="dxa"/>
            <w:tcBorders>
              <w:top w:val="nil"/>
              <w:left w:val="nil"/>
              <w:bottom w:val="nil"/>
              <w:right w:val="nil"/>
            </w:tcBorders>
            <w:shd w:val="clear" w:color="auto" w:fill="auto"/>
            <w:noWrap/>
            <w:vAlign w:val="bottom"/>
            <w:hideMark/>
          </w:tcPr>
          <w:p w14:paraId="2288CE64"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Villamosenergia-, gázellátás</w:t>
            </w:r>
          </w:p>
        </w:tc>
        <w:tc>
          <w:tcPr>
            <w:tcW w:w="994" w:type="dxa"/>
            <w:tcBorders>
              <w:top w:val="nil"/>
              <w:left w:val="nil"/>
              <w:bottom w:val="nil"/>
              <w:right w:val="nil"/>
            </w:tcBorders>
            <w:shd w:val="clear" w:color="auto" w:fill="auto"/>
            <w:noWrap/>
            <w:vAlign w:val="bottom"/>
            <w:hideMark/>
          </w:tcPr>
          <w:p w14:paraId="75628E0B"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-0.0197</w:t>
            </w:r>
          </w:p>
        </w:tc>
        <w:tc>
          <w:tcPr>
            <w:tcW w:w="1057" w:type="dxa"/>
            <w:tcBorders>
              <w:top w:val="nil"/>
              <w:left w:val="nil"/>
              <w:bottom w:val="nil"/>
              <w:right w:val="nil"/>
            </w:tcBorders>
            <w:shd w:val="clear" w:color="auto" w:fill="auto"/>
            <w:noWrap/>
            <w:vAlign w:val="bottom"/>
            <w:hideMark/>
          </w:tcPr>
          <w:p w14:paraId="60F03348"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0.124</w:t>
            </w:r>
          </w:p>
        </w:tc>
        <w:tc>
          <w:tcPr>
            <w:tcW w:w="1057" w:type="dxa"/>
            <w:tcBorders>
              <w:top w:val="nil"/>
              <w:left w:val="nil"/>
              <w:bottom w:val="nil"/>
              <w:right w:val="nil"/>
            </w:tcBorders>
            <w:shd w:val="clear" w:color="auto" w:fill="auto"/>
            <w:noWrap/>
            <w:vAlign w:val="bottom"/>
            <w:hideMark/>
          </w:tcPr>
          <w:p w14:paraId="79EC3196"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0.132</w:t>
            </w:r>
          </w:p>
        </w:tc>
        <w:tc>
          <w:tcPr>
            <w:tcW w:w="1059" w:type="dxa"/>
            <w:tcBorders>
              <w:top w:val="nil"/>
              <w:left w:val="nil"/>
              <w:bottom w:val="nil"/>
              <w:right w:val="nil"/>
            </w:tcBorders>
            <w:shd w:val="clear" w:color="auto" w:fill="auto"/>
            <w:noWrap/>
            <w:vAlign w:val="bottom"/>
            <w:hideMark/>
          </w:tcPr>
          <w:p w14:paraId="75373EED"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0.135</w:t>
            </w:r>
          </w:p>
        </w:tc>
        <w:tc>
          <w:tcPr>
            <w:tcW w:w="1059" w:type="dxa"/>
            <w:tcBorders>
              <w:top w:val="nil"/>
              <w:left w:val="nil"/>
              <w:bottom w:val="nil"/>
              <w:right w:val="nil"/>
            </w:tcBorders>
            <w:shd w:val="clear" w:color="auto" w:fill="auto"/>
            <w:noWrap/>
            <w:vAlign w:val="bottom"/>
            <w:hideMark/>
          </w:tcPr>
          <w:p w14:paraId="6375F89D"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-0.279</w:t>
            </w:r>
          </w:p>
        </w:tc>
        <w:tc>
          <w:tcPr>
            <w:tcW w:w="1014" w:type="dxa"/>
            <w:tcBorders>
              <w:top w:val="nil"/>
              <w:left w:val="nil"/>
              <w:bottom w:val="nil"/>
              <w:right w:val="nil"/>
            </w:tcBorders>
            <w:shd w:val="clear" w:color="auto" w:fill="auto"/>
            <w:noWrap/>
            <w:vAlign w:val="bottom"/>
            <w:hideMark/>
          </w:tcPr>
          <w:p w14:paraId="3FCF9C3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-0.484</w:t>
            </w:r>
          </w:p>
        </w:tc>
        <w:tc>
          <w:tcPr>
            <w:tcW w:w="1139" w:type="dxa"/>
            <w:tcBorders>
              <w:top w:val="nil"/>
              <w:left w:val="nil"/>
              <w:bottom w:val="nil"/>
              <w:right w:val="nil"/>
            </w:tcBorders>
            <w:shd w:val="clear" w:color="auto" w:fill="auto"/>
            <w:noWrap/>
            <w:vAlign w:val="bottom"/>
            <w:hideMark/>
          </w:tcPr>
          <w:p w14:paraId="1AA9BE02"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r>
      <w:tr w:rsidR="00585C26" w:rsidRPr="00986F85" w14:paraId="3BF25F4A" w14:textId="77777777" w:rsidTr="00585C26">
        <w:trPr>
          <w:trHeight w:val="240"/>
        </w:trPr>
        <w:tc>
          <w:tcPr>
            <w:tcW w:w="3441" w:type="dxa"/>
            <w:tcBorders>
              <w:top w:val="nil"/>
              <w:left w:val="nil"/>
              <w:bottom w:val="nil"/>
              <w:right w:val="nil"/>
            </w:tcBorders>
            <w:shd w:val="clear" w:color="auto" w:fill="auto"/>
            <w:noWrap/>
            <w:vAlign w:val="bottom"/>
            <w:hideMark/>
          </w:tcPr>
          <w:p w14:paraId="60FD77AE" w14:textId="77777777" w:rsidR="00585C26" w:rsidRPr="00986F85" w:rsidRDefault="00585C26" w:rsidP="00585C26">
            <w:pPr>
              <w:suppressAutoHyphens w:val="0"/>
              <w:spacing w:after="0" w:line="240" w:lineRule="auto"/>
              <w:rPr>
                <w:rFonts w:eastAsia="Times New Roman" w:cs="Arial"/>
                <w:sz w:val="20"/>
                <w:szCs w:val="20"/>
                <w:lang w:val="en-US" w:eastAsia="en-US"/>
              </w:rPr>
            </w:pPr>
          </w:p>
        </w:tc>
        <w:tc>
          <w:tcPr>
            <w:tcW w:w="994" w:type="dxa"/>
            <w:tcBorders>
              <w:top w:val="nil"/>
              <w:left w:val="nil"/>
              <w:bottom w:val="nil"/>
              <w:right w:val="nil"/>
            </w:tcBorders>
            <w:shd w:val="clear" w:color="auto" w:fill="auto"/>
            <w:noWrap/>
            <w:vAlign w:val="bottom"/>
            <w:hideMark/>
          </w:tcPr>
          <w:p w14:paraId="76E533BC"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(0.347)</w:t>
            </w:r>
          </w:p>
        </w:tc>
        <w:tc>
          <w:tcPr>
            <w:tcW w:w="1057" w:type="dxa"/>
            <w:tcBorders>
              <w:top w:val="nil"/>
              <w:left w:val="nil"/>
              <w:bottom w:val="nil"/>
              <w:right w:val="nil"/>
            </w:tcBorders>
            <w:shd w:val="clear" w:color="auto" w:fill="auto"/>
            <w:noWrap/>
            <w:vAlign w:val="bottom"/>
            <w:hideMark/>
          </w:tcPr>
          <w:p w14:paraId="51FEB838"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(0.355)</w:t>
            </w:r>
          </w:p>
        </w:tc>
        <w:tc>
          <w:tcPr>
            <w:tcW w:w="1057" w:type="dxa"/>
            <w:tcBorders>
              <w:top w:val="nil"/>
              <w:left w:val="nil"/>
              <w:bottom w:val="nil"/>
              <w:right w:val="nil"/>
            </w:tcBorders>
            <w:shd w:val="clear" w:color="auto" w:fill="auto"/>
            <w:noWrap/>
            <w:vAlign w:val="bottom"/>
            <w:hideMark/>
          </w:tcPr>
          <w:p w14:paraId="33EE1F2D"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(0.354)</w:t>
            </w:r>
          </w:p>
        </w:tc>
        <w:tc>
          <w:tcPr>
            <w:tcW w:w="1059" w:type="dxa"/>
            <w:tcBorders>
              <w:top w:val="nil"/>
              <w:left w:val="nil"/>
              <w:bottom w:val="nil"/>
              <w:right w:val="nil"/>
            </w:tcBorders>
            <w:shd w:val="clear" w:color="auto" w:fill="auto"/>
            <w:noWrap/>
            <w:vAlign w:val="bottom"/>
            <w:hideMark/>
          </w:tcPr>
          <w:p w14:paraId="512ECB3A"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(0.355)</w:t>
            </w:r>
          </w:p>
        </w:tc>
        <w:tc>
          <w:tcPr>
            <w:tcW w:w="1059" w:type="dxa"/>
            <w:tcBorders>
              <w:top w:val="nil"/>
              <w:left w:val="nil"/>
              <w:bottom w:val="nil"/>
              <w:right w:val="nil"/>
            </w:tcBorders>
            <w:shd w:val="clear" w:color="auto" w:fill="auto"/>
            <w:noWrap/>
            <w:vAlign w:val="bottom"/>
            <w:hideMark/>
          </w:tcPr>
          <w:p w14:paraId="0B374DA9"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(0.364)</w:t>
            </w:r>
          </w:p>
        </w:tc>
        <w:tc>
          <w:tcPr>
            <w:tcW w:w="1014" w:type="dxa"/>
            <w:tcBorders>
              <w:top w:val="nil"/>
              <w:left w:val="nil"/>
              <w:bottom w:val="nil"/>
              <w:right w:val="nil"/>
            </w:tcBorders>
            <w:shd w:val="clear" w:color="auto" w:fill="auto"/>
            <w:noWrap/>
            <w:vAlign w:val="bottom"/>
            <w:hideMark/>
          </w:tcPr>
          <w:p w14:paraId="63AAFAD9"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(0.357)</w:t>
            </w:r>
          </w:p>
        </w:tc>
        <w:tc>
          <w:tcPr>
            <w:tcW w:w="1139" w:type="dxa"/>
            <w:tcBorders>
              <w:top w:val="nil"/>
              <w:left w:val="nil"/>
              <w:bottom w:val="nil"/>
              <w:right w:val="nil"/>
            </w:tcBorders>
            <w:shd w:val="clear" w:color="auto" w:fill="auto"/>
            <w:noWrap/>
            <w:vAlign w:val="bottom"/>
            <w:hideMark/>
          </w:tcPr>
          <w:p w14:paraId="31664859"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r>
      <w:tr w:rsidR="00585C26" w:rsidRPr="00986F85" w14:paraId="5D454332" w14:textId="77777777" w:rsidTr="00585C26">
        <w:trPr>
          <w:trHeight w:val="240"/>
        </w:trPr>
        <w:tc>
          <w:tcPr>
            <w:tcW w:w="3441" w:type="dxa"/>
            <w:tcBorders>
              <w:top w:val="nil"/>
              <w:left w:val="nil"/>
              <w:bottom w:val="nil"/>
              <w:right w:val="nil"/>
            </w:tcBorders>
            <w:shd w:val="clear" w:color="auto" w:fill="auto"/>
            <w:noWrap/>
            <w:vAlign w:val="bottom"/>
            <w:hideMark/>
          </w:tcPr>
          <w:p w14:paraId="5C3E755E"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Közép-Magyarország</w:t>
            </w:r>
          </w:p>
        </w:tc>
        <w:tc>
          <w:tcPr>
            <w:tcW w:w="994" w:type="dxa"/>
            <w:tcBorders>
              <w:top w:val="nil"/>
              <w:left w:val="nil"/>
              <w:bottom w:val="nil"/>
              <w:right w:val="nil"/>
            </w:tcBorders>
            <w:shd w:val="clear" w:color="auto" w:fill="auto"/>
            <w:noWrap/>
            <w:vAlign w:val="bottom"/>
            <w:hideMark/>
          </w:tcPr>
          <w:p w14:paraId="63298F08"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-0.343***</w:t>
            </w:r>
          </w:p>
        </w:tc>
        <w:tc>
          <w:tcPr>
            <w:tcW w:w="1057" w:type="dxa"/>
            <w:tcBorders>
              <w:top w:val="nil"/>
              <w:left w:val="nil"/>
              <w:bottom w:val="nil"/>
              <w:right w:val="nil"/>
            </w:tcBorders>
            <w:shd w:val="clear" w:color="auto" w:fill="auto"/>
            <w:noWrap/>
            <w:vAlign w:val="bottom"/>
            <w:hideMark/>
          </w:tcPr>
          <w:p w14:paraId="4C6117B9"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-0.353***</w:t>
            </w:r>
          </w:p>
        </w:tc>
        <w:tc>
          <w:tcPr>
            <w:tcW w:w="1057" w:type="dxa"/>
            <w:tcBorders>
              <w:top w:val="nil"/>
              <w:left w:val="nil"/>
              <w:bottom w:val="nil"/>
              <w:right w:val="nil"/>
            </w:tcBorders>
            <w:shd w:val="clear" w:color="auto" w:fill="auto"/>
            <w:noWrap/>
            <w:vAlign w:val="bottom"/>
            <w:hideMark/>
          </w:tcPr>
          <w:p w14:paraId="43D7EAAD"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-0.355***</w:t>
            </w:r>
          </w:p>
        </w:tc>
        <w:tc>
          <w:tcPr>
            <w:tcW w:w="1059" w:type="dxa"/>
            <w:tcBorders>
              <w:top w:val="nil"/>
              <w:left w:val="nil"/>
              <w:bottom w:val="nil"/>
              <w:right w:val="nil"/>
            </w:tcBorders>
            <w:shd w:val="clear" w:color="auto" w:fill="auto"/>
            <w:noWrap/>
            <w:vAlign w:val="bottom"/>
            <w:hideMark/>
          </w:tcPr>
          <w:p w14:paraId="4D52B9DA"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-0.355***</w:t>
            </w:r>
          </w:p>
        </w:tc>
        <w:tc>
          <w:tcPr>
            <w:tcW w:w="1059" w:type="dxa"/>
            <w:tcBorders>
              <w:top w:val="nil"/>
              <w:left w:val="nil"/>
              <w:bottom w:val="nil"/>
              <w:right w:val="nil"/>
            </w:tcBorders>
            <w:shd w:val="clear" w:color="auto" w:fill="auto"/>
            <w:noWrap/>
            <w:vAlign w:val="bottom"/>
            <w:hideMark/>
          </w:tcPr>
          <w:p w14:paraId="79B0B336"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-0.381***</w:t>
            </w:r>
          </w:p>
        </w:tc>
        <w:tc>
          <w:tcPr>
            <w:tcW w:w="1014" w:type="dxa"/>
            <w:tcBorders>
              <w:top w:val="nil"/>
              <w:left w:val="nil"/>
              <w:bottom w:val="nil"/>
              <w:right w:val="nil"/>
            </w:tcBorders>
            <w:shd w:val="clear" w:color="auto" w:fill="auto"/>
            <w:noWrap/>
            <w:vAlign w:val="bottom"/>
            <w:hideMark/>
          </w:tcPr>
          <w:p w14:paraId="0AD828B7"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-0.386***</w:t>
            </w:r>
          </w:p>
        </w:tc>
        <w:tc>
          <w:tcPr>
            <w:tcW w:w="1139" w:type="dxa"/>
            <w:tcBorders>
              <w:top w:val="nil"/>
              <w:left w:val="nil"/>
              <w:bottom w:val="nil"/>
              <w:right w:val="nil"/>
            </w:tcBorders>
            <w:shd w:val="clear" w:color="auto" w:fill="auto"/>
            <w:noWrap/>
            <w:vAlign w:val="bottom"/>
            <w:hideMark/>
          </w:tcPr>
          <w:p w14:paraId="219E9EF8"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-0.348***</w:t>
            </w:r>
          </w:p>
        </w:tc>
      </w:tr>
      <w:tr w:rsidR="00585C26" w:rsidRPr="00986F85" w14:paraId="3FD654CA" w14:textId="77777777" w:rsidTr="00585C26">
        <w:trPr>
          <w:trHeight w:val="240"/>
        </w:trPr>
        <w:tc>
          <w:tcPr>
            <w:tcW w:w="3441" w:type="dxa"/>
            <w:tcBorders>
              <w:top w:val="nil"/>
              <w:left w:val="nil"/>
              <w:bottom w:val="nil"/>
              <w:right w:val="nil"/>
            </w:tcBorders>
            <w:shd w:val="clear" w:color="auto" w:fill="auto"/>
            <w:noWrap/>
            <w:vAlign w:val="bottom"/>
            <w:hideMark/>
          </w:tcPr>
          <w:p w14:paraId="452FAA5C" w14:textId="77777777" w:rsidR="00585C26" w:rsidRPr="00986F85" w:rsidRDefault="00585C26" w:rsidP="00585C26">
            <w:pPr>
              <w:suppressAutoHyphens w:val="0"/>
              <w:spacing w:after="0" w:line="240" w:lineRule="auto"/>
              <w:rPr>
                <w:rFonts w:eastAsia="Times New Roman" w:cs="Arial"/>
                <w:sz w:val="20"/>
                <w:szCs w:val="20"/>
                <w:lang w:val="en-US" w:eastAsia="en-US"/>
              </w:rPr>
            </w:pPr>
          </w:p>
        </w:tc>
        <w:tc>
          <w:tcPr>
            <w:tcW w:w="994" w:type="dxa"/>
            <w:tcBorders>
              <w:top w:val="nil"/>
              <w:left w:val="nil"/>
              <w:bottom w:val="nil"/>
              <w:right w:val="nil"/>
            </w:tcBorders>
            <w:shd w:val="clear" w:color="auto" w:fill="auto"/>
            <w:noWrap/>
            <w:vAlign w:val="bottom"/>
            <w:hideMark/>
          </w:tcPr>
          <w:p w14:paraId="50A7530D"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(0.0468)</w:t>
            </w:r>
          </w:p>
        </w:tc>
        <w:tc>
          <w:tcPr>
            <w:tcW w:w="1057" w:type="dxa"/>
            <w:tcBorders>
              <w:top w:val="nil"/>
              <w:left w:val="nil"/>
              <w:bottom w:val="nil"/>
              <w:right w:val="nil"/>
            </w:tcBorders>
            <w:shd w:val="clear" w:color="auto" w:fill="auto"/>
            <w:noWrap/>
            <w:vAlign w:val="bottom"/>
            <w:hideMark/>
          </w:tcPr>
          <w:p w14:paraId="3E2A0C70"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(0.0486)</w:t>
            </w:r>
          </w:p>
        </w:tc>
        <w:tc>
          <w:tcPr>
            <w:tcW w:w="1057" w:type="dxa"/>
            <w:tcBorders>
              <w:top w:val="nil"/>
              <w:left w:val="nil"/>
              <w:bottom w:val="nil"/>
              <w:right w:val="nil"/>
            </w:tcBorders>
            <w:shd w:val="clear" w:color="auto" w:fill="auto"/>
            <w:noWrap/>
            <w:vAlign w:val="bottom"/>
            <w:hideMark/>
          </w:tcPr>
          <w:p w14:paraId="6E2C020C"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(0.0487)</w:t>
            </w:r>
          </w:p>
        </w:tc>
        <w:tc>
          <w:tcPr>
            <w:tcW w:w="1059" w:type="dxa"/>
            <w:tcBorders>
              <w:top w:val="nil"/>
              <w:left w:val="nil"/>
              <w:bottom w:val="nil"/>
              <w:right w:val="nil"/>
            </w:tcBorders>
            <w:shd w:val="clear" w:color="auto" w:fill="auto"/>
            <w:noWrap/>
            <w:vAlign w:val="bottom"/>
            <w:hideMark/>
          </w:tcPr>
          <w:p w14:paraId="29576CA3"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(0.0487)</w:t>
            </w:r>
          </w:p>
        </w:tc>
        <w:tc>
          <w:tcPr>
            <w:tcW w:w="1059" w:type="dxa"/>
            <w:tcBorders>
              <w:top w:val="nil"/>
              <w:left w:val="nil"/>
              <w:bottom w:val="nil"/>
              <w:right w:val="nil"/>
            </w:tcBorders>
            <w:shd w:val="clear" w:color="auto" w:fill="auto"/>
            <w:noWrap/>
            <w:vAlign w:val="bottom"/>
            <w:hideMark/>
          </w:tcPr>
          <w:p w14:paraId="19EF80CF"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(0.0507)</w:t>
            </w:r>
          </w:p>
        </w:tc>
        <w:tc>
          <w:tcPr>
            <w:tcW w:w="1014" w:type="dxa"/>
            <w:tcBorders>
              <w:top w:val="nil"/>
              <w:left w:val="nil"/>
              <w:bottom w:val="nil"/>
              <w:right w:val="nil"/>
            </w:tcBorders>
            <w:shd w:val="clear" w:color="auto" w:fill="auto"/>
            <w:noWrap/>
            <w:vAlign w:val="bottom"/>
            <w:hideMark/>
          </w:tcPr>
          <w:p w14:paraId="142D45A4"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(0.0505)</w:t>
            </w:r>
          </w:p>
        </w:tc>
        <w:tc>
          <w:tcPr>
            <w:tcW w:w="1139" w:type="dxa"/>
            <w:tcBorders>
              <w:top w:val="nil"/>
              <w:left w:val="nil"/>
              <w:bottom w:val="nil"/>
              <w:right w:val="nil"/>
            </w:tcBorders>
            <w:shd w:val="clear" w:color="auto" w:fill="auto"/>
            <w:noWrap/>
            <w:vAlign w:val="bottom"/>
            <w:hideMark/>
          </w:tcPr>
          <w:p w14:paraId="27D56026"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(0.100)</w:t>
            </w:r>
          </w:p>
        </w:tc>
      </w:tr>
      <w:tr w:rsidR="00585C26" w:rsidRPr="00986F85" w14:paraId="09B33F3F" w14:textId="77777777" w:rsidTr="00585C26">
        <w:trPr>
          <w:trHeight w:val="240"/>
        </w:trPr>
        <w:tc>
          <w:tcPr>
            <w:tcW w:w="3441" w:type="dxa"/>
            <w:tcBorders>
              <w:top w:val="nil"/>
              <w:left w:val="nil"/>
              <w:bottom w:val="nil"/>
              <w:right w:val="nil"/>
            </w:tcBorders>
            <w:shd w:val="clear" w:color="auto" w:fill="auto"/>
            <w:noWrap/>
            <w:vAlign w:val="bottom"/>
            <w:hideMark/>
          </w:tcPr>
          <w:p w14:paraId="1C7FB20F"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Közép-Dunántúl</w:t>
            </w:r>
          </w:p>
        </w:tc>
        <w:tc>
          <w:tcPr>
            <w:tcW w:w="994" w:type="dxa"/>
            <w:tcBorders>
              <w:top w:val="nil"/>
              <w:left w:val="nil"/>
              <w:bottom w:val="nil"/>
              <w:right w:val="nil"/>
            </w:tcBorders>
            <w:shd w:val="clear" w:color="auto" w:fill="auto"/>
            <w:noWrap/>
            <w:vAlign w:val="bottom"/>
            <w:hideMark/>
          </w:tcPr>
          <w:p w14:paraId="69DEB9C5"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-0.0689</w:t>
            </w:r>
          </w:p>
        </w:tc>
        <w:tc>
          <w:tcPr>
            <w:tcW w:w="1057" w:type="dxa"/>
            <w:tcBorders>
              <w:top w:val="nil"/>
              <w:left w:val="nil"/>
              <w:bottom w:val="nil"/>
              <w:right w:val="nil"/>
            </w:tcBorders>
            <w:shd w:val="clear" w:color="auto" w:fill="auto"/>
            <w:noWrap/>
            <w:vAlign w:val="bottom"/>
            <w:hideMark/>
          </w:tcPr>
          <w:p w14:paraId="2089AFFB"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-0.0683</w:t>
            </w:r>
          </w:p>
        </w:tc>
        <w:tc>
          <w:tcPr>
            <w:tcW w:w="1057" w:type="dxa"/>
            <w:tcBorders>
              <w:top w:val="nil"/>
              <w:left w:val="nil"/>
              <w:bottom w:val="nil"/>
              <w:right w:val="nil"/>
            </w:tcBorders>
            <w:shd w:val="clear" w:color="auto" w:fill="auto"/>
            <w:noWrap/>
            <w:vAlign w:val="bottom"/>
            <w:hideMark/>
          </w:tcPr>
          <w:p w14:paraId="5D30FBDC"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-0.0698</w:t>
            </w:r>
          </w:p>
        </w:tc>
        <w:tc>
          <w:tcPr>
            <w:tcW w:w="1059" w:type="dxa"/>
            <w:tcBorders>
              <w:top w:val="nil"/>
              <w:left w:val="nil"/>
              <w:bottom w:val="nil"/>
              <w:right w:val="nil"/>
            </w:tcBorders>
            <w:shd w:val="clear" w:color="auto" w:fill="auto"/>
            <w:noWrap/>
            <w:vAlign w:val="bottom"/>
            <w:hideMark/>
          </w:tcPr>
          <w:p w14:paraId="3B3B124B"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-0.0698</w:t>
            </w:r>
          </w:p>
        </w:tc>
        <w:tc>
          <w:tcPr>
            <w:tcW w:w="1059" w:type="dxa"/>
            <w:tcBorders>
              <w:top w:val="nil"/>
              <w:left w:val="nil"/>
              <w:bottom w:val="nil"/>
              <w:right w:val="nil"/>
            </w:tcBorders>
            <w:shd w:val="clear" w:color="auto" w:fill="auto"/>
            <w:noWrap/>
            <w:vAlign w:val="bottom"/>
            <w:hideMark/>
          </w:tcPr>
          <w:p w14:paraId="6439AC3F"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-0.0906*</w:t>
            </w:r>
          </w:p>
        </w:tc>
        <w:tc>
          <w:tcPr>
            <w:tcW w:w="1014" w:type="dxa"/>
            <w:tcBorders>
              <w:top w:val="nil"/>
              <w:left w:val="nil"/>
              <w:bottom w:val="nil"/>
              <w:right w:val="nil"/>
            </w:tcBorders>
            <w:shd w:val="clear" w:color="auto" w:fill="auto"/>
            <w:noWrap/>
            <w:vAlign w:val="bottom"/>
            <w:hideMark/>
          </w:tcPr>
          <w:p w14:paraId="1391E766"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-0.0883</w:t>
            </w:r>
          </w:p>
        </w:tc>
        <w:tc>
          <w:tcPr>
            <w:tcW w:w="1139" w:type="dxa"/>
            <w:tcBorders>
              <w:top w:val="nil"/>
              <w:left w:val="nil"/>
              <w:bottom w:val="nil"/>
              <w:right w:val="nil"/>
            </w:tcBorders>
            <w:shd w:val="clear" w:color="auto" w:fill="auto"/>
            <w:noWrap/>
            <w:vAlign w:val="bottom"/>
            <w:hideMark/>
          </w:tcPr>
          <w:p w14:paraId="5F66E6DB"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-0.0639</w:t>
            </w:r>
          </w:p>
        </w:tc>
      </w:tr>
      <w:tr w:rsidR="00585C26" w:rsidRPr="00986F85" w14:paraId="69D6A273" w14:textId="77777777" w:rsidTr="00585C26">
        <w:trPr>
          <w:trHeight w:val="240"/>
        </w:trPr>
        <w:tc>
          <w:tcPr>
            <w:tcW w:w="3441" w:type="dxa"/>
            <w:tcBorders>
              <w:top w:val="nil"/>
              <w:left w:val="nil"/>
              <w:bottom w:val="nil"/>
              <w:right w:val="nil"/>
            </w:tcBorders>
            <w:shd w:val="clear" w:color="auto" w:fill="auto"/>
            <w:noWrap/>
            <w:vAlign w:val="bottom"/>
            <w:hideMark/>
          </w:tcPr>
          <w:p w14:paraId="3C8E05A4" w14:textId="77777777" w:rsidR="00585C26" w:rsidRPr="00986F85" w:rsidRDefault="00585C26" w:rsidP="00585C26">
            <w:pPr>
              <w:suppressAutoHyphens w:val="0"/>
              <w:spacing w:after="0" w:line="240" w:lineRule="auto"/>
              <w:rPr>
                <w:rFonts w:eastAsia="Times New Roman" w:cs="Arial"/>
                <w:sz w:val="20"/>
                <w:szCs w:val="20"/>
                <w:lang w:val="en-US" w:eastAsia="en-US"/>
              </w:rPr>
            </w:pPr>
          </w:p>
        </w:tc>
        <w:tc>
          <w:tcPr>
            <w:tcW w:w="994" w:type="dxa"/>
            <w:tcBorders>
              <w:top w:val="nil"/>
              <w:left w:val="nil"/>
              <w:bottom w:val="nil"/>
              <w:right w:val="nil"/>
            </w:tcBorders>
            <w:shd w:val="clear" w:color="auto" w:fill="auto"/>
            <w:noWrap/>
            <w:vAlign w:val="bottom"/>
            <w:hideMark/>
          </w:tcPr>
          <w:p w14:paraId="2F7B2F6F"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(0.0506)</w:t>
            </w:r>
          </w:p>
        </w:tc>
        <w:tc>
          <w:tcPr>
            <w:tcW w:w="1057" w:type="dxa"/>
            <w:tcBorders>
              <w:top w:val="nil"/>
              <w:left w:val="nil"/>
              <w:bottom w:val="nil"/>
              <w:right w:val="nil"/>
            </w:tcBorders>
            <w:shd w:val="clear" w:color="auto" w:fill="auto"/>
            <w:noWrap/>
            <w:vAlign w:val="bottom"/>
            <w:hideMark/>
          </w:tcPr>
          <w:p w14:paraId="23D77A69"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(0.0522)</w:t>
            </w:r>
          </w:p>
        </w:tc>
        <w:tc>
          <w:tcPr>
            <w:tcW w:w="1057" w:type="dxa"/>
            <w:tcBorders>
              <w:top w:val="nil"/>
              <w:left w:val="nil"/>
              <w:bottom w:val="nil"/>
              <w:right w:val="nil"/>
            </w:tcBorders>
            <w:shd w:val="clear" w:color="auto" w:fill="auto"/>
            <w:noWrap/>
            <w:vAlign w:val="bottom"/>
            <w:hideMark/>
          </w:tcPr>
          <w:p w14:paraId="1C7FD3C1"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(0.0522)</w:t>
            </w:r>
          </w:p>
        </w:tc>
        <w:tc>
          <w:tcPr>
            <w:tcW w:w="1059" w:type="dxa"/>
            <w:tcBorders>
              <w:top w:val="nil"/>
              <w:left w:val="nil"/>
              <w:bottom w:val="nil"/>
              <w:right w:val="nil"/>
            </w:tcBorders>
            <w:shd w:val="clear" w:color="auto" w:fill="auto"/>
            <w:noWrap/>
            <w:vAlign w:val="bottom"/>
            <w:hideMark/>
          </w:tcPr>
          <w:p w14:paraId="6EEB6322"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(0.0522)</w:t>
            </w:r>
          </w:p>
        </w:tc>
        <w:tc>
          <w:tcPr>
            <w:tcW w:w="1059" w:type="dxa"/>
            <w:tcBorders>
              <w:top w:val="nil"/>
              <w:left w:val="nil"/>
              <w:bottom w:val="nil"/>
              <w:right w:val="nil"/>
            </w:tcBorders>
            <w:shd w:val="clear" w:color="auto" w:fill="auto"/>
            <w:noWrap/>
            <w:vAlign w:val="bottom"/>
            <w:hideMark/>
          </w:tcPr>
          <w:p w14:paraId="57470F41"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(0.0545)</w:t>
            </w:r>
          </w:p>
        </w:tc>
        <w:tc>
          <w:tcPr>
            <w:tcW w:w="1014" w:type="dxa"/>
            <w:tcBorders>
              <w:top w:val="nil"/>
              <w:left w:val="nil"/>
              <w:bottom w:val="nil"/>
              <w:right w:val="nil"/>
            </w:tcBorders>
            <w:shd w:val="clear" w:color="auto" w:fill="auto"/>
            <w:noWrap/>
            <w:vAlign w:val="bottom"/>
            <w:hideMark/>
          </w:tcPr>
          <w:p w14:paraId="5C210CD9"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(0.0542)</w:t>
            </w:r>
          </w:p>
        </w:tc>
        <w:tc>
          <w:tcPr>
            <w:tcW w:w="1139" w:type="dxa"/>
            <w:tcBorders>
              <w:top w:val="nil"/>
              <w:left w:val="nil"/>
              <w:bottom w:val="nil"/>
              <w:right w:val="nil"/>
            </w:tcBorders>
            <w:shd w:val="clear" w:color="auto" w:fill="auto"/>
            <w:noWrap/>
            <w:vAlign w:val="bottom"/>
            <w:hideMark/>
          </w:tcPr>
          <w:p w14:paraId="7AF6D1AC"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(0.110)</w:t>
            </w:r>
          </w:p>
        </w:tc>
      </w:tr>
      <w:tr w:rsidR="00585C26" w:rsidRPr="00986F85" w14:paraId="715970CD" w14:textId="77777777" w:rsidTr="00585C26">
        <w:trPr>
          <w:trHeight w:val="240"/>
        </w:trPr>
        <w:tc>
          <w:tcPr>
            <w:tcW w:w="3441" w:type="dxa"/>
            <w:tcBorders>
              <w:top w:val="nil"/>
              <w:left w:val="nil"/>
              <w:bottom w:val="nil"/>
              <w:right w:val="nil"/>
            </w:tcBorders>
            <w:shd w:val="clear" w:color="auto" w:fill="auto"/>
            <w:noWrap/>
            <w:vAlign w:val="bottom"/>
            <w:hideMark/>
          </w:tcPr>
          <w:p w14:paraId="6A23166D"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Nyugat-Dunántúl</w:t>
            </w:r>
          </w:p>
        </w:tc>
        <w:tc>
          <w:tcPr>
            <w:tcW w:w="994" w:type="dxa"/>
            <w:tcBorders>
              <w:top w:val="nil"/>
              <w:left w:val="nil"/>
              <w:bottom w:val="nil"/>
              <w:right w:val="nil"/>
            </w:tcBorders>
            <w:shd w:val="clear" w:color="auto" w:fill="auto"/>
            <w:noWrap/>
            <w:vAlign w:val="bottom"/>
            <w:hideMark/>
          </w:tcPr>
          <w:p w14:paraId="5F204F14"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-0.0350</w:t>
            </w:r>
          </w:p>
        </w:tc>
        <w:tc>
          <w:tcPr>
            <w:tcW w:w="1057" w:type="dxa"/>
            <w:tcBorders>
              <w:top w:val="nil"/>
              <w:left w:val="nil"/>
              <w:bottom w:val="nil"/>
              <w:right w:val="nil"/>
            </w:tcBorders>
            <w:shd w:val="clear" w:color="auto" w:fill="auto"/>
            <w:noWrap/>
            <w:vAlign w:val="bottom"/>
            <w:hideMark/>
          </w:tcPr>
          <w:p w14:paraId="7586994A"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-0.0364</w:t>
            </w:r>
          </w:p>
        </w:tc>
        <w:tc>
          <w:tcPr>
            <w:tcW w:w="1057" w:type="dxa"/>
            <w:tcBorders>
              <w:top w:val="nil"/>
              <w:left w:val="nil"/>
              <w:bottom w:val="nil"/>
              <w:right w:val="nil"/>
            </w:tcBorders>
            <w:shd w:val="clear" w:color="auto" w:fill="auto"/>
            <w:noWrap/>
            <w:vAlign w:val="bottom"/>
            <w:hideMark/>
          </w:tcPr>
          <w:p w14:paraId="47B3A2B8"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-0.0365</w:t>
            </w:r>
          </w:p>
        </w:tc>
        <w:tc>
          <w:tcPr>
            <w:tcW w:w="1059" w:type="dxa"/>
            <w:tcBorders>
              <w:top w:val="nil"/>
              <w:left w:val="nil"/>
              <w:bottom w:val="nil"/>
              <w:right w:val="nil"/>
            </w:tcBorders>
            <w:shd w:val="clear" w:color="auto" w:fill="auto"/>
            <w:noWrap/>
            <w:vAlign w:val="bottom"/>
            <w:hideMark/>
          </w:tcPr>
          <w:p w14:paraId="517649FB"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-0.0350</w:t>
            </w:r>
          </w:p>
        </w:tc>
        <w:tc>
          <w:tcPr>
            <w:tcW w:w="1059" w:type="dxa"/>
            <w:tcBorders>
              <w:top w:val="nil"/>
              <w:left w:val="nil"/>
              <w:bottom w:val="nil"/>
              <w:right w:val="nil"/>
            </w:tcBorders>
            <w:shd w:val="clear" w:color="auto" w:fill="auto"/>
            <w:noWrap/>
            <w:vAlign w:val="bottom"/>
            <w:hideMark/>
          </w:tcPr>
          <w:p w14:paraId="4200F38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-0.0620</w:t>
            </w:r>
          </w:p>
        </w:tc>
        <w:tc>
          <w:tcPr>
            <w:tcW w:w="1014" w:type="dxa"/>
            <w:tcBorders>
              <w:top w:val="nil"/>
              <w:left w:val="nil"/>
              <w:bottom w:val="nil"/>
              <w:right w:val="nil"/>
            </w:tcBorders>
            <w:shd w:val="clear" w:color="auto" w:fill="auto"/>
            <w:noWrap/>
            <w:vAlign w:val="bottom"/>
            <w:hideMark/>
          </w:tcPr>
          <w:p w14:paraId="398C7277"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-0.0624</w:t>
            </w:r>
          </w:p>
        </w:tc>
        <w:tc>
          <w:tcPr>
            <w:tcW w:w="1139" w:type="dxa"/>
            <w:tcBorders>
              <w:top w:val="nil"/>
              <w:left w:val="nil"/>
              <w:bottom w:val="nil"/>
              <w:right w:val="nil"/>
            </w:tcBorders>
            <w:shd w:val="clear" w:color="auto" w:fill="auto"/>
            <w:noWrap/>
            <w:vAlign w:val="bottom"/>
            <w:hideMark/>
          </w:tcPr>
          <w:p w14:paraId="5C101DF0"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-0.166</w:t>
            </w:r>
          </w:p>
        </w:tc>
      </w:tr>
      <w:tr w:rsidR="00585C26" w:rsidRPr="00986F85" w14:paraId="31E29C77" w14:textId="77777777" w:rsidTr="00585C26">
        <w:trPr>
          <w:trHeight w:val="240"/>
        </w:trPr>
        <w:tc>
          <w:tcPr>
            <w:tcW w:w="3441" w:type="dxa"/>
            <w:tcBorders>
              <w:top w:val="nil"/>
              <w:left w:val="nil"/>
              <w:bottom w:val="nil"/>
              <w:right w:val="nil"/>
            </w:tcBorders>
            <w:shd w:val="clear" w:color="auto" w:fill="auto"/>
            <w:noWrap/>
            <w:vAlign w:val="bottom"/>
            <w:hideMark/>
          </w:tcPr>
          <w:p w14:paraId="0F4968E7" w14:textId="77777777" w:rsidR="00585C26" w:rsidRPr="00986F85" w:rsidRDefault="00585C26" w:rsidP="00585C26">
            <w:pPr>
              <w:suppressAutoHyphens w:val="0"/>
              <w:spacing w:after="0" w:line="240" w:lineRule="auto"/>
              <w:rPr>
                <w:rFonts w:eastAsia="Times New Roman" w:cs="Arial"/>
                <w:sz w:val="20"/>
                <w:szCs w:val="20"/>
                <w:lang w:val="en-US" w:eastAsia="en-US"/>
              </w:rPr>
            </w:pPr>
          </w:p>
        </w:tc>
        <w:tc>
          <w:tcPr>
            <w:tcW w:w="994" w:type="dxa"/>
            <w:tcBorders>
              <w:top w:val="nil"/>
              <w:left w:val="nil"/>
              <w:bottom w:val="nil"/>
              <w:right w:val="nil"/>
            </w:tcBorders>
            <w:shd w:val="clear" w:color="auto" w:fill="auto"/>
            <w:noWrap/>
            <w:vAlign w:val="bottom"/>
            <w:hideMark/>
          </w:tcPr>
          <w:p w14:paraId="0E4A2649"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(0.0504)</w:t>
            </w:r>
          </w:p>
        </w:tc>
        <w:tc>
          <w:tcPr>
            <w:tcW w:w="1057" w:type="dxa"/>
            <w:tcBorders>
              <w:top w:val="nil"/>
              <w:left w:val="nil"/>
              <w:bottom w:val="nil"/>
              <w:right w:val="nil"/>
            </w:tcBorders>
            <w:shd w:val="clear" w:color="auto" w:fill="auto"/>
            <w:noWrap/>
            <w:vAlign w:val="bottom"/>
            <w:hideMark/>
          </w:tcPr>
          <w:p w14:paraId="4DAB731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(0.0520)</w:t>
            </w:r>
          </w:p>
        </w:tc>
        <w:tc>
          <w:tcPr>
            <w:tcW w:w="1057" w:type="dxa"/>
            <w:tcBorders>
              <w:top w:val="nil"/>
              <w:left w:val="nil"/>
              <w:bottom w:val="nil"/>
              <w:right w:val="nil"/>
            </w:tcBorders>
            <w:shd w:val="clear" w:color="auto" w:fill="auto"/>
            <w:noWrap/>
            <w:vAlign w:val="bottom"/>
            <w:hideMark/>
          </w:tcPr>
          <w:p w14:paraId="456C335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(0.0520)</w:t>
            </w:r>
          </w:p>
        </w:tc>
        <w:tc>
          <w:tcPr>
            <w:tcW w:w="1059" w:type="dxa"/>
            <w:tcBorders>
              <w:top w:val="nil"/>
              <w:left w:val="nil"/>
              <w:bottom w:val="nil"/>
              <w:right w:val="nil"/>
            </w:tcBorders>
            <w:shd w:val="clear" w:color="auto" w:fill="auto"/>
            <w:noWrap/>
            <w:vAlign w:val="bottom"/>
            <w:hideMark/>
          </w:tcPr>
          <w:p w14:paraId="62FB8572"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(0.0520)</w:t>
            </w:r>
          </w:p>
        </w:tc>
        <w:tc>
          <w:tcPr>
            <w:tcW w:w="1059" w:type="dxa"/>
            <w:tcBorders>
              <w:top w:val="nil"/>
              <w:left w:val="nil"/>
              <w:bottom w:val="nil"/>
              <w:right w:val="nil"/>
            </w:tcBorders>
            <w:shd w:val="clear" w:color="auto" w:fill="auto"/>
            <w:noWrap/>
            <w:vAlign w:val="bottom"/>
            <w:hideMark/>
          </w:tcPr>
          <w:p w14:paraId="663B609F"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(0.0541)</w:t>
            </w:r>
          </w:p>
        </w:tc>
        <w:tc>
          <w:tcPr>
            <w:tcW w:w="1014" w:type="dxa"/>
            <w:tcBorders>
              <w:top w:val="nil"/>
              <w:left w:val="nil"/>
              <w:bottom w:val="nil"/>
              <w:right w:val="nil"/>
            </w:tcBorders>
            <w:shd w:val="clear" w:color="auto" w:fill="auto"/>
            <w:noWrap/>
            <w:vAlign w:val="bottom"/>
            <w:hideMark/>
          </w:tcPr>
          <w:p w14:paraId="0EF6976B"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(0.0538)</w:t>
            </w:r>
          </w:p>
        </w:tc>
        <w:tc>
          <w:tcPr>
            <w:tcW w:w="1139" w:type="dxa"/>
            <w:tcBorders>
              <w:top w:val="nil"/>
              <w:left w:val="nil"/>
              <w:bottom w:val="nil"/>
              <w:right w:val="nil"/>
            </w:tcBorders>
            <w:shd w:val="clear" w:color="auto" w:fill="auto"/>
            <w:noWrap/>
            <w:vAlign w:val="bottom"/>
            <w:hideMark/>
          </w:tcPr>
          <w:p w14:paraId="251BADAD"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(0.107)</w:t>
            </w:r>
          </w:p>
        </w:tc>
      </w:tr>
      <w:tr w:rsidR="00585C26" w:rsidRPr="00986F85" w14:paraId="633B752B" w14:textId="77777777" w:rsidTr="00585C26">
        <w:trPr>
          <w:trHeight w:val="240"/>
        </w:trPr>
        <w:tc>
          <w:tcPr>
            <w:tcW w:w="3441" w:type="dxa"/>
            <w:tcBorders>
              <w:top w:val="nil"/>
              <w:left w:val="nil"/>
              <w:bottom w:val="nil"/>
              <w:right w:val="nil"/>
            </w:tcBorders>
            <w:shd w:val="clear" w:color="auto" w:fill="auto"/>
            <w:noWrap/>
            <w:vAlign w:val="bottom"/>
            <w:hideMark/>
          </w:tcPr>
          <w:p w14:paraId="5D995A2B"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Dél-Dunántúl</w:t>
            </w:r>
          </w:p>
        </w:tc>
        <w:tc>
          <w:tcPr>
            <w:tcW w:w="994" w:type="dxa"/>
            <w:tcBorders>
              <w:top w:val="nil"/>
              <w:left w:val="nil"/>
              <w:bottom w:val="nil"/>
              <w:right w:val="nil"/>
            </w:tcBorders>
            <w:shd w:val="clear" w:color="auto" w:fill="auto"/>
            <w:noWrap/>
            <w:vAlign w:val="bottom"/>
            <w:hideMark/>
          </w:tcPr>
          <w:p w14:paraId="5F2514C3"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-0.0550</w:t>
            </w:r>
          </w:p>
        </w:tc>
        <w:tc>
          <w:tcPr>
            <w:tcW w:w="1057" w:type="dxa"/>
            <w:tcBorders>
              <w:top w:val="nil"/>
              <w:left w:val="nil"/>
              <w:bottom w:val="nil"/>
              <w:right w:val="nil"/>
            </w:tcBorders>
            <w:shd w:val="clear" w:color="auto" w:fill="auto"/>
            <w:noWrap/>
            <w:vAlign w:val="bottom"/>
            <w:hideMark/>
          </w:tcPr>
          <w:p w14:paraId="2C9A6152"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-0.0455</w:t>
            </w:r>
          </w:p>
        </w:tc>
        <w:tc>
          <w:tcPr>
            <w:tcW w:w="1057" w:type="dxa"/>
            <w:tcBorders>
              <w:top w:val="nil"/>
              <w:left w:val="nil"/>
              <w:bottom w:val="nil"/>
              <w:right w:val="nil"/>
            </w:tcBorders>
            <w:shd w:val="clear" w:color="auto" w:fill="auto"/>
            <w:noWrap/>
            <w:vAlign w:val="bottom"/>
            <w:hideMark/>
          </w:tcPr>
          <w:p w14:paraId="39945085"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-0.0447</w:t>
            </w:r>
          </w:p>
        </w:tc>
        <w:tc>
          <w:tcPr>
            <w:tcW w:w="1059" w:type="dxa"/>
            <w:tcBorders>
              <w:top w:val="nil"/>
              <w:left w:val="nil"/>
              <w:bottom w:val="nil"/>
              <w:right w:val="nil"/>
            </w:tcBorders>
            <w:shd w:val="clear" w:color="auto" w:fill="auto"/>
            <w:noWrap/>
            <w:vAlign w:val="bottom"/>
            <w:hideMark/>
          </w:tcPr>
          <w:p w14:paraId="09E1CDF8"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-0.0442</w:t>
            </w:r>
          </w:p>
        </w:tc>
        <w:tc>
          <w:tcPr>
            <w:tcW w:w="1059" w:type="dxa"/>
            <w:tcBorders>
              <w:top w:val="nil"/>
              <w:left w:val="nil"/>
              <w:bottom w:val="nil"/>
              <w:right w:val="nil"/>
            </w:tcBorders>
            <w:shd w:val="clear" w:color="auto" w:fill="auto"/>
            <w:noWrap/>
            <w:vAlign w:val="bottom"/>
            <w:hideMark/>
          </w:tcPr>
          <w:p w14:paraId="36A759CB"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-0.0577</w:t>
            </w:r>
          </w:p>
        </w:tc>
        <w:tc>
          <w:tcPr>
            <w:tcW w:w="1014" w:type="dxa"/>
            <w:tcBorders>
              <w:top w:val="nil"/>
              <w:left w:val="nil"/>
              <w:bottom w:val="nil"/>
              <w:right w:val="nil"/>
            </w:tcBorders>
            <w:shd w:val="clear" w:color="auto" w:fill="auto"/>
            <w:noWrap/>
            <w:vAlign w:val="bottom"/>
            <w:hideMark/>
          </w:tcPr>
          <w:p w14:paraId="4D2C8B26"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-0.0536</w:t>
            </w:r>
          </w:p>
        </w:tc>
        <w:tc>
          <w:tcPr>
            <w:tcW w:w="1139" w:type="dxa"/>
            <w:tcBorders>
              <w:top w:val="nil"/>
              <w:left w:val="nil"/>
              <w:bottom w:val="nil"/>
              <w:right w:val="nil"/>
            </w:tcBorders>
            <w:shd w:val="clear" w:color="auto" w:fill="auto"/>
            <w:noWrap/>
            <w:vAlign w:val="bottom"/>
            <w:hideMark/>
          </w:tcPr>
          <w:p w14:paraId="40E318C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-0.0458</w:t>
            </w:r>
          </w:p>
        </w:tc>
      </w:tr>
      <w:tr w:rsidR="00585C26" w:rsidRPr="00986F85" w14:paraId="7CD9D840" w14:textId="77777777" w:rsidTr="00585C26">
        <w:trPr>
          <w:trHeight w:val="240"/>
        </w:trPr>
        <w:tc>
          <w:tcPr>
            <w:tcW w:w="3441" w:type="dxa"/>
            <w:tcBorders>
              <w:top w:val="nil"/>
              <w:left w:val="nil"/>
              <w:bottom w:val="nil"/>
              <w:right w:val="nil"/>
            </w:tcBorders>
            <w:shd w:val="clear" w:color="auto" w:fill="auto"/>
            <w:noWrap/>
            <w:vAlign w:val="bottom"/>
            <w:hideMark/>
          </w:tcPr>
          <w:p w14:paraId="7B0AE6C2" w14:textId="77777777" w:rsidR="00585C26" w:rsidRPr="00986F85" w:rsidRDefault="00585C26" w:rsidP="00585C26">
            <w:pPr>
              <w:suppressAutoHyphens w:val="0"/>
              <w:spacing w:after="0" w:line="240" w:lineRule="auto"/>
              <w:rPr>
                <w:rFonts w:eastAsia="Times New Roman" w:cs="Arial"/>
                <w:sz w:val="20"/>
                <w:szCs w:val="20"/>
                <w:lang w:val="en-US" w:eastAsia="en-US"/>
              </w:rPr>
            </w:pPr>
          </w:p>
        </w:tc>
        <w:tc>
          <w:tcPr>
            <w:tcW w:w="994" w:type="dxa"/>
            <w:tcBorders>
              <w:top w:val="nil"/>
              <w:left w:val="nil"/>
              <w:bottom w:val="nil"/>
              <w:right w:val="nil"/>
            </w:tcBorders>
            <w:shd w:val="clear" w:color="auto" w:fill="auto"/>
            <w:noWrap/>
            <w:vAlign w:val="bottom"/>
            <w:hideMark/>
          </w:tcPr>
          <w:p w14:paraId="6C438F25"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(0.0532)</w:t>
            </w:r>
          </w:p>
        </w:tc>
        <w:tc>
          <w:tcPr>
            <w:tcW w:w="1057" w:type="dxa"/>
            <w:tcBorders>
              <w:top w:val="nil"/>
              <w:left w:val="nil"/>
              <w:bottom w:val="nil"/>
              <w:right w:val="nil"/>
            </w:tcBorders>
            <w:shd w:val="clear" w:color="auto" w:fill="auto"/>
            <w:noWrap/>
            <w:vAlign w:val="bottom"/>
            <w:hideMark/>
          </w:tcPr>
          <w:p w14:paraId="76D76338"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(0.0547)</w:t>
            </w:r>
          </w:p>
        </w:tc>
        <w:tc>
          <w:tcPr>
            <w:tcW w:w="1057" w:type="dxa"/>
            <w:tcBorders>
              <w:top w:val="nil"/>
              <w:left w:val="nil"/>
              <w:bottom w:val="nil"/>
              <w:right w:val="nil"/>
            </w:tcBorders>
            <w:shd w:val="clear" w:color="auto" w:fill="auto"/>
            <w:noWrap/>
            <w:vAlign w:val="bottom"/>
            <w:hideMark/>
          </w:tcPr>
          <w:p w14:paraId="40064106"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(0.0547)</w:t>
            </w:r>
          </w:p>
        </w:tc>
        <w:tc>
          <w:tcPr>
            <w:tcW w:w="1059" w:type="dxa"/>
            <w:tcBorders>
              <w:top w:val="nil"/>
              <w:left w:val="nil"/>
              <w:bottom w:val="nil"/>
              <w:right w:val="nil"/>
            </w:tcBorders>
            <w:shd w:val="clear" w:color="auto" w:fill="auto"/>
            <w:noWrap/>
            <w:vAlign w:val="bottom"/>
            <w:hideMark/>
          </w:tcPr>
          <w:p w14:paraId="4AF94963"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(0.0547)</w:t>
            </w:r>
          </w:p>
        </w:tc>
        <w:tc>
          <w:tcPr>
            <w:tcW w:w="1059" w:type="dxa"/>
            <w:tcBorders>
              <w:top w:val="nil"/>
              <w:left w:val="nil"/>
              <w:bottom w:val="nil"/>
              <w:right w:val="nil"/>
            </w:tcBorders>
            <w:shd w:val="clear" w:color="auto" w:fill="auto"/>
            <w:noWrap/>
            <w:vAlign w:val="bottom"/>
            <w:hideMark/>
          </w:tcPr>
          <w:p w14:paraId="58813C5F"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(0.0568)</w:t>
            </w:r>
          </w:p>
        </w:tc>
        <w:tc>
          <w:tcPr>
            <w:tcW w:w="1014" w:type="dxa"/>
            <w:tcBorders>
              <w:top w:val="nil"/>
              <w:left w:val="nil"/>
              <w:bottom w:val="nil"/>
              <w:right w:val="nil"/>
            </w:tcBorders>
            <w:shd w:val="clear" w:color="auto" w:fill="auto"/>
            <w:noWrap/>
            <w:vAlign w:val="bottom"/>
            <w:hideMark/>
          </w:tcPr>
          <w:p w14:paraId="70F5E771"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(0.0566)</w:t>
            </w:r>
          </w:p>
        </w:tc>
        <w:tc>
          <w:tcPr>
            <w:tcW w:w="1139" w:type="dxa"/>
            <w:tcBorders>
              <w:top w:val="nil"/>
              <w:left w:val="nil"/>
              <w:bottom w:val="nil"/>
              <w:right w:val="nil"/>
            </w:tcBorders>
            <w:shd w:val="clear" w:color="auto" w:fill="auto"/>
            <w:noWrap/>
            <w:vAlign w:val="bottom"/>
            <w:hideMark/>
          </w:tcPr>
          <w:p w14:paraId="24BCDF93"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(0.119)</w:t>
            </w:r>
          </w:p>
        </w:tc>
      </w:tr>
      <w:tr w:rsidR="00585C26" w:rsidRPr="00986F85" w14:paraId="0292132E" w14:textId="77777777" w:rsidTr="00585C26">
        <w:trPr>
          <w:trHeight w:val="240"/>
        </w:trPr>
        <w:tc>
          <w:tcPr>
            <w:tcW w:w="3441" w:type="dxa"/>
            <w:tcBorders>
              <w:top w:val="nil"/>
              <w:left w:val="nil"/>
              <w:bottom w:val="nil"/>
              <w:right w:val="nil"/>
            </w:tcBorders>
            <w:shd w:val="clear" w:color="auto" w:fill="auto"/>
            <w:noWrap/>
            <w:vAlign w:val="bottom"/>
            <w:hideMark/>
          </w:tcPr>
          <w:p w14:paraId="4C4A04E3"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Észak-Magyarország</w:t>
            </w:r>
          </w:p>
        </w:tc>
        <w:tc>
          <w:tcPr>
            <w:tcW w:w="994" w:type="dxa"/>
            <w:tcBorders>
              <w:top w:val="nil"/>
              <w:left w:val="nil"/>
              <w:bottom w:val="nil"/>
              <w:right w:val="nil"/>
            </w:tcBorders>
            <w:shd w:val="clear" w:color="auto" w:fill="auto"/>
            <w:noWrap/>
            <w:vAlign w:val="bottom"/>
            <w:hideMark/>
          </w:tcPr>
          <w:p w14:paraId="4EAA5932"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-0.00487</w:t>
            </w:r>
          </w:p>
        </w:tc>
        <w:tc>
          <w:tcPr>
            <w:tcW w:w="1057" w:type="dxa"/>
            <w:tcBorders>
              <w:top w:val="nil"/>
              <w:left w:val="nil"/>
              <w:bottom w:val="nil"/>
              <w:right w:val="nil"/>
            </w:tcBorders>
            <w:shd w:val="clear" w:color="auto" w:fill="auto"/>
            <w:noWrap/>
            <w:vAlign w:val="bottom"/>
            <w:hideMark/>
          </w:tcPr>
          <w:p w14:paraId="782CC01B"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0.0100</w:t>
            </w:r>
          </w:p>
        </w:tc>
        <w:tc>
          <w:tcPr>
            <w:tcW w:w="1057" w:type="dxa"/>
            <w:tcBorders>
              <w:top w:val="nil"/>
              <w:left w:val="nil"/>
              <w:bottom w:val="nil"/>
              <w:right w:val="nil"/>
            </w:tcBorders>
            <w:shd w:val="clear" w:color="auto" w:fill="auto"/>
            <w:noWrap/>
            <w:vAlign w:val="bottom"/>
            <w:hideMark/>
          </w:tcPr>
          <w:p w14:paraId="67D2D00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0.00937</w:t>
            </w:r>
          </w:p>
        </w:tc>
        <w:tc>
          <w:tcPr>
            <w:tcW w:w="1059" w:type="dxa"/>
            <w:tcBorders>
              <w:top w:val="nil"/>
              <w:left w:val="nil"/>
              <w:bottom w:val="nil"/>
              <w:right w:val="nil"/>
            </w:tcBorders>
            <w:shd w:val="clear" w:color="auto" w:fill="auto"/>
            <w:noWrap/>
            <w:vAlign w:val="bottom"/>
            <w:hideMark/>
          </w:tcPr>
          <w:p w14:paraId="1D8499DB"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0.00992</w:t>
            </w:r>
          </w:p>
        </w:tc>
        <w:tc>
          <w:tcPr>
            <w:tcW w:w="1059" w:type="dxa"/>
            <w:tcBorders>
              <w:top w:val="nil"/>
              <w:left w:val="nil"/>
              <w:bottom w:val="nil"/>
              <w:right w:val="nil"/>
            </w:tcBorders>
            <w:shd w:val="clear" w:color="auto" w:fill="auto"/>
            <w:noWrap/>
            <w:vAlign w:val="bottom"/>
            <w:hideMark/>
          </w:tcPr>
          <w:p w14:paraId="030F2833"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0.0237</w:t>
            </w:r>
          </w:p>
        </w:tc>
        <w:tc>
          <w:tcPr>
            <w:tcW w:w="1014" w:type="dxa"/>
            <w:tcBorders>
              <w:top w:val="nil"/>
              <w:left w:val="nil"/>
              <w:bottom w:val="nil"/>
              <w:right w:val="nil"/>
            </w:tcBorders>
            <w:shd w:val="clear" w:color="auto" w:fill="auto"/>
            <w:noWrap/>
            <w:vAlign w:val="bottom"/>
            <w:hideMark/>
          </w:tcPr>
          <w:p w14:paraId="7785E47F"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0.0171</w:t>
            </w:r>
          </w:p>
        </w:tc>
        <w:tc>
          <w:tcPr>
            <w:tcW w:w="1139" w:type="dxa"/>
            <w:tcBorders>
              <w:top w:val="nil"/>
              <w:left w:val="nil"/>
              <w:bottom w:val="nil"/>
              <w:right w:val="nil"/>
            </w:tcBorders>
            <w:shd w:val="clear" w:color="auto" w:fill="auto"/>
            <w:noWrap/>
            <w:vAlign w:val="bottom"/>
            <w:hideMark/>
          </w:tcPr>
          <w:p w14:paraId="669BD047"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-0.221</w:t>
            </w:r>
          </w:p>
        </w:tc>
      </w:tr>
      <w:tr w:rsidR="00585C26" w:rsidRPr="00986F85" w14:paraId="0068B761" w14:textId="77777777" w:rsidTr="00585C26">
        <w:trPr>
          <w:trHeight w:val="240"/>
        </w:trPr>
        <w:tc>
          <w:tcPr>
            <w:tcW w:w="3441" w:type="dxa"/>
            <w:tcBorders>
              <w:top w:val="nil"/>
              <w:left w:val="nil"/>
              <w:bottom w:val="nil"/>
              <w:right w:val="nil"/>
            </w:tcBorders>
            <w:shd w:val="clear" w:color="auto" w:fill="auto"/>
            <w:noWrap/>
            <w:vAlign w:val="bottom"/>
            <w:hideMark/>
          </w:tcPr>
          <w:p w14:paraId="38F687F4" w14:textId="77777777" w:rsidR="00585C26" w:rsidRPr="00986F85" w:rsidRDefault="00585C26" w:rsidP="00585C26">
            <w:pPr>
              <w:suppressAutoHyphens w:val="0"/>
              <w:spacing w:after="0" w:line="240" w:lineRule="auto"/>
              <w:rPr>
                <w:rFonts w:eastAsia="Times New Roman" w:cs="Arial"/>
                <w:sz w:val="20"/>
                <w:szCs w:val="20"/>
                <w:lang w:val="en-US" w:eastAsia="en-US"/>
              </w:rPr>
            </w:pPr>
          </w:p>
        </w:tc>
        <w:tc>
          <w:tcPr>
            <w:tcW w:w="994" w:type="dxa"/>
            <w:tcBorders>
              <w:top w:val="nil"/>
              <w:left w:val="nil"/>
              <w:bottom w:val="nil"/>
              <w:right w:val="nil"/>
            </w:tcBorders>
            <w:shd w:val="clear" w:color="auto" w:fill="auto"/>
            <w:noWrap/>
            <w:vAlign w:val="bottom"/>
            <w:hideMark/>
          </w:tcPr>
          <w:p w14:paraId="64CA76FB"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(0.0531)</w:t>
            </w:r>
          </w:p>
        </w:tc>
        <w:tc>
          <w:tcPr>
            <w:tcW w:w="1057" w:type="dxa"/>
            <w:tcBorders>
              <w:top w:val="nil"/>
              <w:left w:val="nil"/>
              <w:bottom w:val="nil"/>
              <w:right w:val="nil"/>
            </w:tcBorders>
            <w:shd w:val="clear" w:color="auto" w:fill="auto"/>
            <w:noWrap/>
            <w:vAlign w:val="bottom"/>
            <w:hideMark/>
          </w:tcPr>
          <w:p w14:paraId="464355C6"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(0.0547)</w:t>
            </w:r>
          </w:p>
        </w:tc>
        <w:tc>
          <w:tcPr>
            <w:tcW w:w="1057" w:type="dxa"/>
            <w:tcBorders>
              <w:top w:val="nil"/>
              <w:left w:val="nil"/>
              <w:bottom w:val="nil"/>
              <w:right w:val="nil"/>
            </w:tcBorders>
            <w:shd w:val="clear" w:color="auto" w:fill="auto"/>
            <w:noWrap/>
            <w:vAlign w:val="bottom"/>
            <w:hideMark/>
          </w:tcPr>
          <w:p w14:paraId="203E578F"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(0.0547)</w:t>
            </w:r>
          </w:p>
        </w:tc>
        <w:tc>
          <w:tcPr>
            <w:tcW w:w="1059" w:type="dxa"/>
            <w:tcBorders>
              <w:top w:val="nil"/>
              <w:left w:val="nil"/>
              <w:bottom w:val="nil"/>
              <w:right w:val="nil"/>
            </w:tcBorders>
            <w:shd w:val="clear" w:color="auto" w:fill="auto"/>
            <w:noWrap/>
            <w:vAlign w:val="bottom"/>
            <w:hideMark/>
          </w:tcPr>
          <w:p w14:paraId="12B1DF7F"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(0.0547)</w:t>
            </w:r>
          </w:p>
        </w:tc>
        <w:tc>
          <w:tcPr>
            <w:tcW w:w="1059" w:type="dxa"/>
            <w:tcBorders>
              <w:top w:val="nil"/>
              <w:left w:val="nil"/>
              <w:bottom w:val="nil"/>
              <w:right w:val="nil"/>
            </w:tcBorders>
            <w:shd w:val="clear" w:color="auto" w:fill="auto"/>
            <w:noWrap/>
            <w:vAlign w:val="bottom"/>
            <w:hideMark/>
          </w:tcPr>
          <w:p w14:paraId="4CD7B6BF"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(0.0567)</w:t>
            </w:r>
          </w:p>
        </w:tc>
        <w:tc>
          <w:tcPr>
            <w:tcW w:w="1014" w:type="dxa"/>
            <w:tcBorders>
              <w:top w:val="nil"/>
              <w:left w:val="nil"/>
              <w:bottom w:val="nil"/>
              <w:right w:val="nil"/>
            </w:tcBorders>
            <w:shd w:val="clear" w:color="auto" w:fill="auto"/>
            <w:noWrap/>
            <w:vAlign w:val="bottom"/>
            <w:hideMark/>
          </w:tcPr>
          <w:p w14:paraId="0A8A8C4A"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(0.0564)</w:t>
            </w:r>
          </w:p>
        </w:tc>
        <w:tc>
          <w:tcPr>
            <w:tcW w:w="1139" w:type="dxa"/>
            <w:tcBorders>
              <w:top w:val="nil"/>
              <w:left w:val="nil"/>
              <w:bottom w:val="nil"/>
              <w:right w:val="nil"/>
            </w:tcBorders>
            <w:shd w:val="clear" w:color="auto" w:fill="auto"/>
            <w:noWrap/>
            <w:vAlign w:val="bottom"/>
            <w:hideMark/>
          </w:tcPr>
          <w:p w14:paraId="0034B0A1"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(0.135)</w:t>
            </w:r>
          </w:p>
        </w:tc>
      </w:tr>
      <w:tr w:rsidR="00585C26" w:rsidRPr="00986F85" w14:paraId="316BF4D2" w14:textId="77777777" w:rsidTr="00585C26">
        <w:trPr>
          <w:trHeight w:val="240"/>
        </w:trPr>
        <w:tc>
          <w:tcPr>
            <w:tcW w:w="3441" w:type="dxa"/>
            <w:tcBorders>
              <w:top w:val="nil"/>
              <w:left w:val="nil"/>
              <w:bottom w:val="nil"/>
              <w:right w:val="nil"/>
            </w:tcBorders>
            <w:shd w:val="clear" w:color="auto" w:fill="auto"/>
            <w:noWrap/>
            <w:vAlign w:val="bottom"/>
            <w:hideMark/>
          </w:tcPr>
          <w:p w14:paraId="4C4FC221"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Észak-Alföld</w:t>
            </w:r>
          </w:p>
        </w:tc>
        <w:tc>
          <w:tcPr>
            <w:tcW w:w="994" w:type="dxa"/>
            <w:tcBorders>
              <w:top w:val="nil"/>
              <w:left w:val="nil"/>
              <w:bottom w:val="nil"/>
              <w:right w:val="nil"/>
            </w:tcBorders>
            <w:shd w:val="clear" w:color="auto" w:fill="auto"/>
            <w:noWrap/>
            <w:vAlign w:val="bottom"/>
            <w:hideMark/>
          </w:tcPr>
          <w:p w14:paraId="2AD7558D"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-0.0207</w:t>
            </w:r>
          </w:p>
        </w:tc>
        <w:tc>
          <w:tcPr>
            <w:tcW w:w="1057" w:type="dxa"/>
            <w:tcBorders>
              <w:top w:val="nil"/>
              <w:left w:val="nil"/>
              <w:bottom w:val="nil"/>
              <w:right w:val="nil"/>
            </w:tcBorders>
            <w:shd w:val="clear" w:color="auto" w:fill="auto"/>
            <w:noWrap/>
            <w:vAlign w:val="bottom"/>
            <w:hideMark/>
          </w:tcPr>
          <w:p w14:paraId="21F9D3D2"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-0.0244</w:t>
            </w:r>
          </w:p>
        </w:tc>
        <w:tc>
          <w:tcPr>
            <w:tcW w:w="1057" w:type="dxa"/>
            <w:tcBorders>
              <w:top w:val="nil"/>
              <w:left w:val="nil"/>
              <w:bottom w:val="nil"/>
              <w:right w:val="nil"/>
            </w:tcBorders>
            <w:shd w:val="clear" w:color="auto" w:fill="auto"/>
            <w:noWrap/>
            <w:vAlign w:val="bottom"/>
            <w:hideMark/>
          </w:tcPr>
          <w:p w14:paraId="083FF1B7"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-0.0254</w:t>
            </w:r>
          </w:p>
        </w:tc>
        <w:tc>
          <w:tcPr>
            <w:tcW w:w="1059" w:type="dxa"/>
            <w:tcBorders>
              <w:top w:val="nil"/>
              <w:left w:val="nil"/>
              <w:bottom w:val="nil"/>
              <w:right w:val="nil"/>
            </w:tcBorders>
            <w:shd w:val="clear" w:color="auto" w:fill="auto"/>
            <w:noWrap/>
            <w:vAlign w:val="bottom"/>
            <w:hideMark/>
          </w:tcPr>
          <w:p w14:paraId="1828A577"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-0.0245</w:t>
            </w:r>
          </w:p>
        </w:tc>
        <w:tc>
          <w:tcPr>
            <w:tcW w:w="1059" w:type="dxa"/>
            <w:tcBorders>
              <w:top w:val="nil"/>
              <w:left w:val="nil"/>
              <w:bottom w:val="nil"/>
              <w:right w:val="nil"/>
            </w:tcBorders>
            <w:shd w:val="clear" w:color="auto" w:fill="auto"/>
            <w:noWrap/>
            <w:vAlign w:val="bottom"/>
            <w:hideMark/>
          </w:tcPr>
          <w:p w14:paraId="6A60919B"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-0.0264</w:t>
            </w:r>
          </w:p>
        </w:tc>
        <w:tc>
          <w:tcPr>
            <w:tcW w:w="1014" w:type="dxa"/>
            <w:tcBorders>
              <w:top w:val="nil"/>
              <w:left w:val="nil"/>
              <w:bottom w:val="nil"/>
              <w:right w:val="nil"/>
            </w:tcBorders>
            <w:shd w:val="clear" w:color="auto" w:fill="auto"/>
            <w:noWrap/>
            <w:vAlign w:val="bottom"/>
            <w:hideMark/>
          </w:tcPr>
          <w:p w14:paraId="15BEDD2C"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-0.0310</w:t>
            </w:r>
          </w:p>
        </w:tc>
        <w:tc>
          <w:tcPr>
            <w:tcW w:w="1139" w:type="dxa"/>
            <w:tcBorders>
              <w:top w:val="nil"/>
              <w:left w:val="nil"/>
              <w:bottom w:val="nil"/>
              <w:right w:val="nil"/>
            </w:tcBorders>
            <w:shd w:val="clear" w:color="auto" w:fill="auto"/>
            <w:noWrap/>
            <w:vAlign w:val="bottom"/>
            <w:hideMark/>
          </w:tcPr>
          <w:p w14:paraId="5637B01C"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-0.167</w:t>
            </w:r>
          </w:p>
        </w:tc>
      </w:tr>
      <w:tr w:rsidR="00585C26" w:rsidRPr="00986F85" w14:paraId="7C6E7C7F" w14:textId="77777777" w:rsidTr="00585C26">
        <w:trPr>
          <w:trHeight w:val="260"/>
        </w:trPr>
        <w:tc>
          <w:tcPr>
            <w:tcW w:w="3441" w:type="dxa"/>
            <w:tcBorders>
              <w:top w:val="nil"/>
              <w:left w:val="nil"/>
              <w:bottom w:val="nil"/>
              <w:right w:val="nil"/>
            </w:tcBorders>
            <w:shd w:val="clear" w:color="auto" w:fill="auto"/>
            <w:noWrap/>
            <w:vAlign w:val="bottom"/>
            <w:hideMark/>
          </w:tcPr>
          <w:p w14:paraId="159BDD2E" w14:textId="77777777" w:rsidR="00585C26" w:rsidRPr="00986F85" w:rsidRDefault="00585C26" w:rsidP="00585C26">
            <w:pPr>
              <w:suppressAutoHyphens w:val="0"/>
              <w:spacing w:after="0" w:line="240" w:lineRule="auto"/>
              <w:rPr>
                <w:rFonts w:eastAsia="Times New Roman" w:cs="Arial"/>
                <w:sz w:val="20"/>
                <w:szCs w:val="20"/>
                <w:lang w:val="en-US" w:eastAsia="en-US"/>
              </w:rPr>
            </w:pPr>
          </w:p>
        </w:tc>
        <w:tc>
          <w:tcPr>
            <w:tcW w:w="994" w:type="dxa"/>
            <w:tcBorders>
              <w:top w:val="nil"/>
              <w:left w:val="nil"/>
              <w:bottom w:val="nil"/>
              <w:right w:val="nil"/>
            </w:tcBorders>
            <w:shd w:val="clear" w:color="auto" w:fill="auto"/>
            <w:noWrap/>
            <w:vAlign w:val="bottom"/>
            <w:hideMark/>
          </w:tcPr>
          <w:p w14:paraId="1780ECBA"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(0.0490)</w:t>
            </w:r>
          </w:p>
        </w:tc>
        <w:tc>
          <w:tcPr>
            <w:tcW w:w="1057" w:type="dxa"/>
            <w:tcBorders>
              <w:top w:val="nil"/>
              <w:left w:val="nil"/>
              <w:bottom w:val="nil"/>
              <w:right w:val="nil"/>
            </w:tcBorders>
            <w:shd w:val="clear" w:color="auto" w:fill="auto"/>
            <w:noWrap/>
            <w:vAlign w:val="bottom"/>
            <w:hideMark/>
          </w:tcPr>
          <w:p w14:paraId="48066C31"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(0.0506)</w:t>
            </w:r>
          </w:p>
        </w:tc>
        <w:tc>
          <w:tcPr>
            <w:tcW w:w="1057" w:type="dxa"/>
            <w:tcBorders>
              <w:top w:val="nil"/>
              <w:left w:val="nil"/>
              <w:bottom w:val="nil"/>
              <w:right w:val="nil"/>
            </w:tcBorders>
            <w:shd w:val="clear" w:color="auto" w:fill="auto"/>
            <w:noWrap/>
            <w:vAlign w:val="bottom"/>
            <w:hideMark/>
          </w:tcPr>
          <w:p w14:paraId="39717EB9"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(0.0506)</w:t>
            </w:r>
          </w:p>
        </w:tc>
        <w:tc>
          <w:tcPr>
            <w:tcW w:w="1059" w:type="dxa"/>
            <w:tcBorders>
              <w:top w:val="nil"/>
              <w:left w:val="nil"/>
              <w:bottom w:val="nil"/>
              <w:right w:val="nil"/>
            </w:tcBorders>
            <w:shd w:val="clear" w:color="auto" w:fill="auto"/>
            <w:noWrap/>
            <w:vAlign w:val="bottom"/>
            <w:hideMark/>
          </w:tcPr>
          <w:p w14:paraId="521760C3"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(0.0506)</w:t>
            </w:r>
          </w:p>
        </w:tc>
        <w:tc>
          <w:tcPr>
            <w:tcW w:w="1059" w:type="dxa"/>
            <w:tcBorders>
              <w:top w:val="nil"/>
              <w:left w:val="nil"/>
              <w:bottom w:val="nil"/>
              <w:right w:val="nil"/>
            </w:tcBorders>
            <w:shd w:val="clear" w:color="auto" w:fill="auto"/>
            <w:noWrap/>
            <w:vAlign w:val="bottom"/>
            <w:hideMark/>
          </w:tcPr>
          <w:p w14:paraId="65E805B5"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(0.0527)</w:t>
            </w:r>
          </w:p>
        </w:tc>
        <w:tc>
          <w:tcPr>
            <w:tcW w:w="1014" w:type="dxa"/>
            <w:tcBorders>
              <w:top w:val="nil"/>
              <w:left w:val="nil"/>
              <w:bottom w:val="nil"/>
              <w:right w:val="nil"/>
            </w:tcBorders>
            <w:shd w:val="clear" w:color="auto" w:fill="auto"/>
            <w:noWrap/>
            <w:vAlign w:val="bottom"/>
            <w:hideMark/>
          </w:tcPr>
          <w:p w14:paraId="112FEE0A"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(0.0524)</w:t>
            </w:r>
          </w:p>
        </w:tc>
        <w:tc>
          <w:tcPr>
            <w:tcW w:w="1139" w:type="dxa"/>
            <w:tcBorders>
              <w:top w:val="nil"/>
              <w:left w:val="nil"/>
              <w:bottom w:val="nil"/>
              <w:right w:val="nil"/>
            </w:tcBorders>
            <w:shd w:val="clear" w:color="auto" w:fill="auto"/>
            <w:noWrap/>
            <w:vAlign w:val="bottom"/>
            <w:hideMark/>
          </w:tcPr>
          <w:p w14:paraId="76CB9DB7"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(0.116)</w:t>
            </w:r>
          </w:p>
        </w:tc>
      </w:tr>
      <w:tr w:rsidR="00585C26" w:rsidRPr="00986F85" w14:paraId="030AE292" w14:textId="77777777" w:rsidTr="00585C26">
        <w:trPr>
          <w:trHeight w:val="260"/>
        </w:trPr>
        <w:tc>
          <w:tcPr>
            <w:tcW w:w="3441" w:type="dxa"/>
            <w:tcBorders>
              <w:top w:val="single" w:sz="8" w:space="0" w:color="BFBFBF"/>
              <w:left w:val="single" w:sz="8" w:space="0" w:color="BFBFBF"/>
              <w:bottom w:val="single" w:sz="8" w:space="0" w:color="BFBFBF"/>
              <w:right w:val="single" w:sz="8" w:space="0" w:color="BFBFBF"/>
            </w:tcBorders>
            <w:shd w:val="clear" w:color="000000" w:fill="FFFFFF"/>
            <w:vAlign w:val="center"/>
            <w:hideMark/>
          </w:tcPr>
          <w:p w14:paraId="35AB20A1"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Vállalat kora</w:t>
            </w:r>
          </w:p>
        </w:tc>
        <w:tc>
          <w:tcPr>
            <w:tcW w:w="994" w:type="dxa"/>
            <w:tcBorders>
              <w:top w:val="nil"/>
              <w:left w:val="nil"/>
              <w:bottom w:val="nil"/>
              <w:right w:val="nil"/>
            </w:tcBorders>
            <w:shd w:val="clear" w:color="auto" w:fill="auto"/>
            <w:noWrap/>
            <w:vAlign w:val="bottom"/>
            <w:hideMark/>
          </w:tcPr>
          <w:p w14:paraId="010F8A26"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0.00167</w:t>
            </w:r>
          </w:p>
        </w:tc>
        <w:tc>
          <w:tcPr>
            <w:tcW w:w="1057" w:type="dxa"/>
            <w:tcBorders>
              <w:top w:val="nil"/>
              <w:left w:val="nil"/>
              <w:bottom w:val="nil"/>
              <w:right w:val="nil"/>
            </w:tcBorders>
            <w:shd w:val="clear" w:color="auto" w:fill="auto"/>
            <w:noWrap/>
            <w:vAlign w:val="bottom"/>
            <w:hideMark/>
          </w:tcPr>
          <w:p w14:paraId="4C33761F"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0.0131</w:t>
            </w:r>
          </w:p>
        </w:tc>
        <w:tc>
          <w:tcPr>
            <w:tcW w:w="1057" w:type="dxa"/>
            <w:tcBorders>
              <w:top w:val="nil"/>
              <w:left w:val="nil"/>
              <w:bottom w:val="nil"/>
              <w:right w:val="nil"/>
            </w:tcBorders>
            <w:shd w:val="clear" w:color="auto" w:fill="auto"/>
            <w:noWrap/>
            <w:vAlign w:val="bottom"/>
            <w:hideMark/>
          </w:tcPr>
          <w:p w14:paraId="6D476471"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0.0121</w:t>
            </w:r>
          </w:p>
        </w:tc>
        <w:tc>
          <w:tcPr>
            <w:tcW w:w="1059" w:type="dxa"/>
            <w:tcBorders>
              <w:top w:val="nil"/>
              <w:left w:val="nil"/>
              <w:bottom w:val="nil"/>
              <w:right w:val="nil"/>
            </w:tcBorders>
            <w:shd w:val="clear" w:color="auto" w:fill="auto"/>
            <w:noWrap/>
            <w:vAlign w:val="bottom"/>
            <w:hideMark/>
          </w:tcPr>
          <w:p w14:paraId="66E53EE8"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0.0123</w:t>
            </w:r>
          </w:p>
        </w:tc>
        <w:tc>
          <w:tcPr>
            <w:tcW w:w="1059" w:type="dxa"/>
            <w:tcBorders>
              <w:top w:val="nil"/>
              <w:left w:val="nil"/>
              <w:bottom w:val="nil"/>
              <w:right w:val="nil"/>
            </w:tcBorders>
            <w:shd w:val="clear" w:color="auto" w:fill="auto"/>
            <w:noWrap/>
            <w:vAlign w:val="bottom"/>
            <w:hideMark/>
          </w:tcPr>
          <w:p w14:paraId="03AB2DDD"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-0.0257***</w:t>
            </w:r>
          </w:p>
        </w:tc>
        <w:tc>
          <w:tcPr>
            <w:tcW w:w="1014" w:type="dxa"/>
            <w:tcBorders>
              <w:top w:val="nil"/>
              <w:left w:val="nil"/>
              <w:bottom w:val="nil"/>
              <w:right w:val="nil"/>
            </w:tcBorders>
            <w:shd w:val="clear" w:color="auto" w:fill="auto"/>
            <w:noWrap/>
            <w:vAlign w:val="bottom"/>
            <w:hideMark/>
          </w:tcPr>
          <w:p w14:paraId="590B3A1F"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-0.0227**</w:t>
            </w:r>
          </w:p>
        </w:tc>
        <w:tc>
          <w:tcPr>
            <w:tcW w:w="1139" w:type="dxa"/>
            <w:tcBorders>
              <w:top w:val="nil"/>
              <w:left w:val="nil"/>
              <w:bottom w:val="nil"/>
              <w:right w:val="nil"/>
            </w:tcBorders>
            <w:shd w:val="clear" w:color="auto" w:fill="auto"/>
            <w:noWrap/>
            <w:vAlign w:val="bottom"/>
            <w:hideMark/>
          </w:tcPr>
          <w:p w14:paraId="1EC19201"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-0.00987</w:t>
            </w:r>
          </w:p>
        </w:tc>
      </w:tr>
      <w:tr w:rsidR="00585C26" w:rsidRPr="00986F85" w14:paraId="647E17FE" w14:textId="77777777" w:rsidTr="00585C26">
        <w:trPr>
          <w:trHeight w:hRule="exact" w:val="260"/>
        </w:trPr>
        <w:tc>
          <w:tcPr>
            <w:tcW w:w="3441" w:type="dxa"/>
            <w:tcBorders>
              <w:top w:val="nil"/>
              <w:left w:val="single" w:sz="8" w:space="0" w:color="BFBFBF"/>
              <w:bottom w:val="single" w:sz="8" w:space="0" w:color="BFBFBF"/>
              <w:right w:val="single" w:sz="8" w:space="0" w:color="BFBFBF"/>
            </w:tcBorders>
            <w:shd w:val="clear" w:color="000000" w:fill="FFFFFF"/>
            <w:vAlign w:val="center"/>
            <w:hideMark/>
          </w:tcPr>
          <w:p w14:paraId="53A2A2FA"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 </w:t>
            </w:r>
          </w:p>
        </w:tc>
        <w:tc>
          <w:tcPr>
            <w:tcW w:w="994" w:type="dxa"/>
            <w:tcBorders>
              <w:top w:val="nil"/>
              <w:left w:val="nil"/>
              <w:bottom w:val="nil"/>
              <w:right w:val="nil"/>
            </w:tcBorders>
            <w:shd w:val="clear" w:color="auto" w:fill="auto"/>
            <w:noWrap/>
            <w:vAlign w:val="bottom"/>
            <w:hideMark/>
          </w:tcPr>
          <w:p w14:paraId="2153238C"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(0.00766)</w:t>
            </w:r>
          </w:p>
        </w:tc>
        <w:tc>
          <w:tcPr>
            <w:tcW w:w="1057" w:type="dxa"/>
            <w:tcBorders>
              <w:top w:val="nil"/>
              <w:left w:val="nil"/>
              <w:bottom w:val="nil"/>
              <w:right w:val="nil"/>
            </w:tcBorders>
            <w:shd w:val="clear" w:color="auto" w:fill="auto"/>
            <w:noWrap/>
            <w:vAlign w:val="bottom"/>
            <w:hideMark/>
          </w:tcPr>
          <w:p w14:paraId="0D876A5C"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(0.00848)</w:t>
            </w:r>
          </w:p>
        </w:tc>
        <w:tc>
          <w:tcPr>
            <w:tcW w:w="1057" w:type="dxa"/>
            <w:tcBorders>
              <w:top w:val="nil"/>
              <w:left w:val="nil"/>
              <w:bottom w:val="nil"/>
              <w:right w:val="nil"/>
            </w:tcBorders>
            <w:shd w:val="clear" w:color="auto" w:fill="auto"/>
            <w:noWrap/>
            <w:vAlign w:val="bottom"/>
            <w:hideMark/>
          </w:tcPr>
          <w:p w14:paraId="1F07FD40"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(0.00849)</w:t>
            </w:r>
          </w:p>
        </w:tc>
        <w:tc>
          <w:tcPr>
            <w:tcW w:w="1059" w:type="dxa"/>
            <w:tcBorders>
              <w:top w:val="nil"/>
              <w:left w:val="nil"/>
              <w:bottom w:val="nil"/>
              <w:right w:val="nil"/>
            </w:tcBorders>
            <w:shd w:val="clear" w:color="auto" w:fill="auto"/>
            <w:noWrap/>
            <w:vAlign w:val="bottom"/>
            <w:hideMark/>
          </w:tcPr>
          <w:p w14:paraId="108B5213"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(0.00850)</w:t>
            </w:r>
          </w:p>
        </w:tc>
        <w:tc>
          <w:tcPr>
            <w:tcW w:w="1059" w:type="dxa"/>
            <w:tcBorders>
              <w:top w:val="nil"/>
              <w:left w:val="nil"/>
              <w:bottom w:val="nil"/>
              <w:right w:val="nil"/>
            </w:tcBorders>
            <w:shd w:val="clear" w:color="auto" w:fill="auto"/>
            <w:noWrap/>
            <w:vAlign w:val="bottom"/>
            <w:hideMark/>
          </w:tcPr>
          <w:p w14:paraId="4BD863DD"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(0.00898)</w:t>
            </w:r>
          </w:p>
        </w:tc>
        <w:tc>
          <w:tcPr>
            <w:tcW w:w="1014" w:type="dxa"/>
            <w:tcBorders>
              <w:top w:val="nil"/>
              <w:left w:val="nil"/>
              <w:bottom w:val="nil"/>
              <w:right w:val="nil"/>
            </w:tcBorders>
            <w:shd w:val="clear" w:color="auto" w:fill="auto"/>
            <w:noWrap/>
            <w:vAlign w:val="bottom"/>
            <w:hideMark/>
          </w:tcPr>
          <w:p w14:paraId="477C01A2"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(0.00894)</w:t>
            </w:r>
          </w:p>
        </w:tc>
        <w:tc>
          <w:tcPr>
            <w:tcW w:w="1139" w:type="dxa"/>
            <w:tcBorders>
              <w:top w:val="nil"/>
              <w:left w:val="nil"/>
              <w:bottom w:val="nil"/>
              <w:right w:val="nil"/>
            </w:tcBorders>
            <w:shd w:val="clear" w:color="auto" w:fill="auto"/>
            <w:noWrap/>
            <w:vAlign w:val="bottom"/>
            <w:hideMark/>
          </w:tcPr>
          <w:p w14:paraId="7B57705A"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(0.0205)</w:t>
            </w:r>
          </w:p>
        </w:tc>
      </w:tr>
      <w:tr w:rsidR="00585C26" w:rsidRPr="00986F85" w14:paraId="663BD836" w14:textId="77777777" w:rsidTr="00585C26">
        <w:trPr>
          <w:trHeight w:hRule="exact" w:val="260"/>
        </w:trPr>
        <w:tc>
          <w:tcPr>
            <w:tcW w:w="3441" w:type="dxa"/>
            <w:tcBorders>
              <w:top w:val="nil"/>
              <w:left w:val="single" w:sz="8" w:space="0" w:color="BFBFBF"/>
              <w:bottom w:val="single" w:sz="8" w:space="0" w:color="BFBFBF"/>
              <w:right w:val="single" w:sz="8" w:space="0" w:color="BFBFBF"/>
            </w:tcBorders>
            <w:shd w:val="clear" w:color="000000" w:fill="FFFFFF"/>
            <w:vAlign w:val="center"/>
            <w:hideMark/>
          </w:tcPr>
          <w:p w14:paraId="546B494F"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Vállalat kora – négyzetes tag</w:t>
            </w:r>
          </w:p>
        </w:tc>
        <w:tc>
          <w:tcPr>
            <w:tcW w:w="994" w:type="dxa"/>
            <w:tcBorders>
              <w:top w:val="nil"/>
              <w:left w:val="nil"/>
              <w:bottom w:val="nil"/>
              <w:right w:val="nil"/>
            </w:tcBorders>
            <w:shd w:val="clear" w:color="auto" w:fill="auto"/>
            <w:noWrap/>
            <w:vAlign w:val="bottom"/>
            <w:hideMark/>
          </w:tcPr>
          <w:p w14:paraId="32E833F7"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0.000322</w:t>
            </w:r>
          </w:p>
        </w:tc>
        <w:tc>
          <w:tcPr>
            <w:tcW w:w="1057" w:type="dxa"/>
            <w:tcBorders>
              <w:top w:val="nil"/>
              <w:left w:val="nil"/>
              <w:bottom w:val="nil"/>
              <w:right w:val="nil"/>
            </w:tcBorders>
            <w:shd w:val="clear" w:color="auto" w:fill="auto"/>
            <w:noWrap/>
            <w:vAlign w:val="bottom"/>
            <w:hideMark/>
          </w:tcPr>
          <w:p w14:paraId="111E6386"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-0.000776*</w:t>
            </w:r>
          </w:p>
        </w:tc>
        <w:tc>
          <w:tcPr>
            <w:tcW w:w="1057" w:type="dxa"/>
            <w:tcBorders>
              <w:top w:val="nil"/>
              <w:left w:val="nil"/>
              <w:bottom w:val="nil"/>
              <w:right w:val="nil"/>
            </w:tcBorders>
            <w:shd w:val="clear" w:color="auto" w:fill="auto"/>
            <w:noWrap/>
            <w:vAlign w:val="bottom"/>
            <w:hideMark/>
          </w:tcPr>
          <w:p w14:paraId="55DCC885"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-0.000717*</w:t>
            </w:r>
          </w:p>
        </w:tc>
        <w:tc>
          <w:tcPr>
            <w:tcW w:w="1059" w:type="dxa"/>
            <w:tcBorders>
              <w:top w:val="nil"/>
              <w:left w:val="nil"/>
              <w:bottom w:val="nil"/>
              <w:right w:val="nil"/>
            </w:tcBorders>
            <w:shd w:val="clear" w:color="auto" w:fill="auto"/>
            <w:noWrap/>
            <w:vAlign w:val="bottom"/>
            <w:hideMark/>
          </w:tcPr>
          <w:p w14:paraId="1205830A"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-0.000737*</w:t>
            </w:r>
          </w:p>
        </w:tc>
        <w:tc>
          <w:tcPr>
            <w:tcW w:w="1059" w:type="dxa"/>
            <w:tcBorders>
              <w:top w:val="nil"/>
              <w:left w:val="nil"/>
              <w:bottom w:val="nil"/>
              <w:right w:val="nil"/>
            </w:tcBorders>
            <w:shd w:val="clear" w:color="auto" w:fill="auto"/>
            <w:noWrap/>
            <w:vAlign w:val="bottom"/>
            <w:hideMark/>
          </w:tcPr>
          <w:p w14:paraId="7880DF9C"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0.000612</w:t>
            </w:r>
          </w:p>
        </w:tc>
        <w:tc>
          <w:tcPr>
            <w:tcW w:w="1014" w:type="dxa"/>
            <w:tcBorders>
              <w:top w:val="nil"/>
              <w:left w:val="nil"/>
              <w:bottom w:val="nil"/>
              <w:right w:val="nil"/>
            </w:tcBorders>
            <w:shd w:val="clear" w:color="auto" w:fill="auto"/>
            <w:noWrap/>
            <w:vAlign w:val="bottom"/>
            <w:hideMark/>
          </w:tcPr>
          <w:p w14:paraId="030F60BB"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0.000550</w:t>
            </w:r>
          </w:p>
        </w:tc>
        <w:tc>
          <w:tcPr>
            <w:tcW w:w="1139" w:type="dxa"/>
            <w:tcBorders>
              <w:top w:val="nil"/>
              <w:left w:val="nil"/>
              <w:bottom w:val="nil"/>
              <w:right w:val="nil"/>
            </w:tcBorders>
            <w:shd w:val="clear" w:color="auto" w:fill="auto"/>
            <w:noWrap/>
            <w:vAlign w:val="bottom"/>
            <w:hideMark/>
          </w:tcPr>
          <w:p w14:paraId="7FFE9F8D"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-0.000516</w:t>
            </w:r>
          </w:p>
        </w:tc>
      </w:tr>
      <w:tr w:rsidR="00585C26" w:rsidRPr="00986F85" w14:paraId="0E8A2E58" w14:textId="77777777" w:rsidTr="00585C26">
        <w:trPr>
          <w:trHeight w:hRule="exact" w:val="260"/>
        </w:trPr>
        <w:tc>
          <w:tcPr>
            <w:tcW w:w="3441" w:type="dxa"/>
            <w:tcBorders>
              <w:top w:val="nil"/>
              <w:left w:val="single" w:sz="8" w:space="0" w:color="BFBFBF"/>
              <w:bottom w:val="single" w:sz="8" w:space="0" w:color="BFBFBF"/>
              <w:right w:val="single" w:sz="8" w:space="0" w:color="BFBFBF"/>
            </w:tcBorders>
            <w:shd w:val="clear" w:color="000000" w:fill="FFFFFF"/>
            <w:vAlign w:val="center"/>
            <w:hideMark/>
          </w:tcPr>
          <w:p w14:paraId="20E2876E"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 </w:t>
            </w:r>
          </w:p>
        </w:tc>
        <w:tc>
          <w:tcPr>
            <w:tcW w:w="994" w:type="dxa"/>
            <w:tcBorders>
              <w:top w:val="nil"/>
              <w:left w:val="nil"/>
              <w:bottom w:val="nil"/>
              <w:right w:val="nil"/>
            </w:tcBorders>
            <w:shd w:val="clear" w:color="auto" w:fill="auto"/>
            <w:noWrap/>
            <w:vAlign w:val="bottom"/>
            <w:hideMark/>
          </w:tcPr>
          <w:p w14:paraId="2D724B72"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(0.000371)</w:t>
            </w:r>
          </w:p>
        </w:tc>
        <w:tc>
          <w:tcPr>
            <w:tcW w:w="1057" w:type="dxa"/>
            <w:tcBorders>
              <w:top w:val="nil"/>
              <w:left w:val="nil"/>
              <w:bottom w:val="nil"/>
              <w:right w:val="nil"/>
            </w:tcBorders>
            <w:shd w:val="clear" w:color="auto" w:fill="auto"/>
            <w:noWrap/>
            <w:vAlign w:val="bottom"/>
            <w:hideMark/>
          </w:tcPr>
          <w:p w14:paraId="14C52F01"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(0.000428)</w:t>
            </w:r>
          </w:p>
        </w:tc>
        <w:tc>
          <w:tcPr>
            <w:tcW w:w="1057" w:type="dxa"/>
            <w:tcBorders>
              <w:top w:val="nil"/>
              <w:left w:val="nil"/>
              <w:bottom w:val="nil"/>
              <w:right w:val="nil"/>
            </w:tcBorders>
            <w:shd w:val="clear" w:color="auto" w:fill="auto"/>
            <w:noWrap/>
            <w:vAlign w:val="bottom"/>
            <w:hideMark/>
          </w:tcPr>
          <w:p w14:paraId="6BA903FD"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(0.000429)</w:t>
            </w:r>
          </w:p>
        </w:tc>
        <w:tc>
          <w:tcPr>
            <w:tcW w:w="1059" w:type="dxa"/>
            <w:tcBorders>
              <w:top w:val="nil"/>
              <w:left w:val="nil"/>
              <w:bottom w:val="nil"/>
              <w:right w:val="nil"/>
            </w:tcBorders>
            <w:shd w:val="clear" w:color="auto" w:fill="auto"/>
            <w:noWrap/>
            <w:vAlign w:val="bottom"/>
            <w:hideMark/>
          </w:tcPr>
          <w:p w14:paraId="4E0AFDD1"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(0.000429)</w:t>
            </w:r>
          </w:p>
        </w:tc>
        <w:tc>
          <w:tcPr>
            <w:tcW w:w="1059" w:type="dxa"/>
            <w:tcBorders>
              <w:top w:val="nil"/>
              <w:left w:val="nil"/>
              <w:bottom w:val="nil"/>
              <w:right w:val="nil"/>
            </w:tcBorders>
            <w:shd w:val="clear" w:color="auto" w:fill="auto"/>
            <w:noWrap/>
            <w:vAlign w:val="bottom"/>
            <w:hideMark/>
          </w:tcPr>
          <w:p w14:paraId="16B80CFA"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(0.000444)</w:t>
            </w:r>
          </w:p>
        </w:tc>
        <w:tc>
          <w:tcPr>
            <w:tcW w:w="1014" w:type="dxa"/>
            <w:tcBorders>
              <w:top w:val="nil"/>
              <w:left w:val="nil"/>
              <w:bottom w:val="nil"/>
              <w:right w:val="nil"/>
            </w:tcBorders>
            <w:shd w:val="clear" w:color="auto" w:fill="auto"/>
            <w:noWrap/>
            <w:vAlign w:val="bottom"/>
            <w:hideMark/>
          </w:tcPr>
          <w:p w14:paraId="2DD68254"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(0.000443)</w:t>
            </w:r>
          </w:p>
        </w:tc>
        <w:tc>
          <w:tcPr>
            <w:tcW w:w="1139" w:type="dxa"/>
            <w:tcBorders>
              <w:top w:val="nil"/>
              <w:left w:val="nil"/>
              <w:bottom w:val="nil"/>
              <w:right w:val="nil"/>
            </w:tcBorders>
            <w:shd w:val="clear" w:color="auto" w:fill="auto"/>
            <w:noWrap/>
            <w:vAlign w:val="bottom"/>
            <w:hideMark/>
          </w:tcPr>
          <w:p w14:paraId="19528A23"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(0.00102)</w:t>
            </w:r>
          </w:p>
        </w:tc>
      </w:tr>
      <w:tr w:rsidR="00585C26" w:rsidRPr="00986F85" w14:paraId="12080A86" w14:textId="77777777" w:rsidTr="00585C26">
        <w:trPr>
          <w:trHeight w:hRule="exact" w:val="500"/>
        </w:trPr>
        <w:tc>
          <w:tcPr>
            <w:tcW w:w="3441" w:type="dxa"/>
            <w:tcBorders>
              <w:top w:val="nil"/>
              <w:left w:val="single" w:sz="8" w:space="0" w:color="BFBFBF"/>
              <w:bottom w:val="single" w:sz="8" w:space="0" w:color="BFBFBF"/>
              <w:right w:val="single" w:sz="8" w:space="0" w:color="BFBFBF"/>
            </w:tcBorders>
            <w:shd w:val="clear" w:color="000000" w:fill="FFFFFF"/>
            <w:vAlign w:val="center"/>
            <w:hideMark/>
          </w:tcPr>
          <w:p w14:paraId="6620A056"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Hátrányos helyzetű kistétségben található vállakozás (LHH33)</w:t>
            </w:r>
          </w:p>
        </w:tc>
        <w:tc>
          <w:tcPr>
            <w:tcW w:w="994" w:type="dxa"/>
            <w:tcBorders>
              <w:top w:val="nil"/>
              <w:left w:val="nil"/>
              <w:bottom w:val="nil"/>
              <w:right w:val="nil"/>
            </w:tcBorders>
            <w:shd w:val="clear" w:color="auto" w:fill="auto"/>
            <w:noWrap/>
            <w:vAlign w:val="bottom"/>
            <w:hideMark/>
          </w:tcPr>
          <w:p w14:paraId="0CB3F031"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0.118**</w:t>
            </w:r>
          </w:p>
        </w:tc>
        <w:tc>
          <w:tcPr>
            <w:tcW w:w="1057" w:type="dxa"/>
            <w:tcBorders>
              <w:top w:val="nil"/>
              <w:left w:val="nil"/>
              <w:bottom w:val="nil"/>
              <w:right w:val="nil"/>
            </w:tcBorders>
            <w:shd w:val="clear" w:color="auto" w:fill="auto"/>
            <w:noWrap/>
            <w:vAlign w:val="bottom"/>
            <w:hideMark/>
          </w:tcPr>
          <w:p w14:paraId="6E123F52"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0.102**</w:t>
            </w:r>
          </w:p>
        </w:tc>
        <w:tc>
          <w:tcPr>
            <w:tcW w:w="1057" w:type="dxa"/>
            <w:tcBorders>
              <w:top w:val="nil"/>
              <w:left w:val="nil"/>
              <w:bottom w:val="nil"/>
              <w:right w:val="nil"/>
            </w:tcBorders>
            <w:shd w:val="clear" w:color="auto" w:fill="auto"/>
            <w:noWrap/>
            <w:vAlign w:val="bottom"/>
            <w:hideMark/>
          </w:tcPr>
          <w:p w14:paraId="4D141D7B"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0.104**</w:t>
            </w:r>
          </w:p>
        </w:tc>
        <w:tc>
          <w:tcPr>
            <w:tcW w:w="1059" w:type="dxa"/>
            <w:tcBorders>
              <w:top w:val="nil"/>
              <w:left w:val="nil"/>
              <w:bottom w:val="nil"/>
              <w:right w:val="nil"/>
            </w:tcBorders>
            <w:shd w:val="clear" w:color="auto" w:fill="auto"/>
            <w:noWrap/>
            <w:vAlign w:val="bottom"/>
            <w:hideMark/>
          </w:tcPr>
          <w:p w14:paraId="17BBD8B8"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0.102**</w:t>
            </w:r>
          </w:p>
        </w:tc>
        <w:tc>
          <w:tcPr>
            <w:tcW w:w="1059" w:type="dxa"/>
            <w:tcBorders>
              <w:top w:val="nil"/>
              <w:left w:val="nil"/>
              <w:bottom w:val="nil"/>
              <w:right w:val="nil"/>
            </w:tcBorders>
            <w:shd w:val="clear" w:color="auto" w:fill="auto"/>
            <w:noWrap/>
            <w:vAlign w:val="bottom"/>
            <w:hideMark/>
          </w:tcPr>
          <w:p w14:paraId="1C75C6F0"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0.103*</w:t>
            </w:r>
          </w:p>
        </w:tc>
        <w:tc>
          <w:tcPr>
            <w:tcW w:w="1014" w:type="dxa"/>
            <w:tcBorders>
              <w:top w:val="nil"/>
              <w:left w:val="nil"/>
              <w:bottom w:val="nil"/>
              <w:right w:val="nil"/>
            </w:tcBorders>
            <w:shd w:val="clear" w:color="auto" w:fill="auto"/>
            <w:noWrap/>
            <w:vAlign w:val="bottom"/>
            <w:hideMark/>
          </w:tcPr>
          <w:p w14:paraId="6D5DB296"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0.0996*</w:t>
            </w:r>
          </w:p>
        </w:tc>
        <w:tc>
          <w:tcPr>
            <w:tcW w:w="1139" w:type="dxa"/>
            <w:tcBorders>
              <w:top w:val="nil"/>
              <w:left w:val="nil"/>
              <w:bottom w:val="nil"/>
              <w:right w:val="nil"/>
            </w:tcBorders>
            <w:shd w:val="clear" w:color="auto" w:fill="auto"/>
            <w:noWrap/>
            <w:vAlign w:val="bottom"/>
            <w:hideMark/>
          </w:tcPr>
          <w:p w14:paraId="3E9916AF"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0.0493</w:t>
            </w:r>
          </w:p>
        </w:tc>
      </w:tr>
      <w:tr w:rsidR="00585C26" w:rsidRPr="00986F85" w14:paraId="4C7649B2" w14:textId="77777777" w:rsidTr="00585C26">
        <w:trPr>
          <w:trHeight w:hRule="exact" w:val="260"/>
        </w:trPr>
        <w:tc>
          <w:tcPr>
            <w:tcW w:w="3441" w:type="dxa"/>
            <w:tcBorders>
              <w:top w:val="nil"/>
              <w:left w:val="single" w:sz="8" w:space="0" w:color="BFBFBF"/>
              <w:bottom w:val="single" w:sz="8" w:space="0" w:color="BFBFBF"/>
              <w:right w:val="single" w:sz="8" w:space="0" w:color="BFBFBF"/>
            </w:tcBorders>
            <w:shd w:val="clear" w:color="000000" w:fill="FFFFFF"/>
            <w:vAlign w:val="center"/>
            <w:hideMark/>
          </w:tcPr>
          <w:p w14:paraId="59886D14"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 </w:t>
            </w:r>
          </w:p>
        </w:tc>
        <w:tc>
          <w:tcPr>
            <w:tcW w:w="994" w:type="dxa"/>
            <w:tcBorders>
              <w:top w:val="nil"/>
              <w:left w:val="nil"/>
              <w:bottom w:val="nil"/>
              <w:right w:val="nil"/>
            </w:tcBorders>
            <w:shd w:val="clear" w:color="auto" w:fill="auto"/>
            <w:noWrap/>
            <w:vAlign w:val="bottom"/>
            <w:hideMark/>
          </w:tcPr>
          <w:p w14:paraId="61CD6D28"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(0.0495)</w:t>
            </w:r>
          </w:p>
        </w:tc>
        <w:tc>
          <w:tcPr>
            <w:tcW w:w="1057" w:type="dxa"/>
            <w:tcBorders>
              <w:top w:val="nil"/>
              <w:left w:val="nil"/>
              <w:bottom w:val="nil"/>
              <w:right w:val="nil"/>
            </w:tcBorders>
            <w:shd w:val="clear" w:color="auto" w:fill="auto"/>
            <w:noWrap/>
            <w:vAlign w:val="bottom"/>
            <w:hideMark/>
          </w:tcPr>
          <w:p w14:paraId="20E19005"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(0.0510)</w:t>
            </w:r>
          </w:p>
        </w:tc>
        <w:tc>
          <w:tcPr>
            <w:tcW w:w="1057" w:type="dxa"/>
            <w:tcBorders>
              <w:top w:val="nil"/>
              <w:left w:val="nil"/>
              <w:bottom w:val="nil"/>
              <w:right w:val="nil"/>
            </w:tcBorders>
            <w:shd w:val="clear" w:color="auto" w:fill="auto"/>
            <w:noWrap/>
            <w:vAlign w:val="bottom"/>
            <w:hideMark/>
          </w:tcPr>
          <w:p w14:paraId="085EC64B"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(0.0510)</w:t>
            </w:r>
          </w:p>
        </w:tc>
        <w:tc>
          <w:tcPr>
            <w:tcW w:w="1059" w:type="dxa"/>
            <w:tcBorders>
              <w:top w:val="nil"/>
              <w:left w:val="nil"/>
              <w:bottom w:val="nil"/>
              <w:right w:val="nil"/>
            </w:tcBorders>
            <w:shd w:val="clear" w:color="auto" w:fill="auto"/>
            <w:noWrap/>
            <w:vAlign w:val="bottom"/>
            <w:hideMark/>
          </w:tcPr>
          <w:p w14:paraId="36E9E0BF"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(0.0510)</w:t>
            </w:r>
          </w:p>
        </w:tc>
        <w:tc>
          <w:tcPr>
            <w:tcW w:w="1059" w:type="dxa"/>
            <w:tcBorders>
              <w:top w:val="nil"/>
              <w:left w:val="nil"/>
              <w:bottom w:val="nil"/>
              <w:right w:val="nil"/>
            </w:tcBorders>
            <w:shd w:val="clear" w:color="auto" w:fill="auto"/>
            <w:noWrap/>
            <w:vAlign w:val="bottom"/>
            <w:hideMark/>
          </w:tcPr>
          <w:p w14:paraId="455FCD63"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(0.0529)</w:t>
            </w:r>
          </w:p>
        </w:tc>
        <w:tc>
          <w:tcPr>
            <w:tcW w:w="1014" w:type="dxa"/>
            <w:tcBorders>
              <w:top w:val="nil"/>
              <w:left w:val="nil"/>
              <w:bottom w:val="nil"/>
              <w:right w:val="nil"/>
            </w:tcBorders>
            <w:shd w:val="clear" w:color="auto" w:fill="auto"/>
            <w:noWrap/>
            <w:vAlign w:val="bottom"/>
            <w:hideMark/>
          </w:tcPr>
          <w:p w14:paraId="07572C2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(0.0527)</w:t>
            </w:r>
          </w:p>
        </w:tc>
        <w:tc>
          <w:tcPr>
            <w:tcW w:w="1139" w:type="dxa"/>
            <w:tcBorders>
              <w:top w:val="nil"/>
              <w:left w:val="nil"/>
              <w:bottom w:val="nil"/>
              <w:right w:val="nil"/>
            </w:tcBorders>
            <w:shd w:val="clear" w:color="auto" w:fill="auto"/>
            <w:noWrap/>
            <w:vAlign w:val="bottom"/>
            <w:hideMark/>
          </w:tcPr>
          <w:p w14:paraId="364692B0"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(0.115)</w:t>
            </w:r>
          </w:p>
        </w:tc>
      </w:tr>
      <w:tr w:rsidR="00585C26" w:rsidRPr="00986F85" w14:paraId="448B3F4F" w14:textId="77777777" w:rsidTr="00585C26">
        <w:trPr>
          <w:trHeight w:hRule="exact" w:val="260"/>
        </w:trPr>
        <w:tc>
          <w:tcPr>
            <w:tcW w:w="3441" w:type="dxa"/>
            <w:tcBorders>
              <w:top w:val="nil"/>
              <w:left w:val="single" w:sz="8" w:space="0" w:color="BFBFBF"/>
              <w:bottom w:val="single" w:sz="8" w:space="0" w:color="BFBFBF"/>
              <w:right w:val="single" w:sz="8" w:space="0" w:color="BFBFBF"/>
            </w:tcBorders>
            <w:shd w:val="clear" w:color="000000" w:fill="FFFFFF"/>
            <w:vAlign w:val="center"/>
            <w:hideMark/>
          </w:tcPr>
          <w:p w14:paraId="70F610BF"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 xml:space="preserve">Vállalatsűrűség </w:t>
            </w:r>
          </w:p>
        </w:tc>
        <w:tc>
          <w:tcPr>
            <w:tcW w:w="994" w:type="dxa"/>
            <w:tcBorders>
              <w:top w:val="nil"/>
              <w:left w:val="nil"/>
              <w:bottom w:val="nil"/>
              <w:right w:val="nil"/>
            </w:tcBorders>
            <w:shd w:val="clear" w:color="auto" w:fill="auto"/>
            <w:noWrap/>
            <w:vAlign w:val="bottom"/>
            <w:hideMark/>
          </w:tcPr>
          <w:p w14:paraId="2AED5C7C"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-0.171</w:t>
            </w:r>
          </w:p>
        </w:tc>
        <w:tc>
          <w:tcPr>
            <w:tcW w:w="1057" w:type="dxa"/>
            <w:tcBorders>
              <w:top w:val="nil"/>
              <w:left w:val="nil"/>
              <w:bottom w:val="nil"/>
              <w:right w:val="nil"/>
            </w:tcBorders>
            <w:shd w:val="clear" w:color="auto" w:fill="auto"/>
            <w:noWrap/>
            <w:vAlign w:val="bottom"/>
            <w:hideMark/>
          </w:tcPr>
          <w:p w14:paraId="6F01C681"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0.0196</w:t>
            </w:r>
          </w:p>
        </w:tc>
        <w:tc>
          <w:tcPr>
            <w:tcW w:w="1057" w:type="dxa"/>
            <w:tcBorders>
              <w:top w:val="nil"/>
              <w:left w:val="nil"/>
              <w:bottom w:val="nil"/>
              <w:right w:val="nil"/>
            </w:tcBorders>
            <w:shd w:val="clear" w:color="auto" w:fill="auto"/>
            <w:noWrap/>
            <w:vAlign w:val="bottom"/>
            <w:hideMark/>
          </w:tcPr>
          <w:p w14:paraId="32292B51"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0.00740</w:t>
            </w:r>
          </w:p>
        </w:tc>
        <w:tc>
          <w:tcPr>
            <w:tcW w:w="1059" w:type="dxa"/>
            <w:tcBorders>
              <w:top w:val="nil"/>
              <w:left w:val="nil"/>
              <w:bottom w:val="nil"/>
              <w:right w:val="nil"/>
            </w:tcBorders>
            <w:shd w:val="clear" w:color="auto" w:fill="auto"/>
            <w:noWrap/>
            <w:vAlign w:val="bottom"/>
            <w:hideMark/>
          </w:tcPr>
          <w:p w14:paraId="706F7DF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0.00253</w:t>
            </w:r>
          </w:p>
        </w:tc>
        <w:tc>
          <w:tcPr>
            <w:tcW w:w="1059" w:type="dxa"/>
            <w:tcBorders>
              <w:top w:val="nil"/>
              <w:left w:val="nil"/>
              <w:bottom w:val="nil"/>
              <w:right w:val="nil"/>
            </w:tcBorders>
            <w:shd w:val="clear" w:color="auto" w:fill="auto"/>
            <w:noWrap/>
            <w:vAlign w:val="bottom"/>
            <w:hideMark/>
          </w:tcPr>
          <w:p w14:paraId="004162A0"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-0.0154</w:t>
            </w:r>
          </w:p>
        </w:tc>
        <w:tc>
          <w:tcPr>
            <w:tcW w:w="1014" w:type="dxa"/>
            <w:tcBorders>
              <w:top w:val="nil"/>
              <w:left w:val="nil"/>
              <w:bottom w:val="nil"/>
              <w:right w:val="nil"/>
            </w:tcBorders>
            <w:shd w:val="clear" w:color="auto" w:fill="auto"/>
            <w:noWrap/>
            <w:vAlign w:val="bottom"/>
            <w:hideMark/>
          </w:tcPr>
          <w:p w14:paraId="67715696"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-0.0935</w:t>
            </w:r>
          </w:p>
        </w:tc>
        <w:tc>
          <w:tcPr>
            <w:tcW w:w="1139" w:type="dxa"/>
            <w:tcBorders>
              <w:top w:val="nil"/>
              <w:left w:val="nil"/>
              <w:bottom w:val="nil"/>
              <w:right w:val="nil"/>
            </w:tcBorders>
            <w:shd w:val="clear" w:color="auto" w:fill="auto"/>
            <w:noWrap/>
            <w:vAlign w:val="bottom"/>
            <w:hideMark/>
          </w:tcPr>
          <w:p w14:paraId="021396C2"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-1.050</w:t>
            </w:r>
          </w:p>
        </w:tc>
      </w:tr>
      <w:tr w:rsidR="00585C26" w:rsidRPr="00986F85" w14:paraId="61843CBB" w14:textId="77777777" w:rsidTr="00585C26">
        <w:trPr>
          <w:trHeight w:hRule="exact" w:val="260"/>
        </w:trPr>
        <w:tc>
          <w:tcPr>
            <w:tcW w:w="3441" w:type="dxa"/>
            <w:tcBorders>
              <w:top w:val="nil"/>
              <w:left w:val="single" w:sz="8" w:space="0" w:color="BFBFBF"/>
              <w:bottom w:val="single" w:sz="8" w:space="0" w:color="BFBFBF"/>
              <w:right w:val="single" w:sz="8" w:space="0" w:color="BFBFBF"/>
            </w:tcBorders>
            <w:shd w:val="clear" w:color="000000" w:fill="FFFFFF"/>
            <w:vAlign w:val="center"/>
            <w:hideMark/>
          </w:tcPr>
          <w:p w14:paraId="2D088156"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 </w:t>
            </w:r>
          </w:p>
        </w:tc>
        <w:tc>
          <w:tcPr>
            <w:tcW w:w="994" w:type="dxa"/>
            <w:tcBorders>
              <w:top w:val="nil"/>
              <w:left w:val="nil"/>
              <w:bottom w:val="nil"/>
              <w:right w:val="nil"/>
            </w:tcBorders>
            <w:shd w:val="clear" w:color="auto" w:fill="auto"/>
            <w:noWrap/>
            <w:vAlign w:val="bottom"/>
            <w:hideMark/>
          </w:tcPr>
          <w:p w14:paraId="3A567D3C"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(0.359)</w:t>
            </w:r>
          </w:p>
        </w:tc>
        <w:tc>
          <w:tcPr>
            <w:tcW w:w="1057" w:type="dxa"/>
            <w:tcBorders>
              <w:top w:val="nil"/>
              <w:left w:val="nil"/>
              <w:bottom w:val="nil"/>
              <w:right w:val="nil"/>
            </w:tcBorders>
            <w:shd w:val="clear" w:color="auto" w:fill="auto"/>
            <w:noWrap/>
            <w:vAlign w:val="bottom"/>
            <w:hideMark/>
          </w:tcPr>
          <w:p w14:paraId="230F3B18"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(0.373)</w:t>
            </w:r>
          </w:p>
        </w:tc>
        <w:tc>
          <w:tcPr>
            <w:tcW w:w="1057" w:type="dxa"/>
            <w:tcBorders>
              <w:top w:val="nil"/>
              <w:left w:val="nil"/>
              <w:bottom w:val="nil"/>
              <w:right w:val="nil"/>
            </w:tcBorders>
            <w:shd w:val="clear" w:color="auto" w:fill="auto"/>
            <w:noWrap/>
            <w:vAlign w:val="bottom"/>
            <w:hideMark/>
          </w:tcPr>
          <w:p w14:paraId="1A5AC876"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(0.374)</w:t>
            </w:r>
          </w:p>
        </w:tc>
        <w:tc>
          <w:tcPr>
            <w:tcW w:w="1059" w:type="dxa"/>
            <w:tcBorders>
              <w:top w:val="nil"/>
              <w:left w:val="nil"/>
              <w:bottom w:val="nil"/>
              <w:right w:val="nil"/>
            </w:tcBorders>
            <w:shd w:val="clear" w:color="auto" w:fill="auto"/>
            <w:noWrap/>
            <w:vAlign w:val="bottom"/>
            <w:hideMark/>
          </w:tcPr>
          <w:p w14:paraId="27C907F2"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(0.374)</w:t>
            </w:r>
          </w:p>
        </w:tc>
        <w:tc>
          <w:tcPr>
            <w:tcW w:w="1059" w:type="dxa"/>
            <w:tcBorders>
              <w:top w:val="nil"/>
              <w:left w:val="nil"/>
              <w:bottom w:val="nil"/>
              <w:right w:val="nil"/>
            </w:tcBorders>
            <w:shd w:val="clear" w:color="auto" w:fill="auto"/>
            <w:noWrap/>
            <w:vAlign w:val="bottom"/>
            <w:hideMark/>
          </w:tcPr>
          <w:p w14:paraId="6642A7C7"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(0.391)</w:t>
            </w:r>
          </w:p>
        </w:tc>
        <w:tc>
          <w:tcPr>
            <w:tcW w:w="1014" w:type="dxa"/>
            <w:tcBorders>
              <w:top w:val="nil"/>
              <w:left w:val="nil"/>
              <w:bottom w:val="nil"/>
              <w:right w:val="nil"/>
            </w:tcBorders>
            <w:shd w:val="clear" w:color="auto" w:fill="auto"/>
            <w:noWrap/>
            <w:vAlign w:val="bottom"/>
            <w:hideMark/>
          </w:tcPr>
          <w:p w14:paraId="262B6778"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(0.389)</w:t>
            </w:r>
          </w:p>
        </w:tc>
        <w:tc>
          <w:tcPr>
            <w:tcW w:w="1139" w:type="dxa"/>
            <w:tcBorders>
              <w:top w:val="nil"/>
              <w:left w:val="nil"/>
              <w:bottom w:val="nil"/>
              <w:right w:val="nil"/>
            </w:tcBorders>
            <w:shd w:val="clear" w:color="auto" w:fill="auto"/>
            <w:noWrap/>
            <w:vAlign w:val="bottom"/>
            <w:hideMark/>
          </w:tcPr>
          <w:p w14:paraId="6A2D28D4"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(0.786)</w:t>
            </w:r>
          </w:p>
        </w:tc>
      </w:tr>
      <w:tr w:rsidR="00585C26" w:rsidRPr="00986F85" w14:paraId="3C15906E" w14:textId="77777777" w:rsidTr="00585C26">
        <w:trPr>
          <w:trHeight w:val="240"/>
        </w:trPr>
        <w:tc>
          <w:tcPr>
            <w:tcW w:w="3441" w:type="dxa"/>
            <w:tcBorders>
              <w:top w:val="nil"/>
              <w:left w:val="nil"/>
              <w:bottom w:val="nil"/>
              <w:right w:val="nil"/>
            </w:tcBorders>
            <w:shd w:val="clear" w:color="auto" w:fill="auto"/>
            <w:noWrap/>
            <w:vAlign w:val="bottom"/>
            <w:hideMark/>
          </w:tcPr>
          <w:p w14:paraId="291ACB78"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 xml:space="preserve">Jegyzett tőke </w:t>
            </w:r>
          </w:p>
        </w:tc>
        <w:tc>
          <w:tcPr>
            <w:tcW w:w="994" w:type="dxa"/>
            <w:tcBorders>
              <w:top w:val="nil"/>
              <w:left w:val="nil"/>
              <w:bottom w:val="nil"/>
              <w:right w:val="nil"/>
            </w:tcBorders>
            <w:shd w:val="clear" w:color="auto" w:fill="auto"/>
            <w:noWrap/>
            <w:vAlign w:val="bottom"/>
            <w:hideMark/>
          </w:tcPr>
          <w:p w14:paraId="03FC85E7"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09A99117"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-8.81e-07***</w:t>
            </w:r>
          </w:p>
        </w:tc>
        <w:tc>
          <w:tcPr>
            <w:tcW w:w="1057" w:type="dxa"/>
            <w:tcBorders>
              <w:top w:val="nil"/>
              <w:left w:val="nil"/>
              <w:bottom w:val="nil"/>
              <w:right w:val="nil"/>
            </w:tcBorders>
            <w:shd w:val="clear" w:color="auto" w:fill="auto"/>
            <w:noWrap/>
            <w:vAlign w:val="bottom"/>
            <w:hideMark/>
          </w:tcPr>
          <w:p w14:paraId="492FCC3D"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-9.70e-07***</w:t>
            </w:r>
          </w:p>
        </w:tc>
        <w:tc>
          <w:tcPr>
            <w:tcW w:w="1059" w:type="dxa"/>
            <w:tcBorders>
              <w:top w:val="nil"/>
              <w:left w:val="nil"/>
              <w:bottom w:val="nil"/>
              <w:right w:val="nil"/>
            </w:tcBorders>
            <w:shd w:val="clear" w:color="auto" w:fill="auto"/>
            <w:noWrap/>
            <w:vAlign w:val="bottom"/>
            <w:hideMark/>
          </w:tcPr>
          <w:p w14:paraId="49BB126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-9.29e-07***</w:t>
            </w:r>
          </w:p>
        </w:tc>
        <w:tc>
          <w:tcPr>
            <w:tcW w:w="1059" w:type="dxa"/>
            <w:tcBorders>
              <w:top w:val="nil"/>
              <w:left w:val="nil"/>
              <w:bottom w:val="nil"/>
              <w:right w:val="nil"/>
            </w:tcBorders>
            <w:shd w:val="clear" w:color="auto" w:fill="auto"/>
            <w:noWrap/>
            <w:vAlign w:val="bottom"/>
            <w:hideMark/>
          </w:tcPr>
          <w:p w14:paraId="28BEF0BC"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14" w:type="dxa"/>
            <w:tcBorders>
              <w:top w:val="nil"/>
              <w:left w:val="nil"/>
              <w:bottom w:val="nil"/>
              <w:right w:val="nil"/>
            </w:tcBorders>
            <w:shd w:val="clear" w:color="auto" w:fill="auto"/>
            <w:noWrap/>
            <w:vAlign w:val="bottom"/>
            <w:hideMark/>
          </w:tcPr>
          <w:p w14:paraId="40262FEB"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139" w:type="dxa"/>
            <w:tcBorders>
              <w:top w:val="nil"/>
              <w:left w:val="nil"/>
              <w:bottom w:val="nil"/>
              <w:right w:val="nil"/>
            </w:tcBorders>
            <w:shd w:val="clear" w:color="auto" w:fill="auto"/>
            <w:noWrap/>
            <w:vAlign w:val="bottom"/>
            <w:hideMark/>
          </w:tcPr>
          <w:p w14:paraId="14091920"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r>
      <w:tr w:rsidR="00585C26" w:rsidRPr="00986F85" w14:paraId="3222F214" w14:textId="77777777" w:rsidTr="00585C26">
        <w:trPr>
          <w:trHeight w:val="240"/>
        </w:trPr>
        <w:tc>
          <w:tcPr>
            <w:tcW w:w="3441" w:type="dxa"/>
            <w:tcBorders>
              <w:top w:val="nil"/>
              <w:left w:val="nil"/>
              <w:bottom w:val="nil"/>
              <w:right w:val="nil"/>
            </w:tcBorders>
            <w:shd w:val="clear" w:color="auto" w:fill="auto"/>
            <w:noWrap/>
            <w:vAlign w:val="bottom"/>
            <w:hideMark/>
          </w:tcPr>
          <w:p w14:paraId="2252A175" w14:textId="77777777" w:rsidR="00585C26" w:rsidRPr="00986F85" w:rsidRDefault="00585C26" w:rsidP="00585C26">
            <w:pPr>
              <w:suppressAutoHyphens w:val="0"/>
              <w:spacing w:after="0" w:line="240" w:lineRule="auto"/>
              <w:rPr>
                <w:rFonts w:eastAsia="Times New Roman" w:cs="Arial"/>
                <w:sz w:val="20"/>
                <w:szCs w:val="20"/>
                <w:lang w:val="en-US" w:eastAsia="en-US"/>
              </w:rPr>
            </w:pPr>
          </w:p>
        </w:tc>
        <w:tc>
          <w:tcPr>
            <w:tcW w:w="994" w:type="dxa"/>
            <w:tcBorders>
              <w:top w:val="nil"/>
              <w:left w:val="nil"/>
              <w:bottom w:val="nil"/>
              <w:right w:val="nil"/>
            </w:tcBorders>
            <w:shd w:val="clear" w:color="auto" w:fill="auto"/>
            <w:noWrap/>
            <w:vAlign w:val="bottom"/>
            <w:hideMark/>
          </w:tcPr>
          <w:p w14:paraId="5708C2A5"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0620162D"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(1.90e-07)</w:t>
            </w:r>
          </w:p>
        </w:tc>
        <w:tc>
          <w:tcPr>
            <w:tcW w:w="1057" w:type="dxa"/>
            <w:tcBorders>
              <w:top w:val="nil"/>
              <w:left w:val="nil"/>
              <w:bottom w:val="nil"/>
              <w:right w:val="nil"/>
            </w:tcBorders>
            <w:shd w:val="clear" w:color="auto" w:fill="auto"/>
            <w:noWrap/>
            <w:vAlign w:val="bottom"/>
            <w:hideMark/>
          </w:tcPr>
          <w:p w14:paraId="17FF74D9"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(1.91e-07)</w:t>
            </w:r>
          </w:p>
        </w:tc>
        <w:tc>
          <w:tcPr>
            <w:tcW w:w="1059" w:type="dxa"/>
            <w:tcBorders>
              <w:top w:val="nil"/>
              <w:left w:val="nil"/>
              <w:bottom w:val="nil"/>
              <w:right w:val="nil"/>
            </w:tcBorders>
            <w:shd w:val="clear" w:color="auto" w:fill="auto"/>
            <w:noWrap/>
            <w:vAlign w:val="bottom"/>
            <w:hideMark/>
          </w:tcPr>
          <w:p w14:paraId="3E325AA9"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(1.90e-07)</w:t>
            </w:r>
          </w:p>
        </w:tc>
        <w:tc>
          <w:tcPr>
            <w:tcW w:w="1059" w:type="dxa"/>
            <w:tcBorders>
              <w:top w:val="nil"/>
              <w:left w:val="nil"/>
              <w:bottom w:val="nil"/>
              <w:right w:val="nil"/>
            </w:tcBorders>
            <w:shd w:val="clear" w:color="auto" w:fill="auto"/>
            <w:noWrap/>
            <w:vAlign w:val="bottom"/>
            <w:hideMark/>
          </w:tcPr>
          <w:p w14:paraId="2CCCD738"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14" w:type="dxa"/>
            <w:tcBorders>
              <w:top w:val="nil"/>
              <w:left w:val="nil"/>
              <w:bottom w:val="nil"/>
              <w:right w:val="nil"/>
            </w:tcBorders>
            <w:shd w:val="clear" w:color="auto" w:fill="auto"/>
            <w:noWrap/>
            <w:vAlign w:val="bottom"/>
            <w:hideMark/>
          </w:tcPr>
          <w:p w14:paraId="4969404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139" w:type="dxa"/>
            <w:tcBorders>
              <w:top w:val="nil"/>
              <w:left w:val="nil"/>
              <w:bottom w:val="nil"/>
              <w:right w:val="nil"/>
            </w:tcBorders>
            <w:shd w:val="clear" w:color="auto" w:fill="auto"/>
            <w:noWrap/>
            <w:vAlign w:val="bottom"/>
            <w:hideMark/>
          </w:tcPr>
          <w:p w14:paraId="65D4DCA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r>
      <w:tr w:rsidR="00585C26" w:rsidRPr="00986F85" w14:paraId="401E4DFF" w14:textId="77777777" w:rsidTr="00585C26">
        <w:trPr>
          <w:trHeight w:val="240"/>
        </w:trPr>
        <w:tc>
          <w:tcPr>
            <w:tcW w:w="3441" w:type="dxa"/>
            <w:tcBorders>
              <w:top w:val="nil"/>
              <w:left w:val="nil"/>
              <w:bottom w:val="nil"/>
              <w:right w:val="nil"/>
            </w:tcBorders>
            <w:shd w:val="clear" w:color="auto" w:fill="auto"/>
            <w:noWrap/>
            <w:vAlign w:val="bottom"/>
            <w:hideMark/>
          </w:tcPr>
          <w:p w14:paraId="01ADAE34"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Foglalkoztatotti létszám</w:t>
            </w:r>
          </w:p>
        </w:tc>
        <w:tc>
          <w:tcPr>
            <w:tcW w:w="994" w:type="dxa"/>
            <w:tcBorders>
              <w:top w:val="nil"/>
              <w:left w:val="nil"/>
              <w:bottom w:val="nil"/>
              <w:right w:val="nil"/>
            </w:tcBorders>
            <w:shd w:val="clear" w:color="auto" w:fill="auto"/>
            <w:noWrap/>
            <w:vAlign w:val="bottom"/>
            <w:hideMark/>
          </w:tcPr>
          <w:p w14:paraId="7F00B88F"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59B54494"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0.0162***</w:t>
            </w:r>
          </w:p>
        </w:tc>
        <w:tc>
          <w:tcPr>
            <w:tcW w:w="1057" w:type="dxa"/>
            <w:tcBorders>
              <w:top w:val="nil"/>
              <w:left w:val="nil"/>
              <w:bottom w:val="nil"/>
              <w:right w:val="nil"/>
            </w:tcBorders>
            <w:shd w:val="clear" w:color="auto" w:fill="auto"/>
            <w:noWrap/>
            <w:vAlign w:val="bottom"/>
            <w:hideMark/>
          </w:tcPr>
          <w:p w14:paraId="1A14D1A3"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0.0155***</w:t>
            </w:r>
          </w:p>
        </w:tc>
        <w:tc>
          <w:tcPr>
            <w:tcW w:w="1059" w:type="dxa"/>
            <w:tcBorders>
              <w:top w:val="nil"/>
              <w:left w:val="nil"/>
              <w:bottom w:val="nil"/>
              <w:right w:val="nil"/>
            </w:tcBorders>
            <w:shd w:val="clear" w:color="auto" w:fill="auto"/>
            <w:noWrap/>
            <w:vAlign w:val="bottom"/>
            <w:hideMark/>
          </w:tcPr>
          <w:p w14:paraId="2BBB14F6"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0.0157***</w:t>
            </w:r>
          </w:p>
        </w:tc>
        <w:tc>
          <w:tcPr>
            <w:tcW w:w="1059" w:type="dxa"/>
            <w:tcBorders>
              <w:top w:val="nil"/>
              <w:left w:val="nil"/>
              <w:bottom w:val="nil"/>
              <w:right w:val="nil"/>
            </w:tcBorders>
            <w:shd w:val="clear" w:color="auto" w:fill="auto"/>
            <w:noWrap/>
            <w:vAlign w:val="bottom"/>
            <w:hideMark/>
          </w:tcPr>
          <w:p w14:paraId="431FE46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-0.00638***</w:t>
            </w:r>
          </w:p>
        </w:tc>
        <w:tc>
          <w:tcPr>
            <w:tcW w:w="1014" w:type="dxa"/>
            <w:tcBorders>
              <w:top w:val="nil"/>
              <w:left w:val="nil"/>
              <w:bottom w:val="nil"/>
              <w:right w:val="nil"/>
            </w:tcBorders>
            <w:shd w:val="clear" w:color="auto" w:fill="auto"/>
            <w:noWrap/>
            <w:vAlign w:val="bottom"/>
            <w:hideMark/>
          </w:tcPr>
          <w:p w14:paraId="398B193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-0.000523</w:t>
            </w:r>
          </w:p>
        </w:tc>
        <w:tc>
          <w:tcPr>
            <w:tcW w:w="1139" w:type="dxa"/>
            <w:tcBorders>
              <w:top w:val="nil"/>
              <w:left w:val="nil"/>
              <w:bottom w:val="nil"/>
              <w:right w:val="nil"/>
            </w:tcBorders>
            <w:shd w:val="clear" w:color="auto" w:fill="auto"/>
            <w:noWrap/>
            <w:vAlign w:val="bottom"/>
            <w:hideMark/>
          </w:tcPr>
          <w:p w14:paraId="28542BBA"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-0.000780</w:t>
            </w:r>
          </w:p>
        </w:tc>
      </w:tr>
      <w:tr w:rsidR="00585C26" w:rsidRPr="00986F85" w14:paraId="61E5A5A5" w14:textId="77777777" w:rsidTr="00585C26">
        <w:trPr>
          <w:trHeight w:val="240"/>
        </w:trPr>
        <w:tc>
          <w:tcPr>
            <w:tcW w:w="3441" w:type="dxa"/>
            <w:tcBorders>
              <w:top w:val="nil"/>
              <w:left w:val="nil"/>
              <w:bottom w:val="nil"/>
              <w:right w:val="nil"/>
            </w:tcBorders>
            <w:shd w:val="clear" w:color="auto" w:fill="auto"/>
            <w:noWrap/>
            <w:vAlign w:val="bottom"/>
            <w:hideMark/>
          </w:tcPr>
          <w:p w14:paraId="65A2F7CA" w14:textId="77777777" w:rsidR="00585C26" w:rsidRPr="00986F85" w:rsidRDefault="00585C26" w:rsidP="00585C26">
            <w:pPr>
              <w:suppressAutoHyphens w:val="0"/>
              <w:spacing w:after="0" w:line="240" w:lineRule="auto"/>
              <w:rPr>
                <w:rFonts w:eastAsia="Times New Roman" w:cs="Arial"/>
                <w:sz w:val="20"/>
                <w:szCs w:val="20"/>
                <w:lang w:val="en-US" w:eastAsia="en-US"/>
              </w:rPr>
            </w:pPr>
          </w:p>
        </w:tc>
        <w:tc>
          <w:tcPr>
            <w:tcW w:w="994" w:type="dxa"/>
            <w:tcBorders>
              <w:top w:val="nil"/>
              <w:left w:val="nil"/>
              <w:bottom w:val="nil"/>
              <w:right w:val="nil"/>
            </w:tcBorders>
            <w:shd w:val="clear" w:color="auto" w:fill="auto"/>
            <w:noWrap/>
            <w:vAlign w:val="bottom"/>
            <w:hideMark/>
          </w:tcPr>
          <w:p w14:paraId="3808FD84"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4BF27177"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(0.00148)</w:t>
            </w:r>
          </w:p>
        </w:tc>
        <w:tc>
          <w:tcPr>
            <w:tcW w:w="1057" w:type="dxa"/>
            <w:tcBorders>
              <w:top w:val="nil"/>
              <w:left w:val="nil"/>
              <w:bottom w:val="nil"/>
              <w:right w:val="nil"/>
            </w:tcBorders>
            <w:shd w:val="clear" w:color="auto" w:fill="auto"/>
            <w:noWrap/>
            <w:vAlign w:val="bottom"/>
            <w:hideMark/>
          </w:tcPr>
          <w:p w14:paraId="2EF7CB22"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(0.00150)</w:t>
            </w:r>
          </w:p>
        </w:tc>
        <w:tc>
          <w:tcPr>
            <w:tcW w:w="1059" w:type="dxa"/>
            <w:tcBorders>
              <w:top w:val="nil"/>
              <w:left w:val="nil"/>
              <w:bottom w:val="nil"/>
              <w:right w:val="nil"/>
            </w:tcBorders>
            <w:shd w:val="clear" w:color="auto" w:fill="auto"/>
            <w:noWrap/>
            <w:vAlign w:val="bottom"/>
            <w:hideMark/>
          </w:tcPr>
          <w:p w14:paraId="73389637"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(0.00151)</w:t>
            </w:r>
          </w:p>
        </w:tc>
        <w:tc>
          <w:tcPr>
            <w:tcW w:w="1059" w:type="dxa"/>
            <w:tcBorders>
              <w:top w:val="nil"/>
              <w:left w:val="nil"/>
              <w:bottom w:val="nil"/>
              <w:right w:val="nil"/>
            </w:tcBorders>
            <w:shd w:val="clear" w:color="auto" w:fill="auto"/>
            <w:noWrap/>
            <w:vAlign w:val="bottom"/>
            <w:hideMark/>
          </w:tcPr>
          <w:p w14:paraId="5CE7A507"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(0.00239)</w:t>
            </w:r>
          </w:p>
        </w:tc>
        <w:tc>
          <w:tcPr>
            <w:tcW w:w="1014" w:type="dxa"/>
            <w:tcBorders>
              <w:top w:val="nil"/>
              <w:left w:val="nil"/>
              <w:bottom w:val="nil"/>
              <w:right w:val="nil"/>
            </w:tcBorders>
            <w:shd w:val="clear" w:color="auto" w:fill="auto"/>
            <w:noWrap/>
            <w:vAlign w:val="bottom"/>
            <w:hideMark/>
          </w:tcPr>
          <w:p w14:paraId="3DB2F0DC"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(0.00216)</w:t>
            </w:r>
          </w:p>
        </w:tc>
        <w:tc>
          <w:tcPr>
            <w:tcW w:w="1139" w:type="dxa"/>
            <w:tcBorders>
              <w:top w:val="nil"/>
              <w:left w:val="nil"/>
              <w:bottom w:val="nil"/>
              <w:right w:val="nil"/>
            </w:tcBorders>
            <w:shd w:val="clear" w:color="auto" w:fill="auto"/>
            <w:noWrap/>
            <w:vAlign w:val="bottom"/>
            <w:hideMark/>
          </w:tcPr>
          <w:p w14:paraId="14CEF04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(0.00425)</w:t>
            </w:r>
          </w:p>
        </w:tc>
      </w:tr>
      <w:tr w:rsidR="00585C26" w:rsidRPr="00986F85" w14:paraId="27431A63" w14:textId="77777777" w:rsidTr="00585C26">
        <w:trPr>
          <w:trHeight w:val="240"/>
        </w:trPr>
        <w:tc>
          <w:tcPr>
            <w:tcW w:w="3441" w:type="dxa"/>
            <w:tcBorders>
              <w:top w:val="nil"/>
              <w:left w:val="nil"/>
              <w:bottom w:val="nil"/>
              <w:right w:val="nil"/>
            </w:tcBorders>
            <w:shd w:val="clear" w:color="auto" w:fill="auto"/>
            <w:noWrap/>
            <w:vAlign w:val="bottom"/>
            <w:hideMark/>
          </w:tcPr>
          <w:p w14:paraId="42108574"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Foglalkoztatotti létszám – négyzetes tag</w:t>
            </w:r>
          </w:p>
        </w:tc>
        <w:tc>
          <w:tcPr>
            <w:tcW w:w="994" w:type="dxa"/>
            <w:tcBorders>
              <w:top w:val="nil"/>
              <w:left w:val="nil"/>
              <w:bottom w:val="nil"/>
              <w:right w:val="nil"/>
            </w:tcBorders>
            <w:shd w:val="clear" w:color="auto" w:fill="auto"/>
            <w:noWrap/>
            <w:vAlign w:val="bottom"/>
            <w:hideMark/>
          </w:tcPr>
          <w:p w14:paraId="0EDC9D2B"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40862EEC"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-7.59e-06</w:t>
            </w:r>
          </w:p>
        </w:tc>
        <w:tc>
          <w:tcPr>
            <w:tcW w:w="1057" w:type="dxa"/>
            <w:tcBorders>
              <w:top w:val="nil"/>
              <w:left w:val="nil"/>
              <w:bottom w:val="nil"/>
              <w:right w:val="nil"/>
            </w:tcBorders>
            <w:shd w:val="clear" w:color="auto" w:fill="auto"/>
            <w:noWrap/>
            <w:vAlign w:val="bottom"/>
            <w:hideMark/>
          </w:tcPr>
          <w:p w14:paraId="76C2E554"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-5.88e-06</w:t>
            </w:r>
          </w:p>
        </w:tc>
        <w:tc>
          <w:tcPr>
            <w:tcW w:w="1059" w:type="dxa"/>
            <w:tcBorders>
              <w:top w:val="nil"/>
              <w:left w:val="nil"/>
              <w:bottom w:val="nil"/>
              <w:right w:val="nil"/>
            </w:tcBorders>
            <w:shd w:val="clear" w:color="auto" w:fill="auto"/>
            <w:noWrap/>
            <w:vAlign w:val="bottom"/>
            <w:hideMark/>
          </w:tcPr>
          <w:p w14:paraId="2DE4C04D"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-6.04e-06</w:t>
            </w:r>
          </w:p>
        </w:tc>
        <w:tc>
          <w:tcPr>
            <w:tcW w:w="1059" w:type="dxa"/>
            <w:tcBorders>
              <w:top w:val="nil"/>
              <w:left w:val="nil"/>
              <w:bottom w:val="nil"/>
              <w:right w:val="nil"/>
            </w:tcBorders>
            <w:shd w:val="clear" w:color="auto" w:fill="auto"/>
            <w:noWrap/>
            <w:vAlign w:val="bottom"/>
            <w:hideMark/>
          </w:tcPr>
          <w:p w14:paraId="3BB21C52"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0.000105***</w:t>
            </w:r>
          </w:p>
        </w:tc>
        <w:tc>
          <w:tcPr>
            <w:tcW w:w="1014" w:type="dxa"/>
            <w:tcBorders>
              <w:top w:val="nil"/>
              <w:left w:val="nil"/>
              <w:bottom w:val="nil"/>
              <w:right w:val="nil"/>
            </w:tcBorders>
            <w:shd w:val="clear" w:color="auto" w:fill="auto"/>
            <w:noWrap/>
            <w:vAlign w:val="bottom"/>
            <w:hideMark/>
          </w:tcPr>
          <w:p w14:paraId="3AF5412B"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7.42e-05***</w:t>
            </w:r>
          </w:p>
        </w:tc>
        <w:tc>
          <w:tcPr>
            <w:tcW w:w="1139" w:type="dxa"/>
            <w:tcBorders>
              <w:top w:val="nil"/>
              <w:left w:val="nil"/>
              <w:bottom w:val="nil"/>
              <w:right w:val="nil"/>
            </w:tcBorders>
            <w:shd w:val="clear" w:color="auto" w:fill="auto"/>
            <w:noWrap/>
            <w:vAlign w:val="bottom"/>
            <w:hideMark/>
          </w:tcPr>
          <w:p w14:paraId="6DD1DE1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8.99e-05***</w:t>
            </w:r>
          </w:p>
        </w:tc>
      </w:tr>
      <w:tr w:rsidR="00585C26" w:rsidRPr="00986F85" w14:paraId="65C5AA63" w14:textId="77777777" w:rsidTr="00585C26">
        <w:trPr>
          <w:trHeight w:val="260"/>
        </w:trPr>
        <w:tc>
          <w:tcPr>
            <w:tcW w:w="3441" w:type="dxa"/>
            <w:tcBorders>
              <w:top w:val="nil"/>
              <w:left w:val="nil"/>
              <w:bottom w:val="nil"/>
              <w:right w:val="nil"/>
            </w:tcBorders>
            <w:shd w:val="clear" w:color="auto" w:fill="auto"/>
            <w:noWrap/>
            <w:vAlign w:val="bottom"/>
            <w:hideMark/>
          </w:tcPr>
          <w:p w14:paraId="54581A9C" w14:textId="77777777" w:rsidR="00585C26" w:rsidRPr="00986F85" w:rsidRDefault="00585C26" w:rsidP="00585C26">
            <w:pPr>
              <w:suppressAutoHyphens w:val="0"/>
              <w:spacing w:after="0" w:line="240" w:lineRule="auto"/>
              <w:rPr>
                <w:rFonts w:eastAsia="Times New Roman" w:cs="Arial"/>
                <w:sz w:val="20"/>
                <w:szCs w:val="20"/>
                <w:lang w:val="en-US" w:eastAsia="en-US"/>
              </w:rPr>
            </w:pPr>
          </w:p>
        </w:tc>
        <w:tc>
          <w:tcPr>
            <w:tcW w:w="994" w:type="dxa"/>
            <w:tcBorders>
              <w:top w:val="nil"/>
              <w:left w:val="nil"/>
              <w:bottom w:val="nil"/>
              <w:right w:val="nil"/>
            </w:tcBorders>
            <w:shd w:val="clear" w:color="auto" w:fill="auto"/>
            <w:noWrap/>
            <w:vAlign w:val="bottom"/>
            <w:hideMark/>
          </w:tcPr>
          <w:p w14:paraId="5301B9EC"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0446781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(1.38e-05)</w:t>
            </w:r>
          </w:p>
        </w:tc>
        <w:tc>
          <w:tcPr>
            <w:tcW w:w="1057" w:type="dxa"/>
            <w:tcBorders>
              <w:top w:val="nil"/>
              <w:left w:val="nil"/>
              <w:bottom w:val="nil"/>
              <w:right w:val="nil"/>
            </w:tcBorders>
            <w:shd w:val="clear" w:color="auto" w:fill="auto"/>
            <w:noWrap/>
            <w:vAlign w:val="bottom"/>
            <w:hideMark/>
          </w:tcPr>
          <w:p w14:paraId="1E7AC129"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(1.39e-05)</w:t>
            </w:r>
          </w:p>
        </w:tc>
        <w:tc>
          <w:tcPr>
            <w:tcW w:w="1059" w:type="dxa"/>
            <w:tcBorders>
              <w:top w:val="nil"/>
              <w:left w:val="nil"/>
              <w:bottom w:val="nil"/>
              <w:right w:val="nil"/>
            </w:tcBorders>
            <w:shd w:val="clear" w:color="auto" w:fill="auto"/>
            <w:noWrap/>
            <w:vAlign w:val="bottom"/>
            <w:hideMark/>
          </w:tcPr>
          <w:p w14:paraId="66510674"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(1.40e-05)</w:t>
            </w:r>
          </w:p>
        </w:tc>
        <w:tc>
          <w:tcPr>
            <w:tcW w:w="1059" w:type="dxa"/>
            <w:tcBorders>
              <w:top w:val="nil"/>
              <w:left w:val="nil"/>
              <w:bottom w:val="nil"/>
              <w:right w:val="nil"/>
            </w:tcBorders>
            <w:shd w:val="clear" w:color="auto" w:fill="auto"/>
            <w:noWrap/>
            <w:vAlign w:val="bottom"/>
            <w:hideMark/>
          </w:tcPr>
          <w:p w14:paraId="4D7171B2"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(2.08e-05)</w:t>
            </w:r>
          </w:p>
        </w:tc>
        <w:tc>
          <w:tcPr>
            <w:tcW w:w="1014" w:type="dxa"/>
            <w:tcBorders>
              <w:top w:val="nil"/>
              <w:left w:val="nil"/>
              <w:bottom w:val="nil"/>
              <w:right w:val="nil"/>
            </w:tcBorders>
            <w:shd w:val="clear" w:color="auto" w:fill="auto"/>
            <w:noWrap/>
            <w:vAlign w:val="bottom"/>
            <w:hideMark/>
          </w:tcPr>
          <w:p w14:paraId="1423A68A"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(1.91e-05)</w:t>
            </w:r>
          </w:p>
        </w:tc>
        <w:tc>
          <w:tcPr>
            <w:tcW w:w="1139" w:type="dxa"/>
            <w:tcBorders>
              <w:top w:val="nil"/>
              <w:left w:val="nil"/>
              <w:bottom w:val="nil"/>
              <w:right w:val="nil"/>
            </w:tcBorders>
            <w:shd w:val="clear" w:color="auto" w:fill="auto"/>
            <w:noWrap/>
            <w:vAlign w:val="bottom"/>
            <w:hideMark/>
          </w:tcPr>
          <w:p w14:paraId="36B8ACB0"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(3.49e-05)</w:t>
            </w:r>
          </w:p>
        </w:tc>
      </w:tr>
      <w:tr w:rsidR="00585C26" w:rsidRPr="00986F85" w14:paraId="67F696BC" w14:textId="77777777" w:rsidTr="00585C26">
        <w:trPr>
          <w:trHeight w:val="260"/>
        </w:trPr>
        <w:tc>
          <w:tcPr>
            <w:tcW w:w="3441" w:type="dxa"/>
            <w:tcBorders>
              <w:top w:val="single" w:sz="8" w:space="0" w:color="BFBFBF"/>
              <w:left w:val="single" w:sz="8" w:space="0" w:color="BFBFBF"/>
              <w:bottom w:val="single" w:sz="8" w:space="0" w:color="BFBFBF"/>
              <w:right w:val="single" w:sz="8" w:space="0" w:color="BFBFBF"/>
            </w:tcBorders>
            <w:shd w:val="clear" w:color="000000" w:fill="FFFFFF"/>
            <w:vAlign w:val="center"/>
            <w:hideMark/>
          </w:tcPr>
          <w:p w14:paraId="6B26789F"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ROA</w:t>
            </w:r>
          </w:p>
        </w:tc>
        <w:tc>
          <w:tcPr>
            <w:tcW w:w="994" w:type="dxa"/>
            <w:tcBorders>
              <w:top w:val="nil"/>
              <w:left w:val="nil"/>
              <w:bottom w:val="nil"/>
              <w:right w:val="nil"/>
            </w:tcBorders>
            <w:shd w:val="clear" w:color="auto" w:fill="auto"/>
            <w:noWrap/>
            <w:vAlign w:val="bottom"/>
            <w:hideMark/>
          </w:tcPr>
          <w:p w14:paraId="3DEE51BD"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7AC2A1BD"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0.271***</w:t>
            </w:r>
          </w:p>
        </w:tc>
        <w:tc>
          <w:tcPr>
            <w:tcW w:w="1057" w:type="dxa"/>
            <w:tcBorders>
              <w:top w:val="nil"/>
              <w:left w:val="nil"/>
              <w:bottom w:val="nil"/>
              <w:right w:val="nil"/>
            </w:tcBorders>
            <w:shd w:val="clear" w:color="auto" w:fill="auto"/>
            <w:noWrap/>
            <w:vAlign w:val="bottom"/>
            <w:hideMark/>
          </w:tcPr>
          <w:p w14:paraId="17C3C6F3"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0.256***</w:t>
            </w:r>
          </w:p>
        </w:tc>
        <w:tc>
          <w:tcPr>
            <w:tcW w:w="1059" w:type="dxa"/>
            <w:tcBorders>
              <w:top w:val="nil"/>
              <w:left w:val="nil"/>
              <w:bottom w:val="nil"/>
              <w:right w:val="nil"/>
            </w:tcBorders>
            <w:shd w:val="clear" w:color="auto" w:fill="auto"/>
            <w:noWrap/>
            <w:vAlign w:val="bottom"/>
            <w:hideMark/>
          </w:tcPr>
          <w:p w14:paraId="4CB41259"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0.249***</w:t>
            </w:r>
          </w:p>
        </w:tc>
        <w:tc>
          <w:tcPr>
            <w:tcW w:w="1059" w:type="dxa"/>
            <w:tcBorders>
              <w:top w:val="nil"/>
              <w:left w:val="nil"/>
              <w:bottom w:val="nil"/>
              <w:right w:val="nil"/>
            </w:tcBorders>
            <w:shd w:val="clear" w:color="auto" w:fill="auto"/>
            <w:noWrap/>
            <w:vAlign w:val="bottom"/>
            <w:hideMark/>
          </w:tcPr>
          <w:p w14:paraId="3330B168"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0.214***</w:t>
            </w:r>
          </w:p>
        </w:tc>
        <w:tc>
          <w:tcPr>
            <w:tcW w:w="1014" w:type="dxa"/>
            <w:tcBorders>
              <w:top w:val="nil"/>
              <w:left w:val="nil"/>
              <w:bottom w:val="nil"/>
              <w:right w:val="nil"/>
            </w:tcBorders>
            <w:shd w:val="clear" w:color="auto" w:fill="auto"/>
            <w:noWrap/>
            <w:vAlign w:val="bottom"/>
            <w:hideMark/>
          </w:tcPr>
          <w:p w14:paraId="6E12AAC9"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0.258***</w:t>
            </w:r>
          </w:p>
        </w:tc>
        <w:tc>
          <w:tcPr>
            <w:tcW w:w="1139" w:type="dxa"/>
            <w:tcBorders>
              <w:top w:val="nil"/>
              <w:left w:val="nil"/>
              <w:bottom w:val="nil"/>
              <w:right w:val="nil"/>
            </w:tcBorders>
            <w:shd w:val="clear" w:color="auto" w:fill="auto"/>
            <w:noWrap/>
            <w:vAlign w:val="bottom"/>
            <w:hideMark/>
          </w:tcPr>
          <w:p w14:paraId="5D2ED036"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0.489**</w:t>
            </w:r>
          </w:p>
        </w:tc>
      </w:tr>
      <w:tr w:rsidR="00585C26" w:rsidRPr="00986F85" w14:paraId="460B99FA" w14:textId="77777777" w:rsidTr="00585C26">
        <w:trPr>
          <w:trHeight w:hRule="exact" w:val="260"/>
        </w:trPr>
        <w:tc>
          <w:tcPr>
            <w:tcW w:w="3441" w:type="dxa"/>
            <w:tcBorders>
              <w:top w:val="nil"/>
              <w:left w:val="single" w:sz="8" w:space="0" w:color="BFBFBF"/>
              <w:bottom w:val="single" w:sz="8" w:space="0" w:color="BFBFBF"/>
              <w:right w:val="single" w:sz="8" w:space="0" w:color="BFBFBF"/>
            </w:tcBorders>
            <w:shd w:val="clear" w:color="000000" w:fill="FFFFFF"/>
            <w:vAlign w:val="center"/>
            <w:hideMark/>
          </w:tcPr>
          <w:p w14:paraId="7A019272"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 </w:t>
            </w:r>
          </w:p>
        </w:tc>
        <w:tc>
          <w:tcPr>
            <w:tcW w:w="994" w:type="dxa"/>
            <w:tcBorders>
              <w:top w:val="nil"/>
              <w:left w:val="nil"/>
              <w:bottom w:val="nil"/>
              <w:right w:val="nil"/>
            </w:tcBorders>
            <w:shd w:val="clear" w:color="auto" w:fill="auto"/>
            <w:noWrap/>
            <w:vAlign w:val="bottom"/>
            <w:hideMark/>
          </w:tcPr>
          <w:p w14:paraId="295C0BB0"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4B39248C"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(0.0480)</w:t>
            </w:r>
          </w:p>
        </w:tc>
        <w:tc>
          <w:tcPr>
            <w:tcW w:w="1057" w:type="dxa"/>
            <w:tcBorders>
              <w:top w:val="nil"/>
              <w:left w:val="nil"/>
              <w:bottom w:val="nil"/>
              <w:right w:val="nil"/>
            </w:tcBorders>
            <w:shd w:val="clear" w:color="auto" w:fill="auto"/>
            <w:noWrap/>
            <w:vAlign w:val="bottom"/>
            <w:hideMark/>
          </w:tcPr>
          <w:p w14:paraId="6A3BDEE1"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(0.0484)</w:t>
            </w:r>
          </w:p>
        </w:tc>
        <w:tc>
          <w:tcPr>
            <w:tcW w:w="1059" w:type="dxa"/>
            <w:tcBorders>
              <w:top w:val="nil"/>
              <w:left w:val="nil"/>
              <w:bottom w:val="nil"/>
              <w:right w:val="nil"/>
            </w:tcBorders>
            <w:shd w:val="clear" w:color="auto" w:fill="auto"/>
            <w:noWrap/>
            <w:vAlign w:val="bottom"/>
            <w:hideMark/>
          </w:tcPr>
          <w:p w14:paraId="15E25DA5"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(0.0486)</w:t>
            </w:r>
          </w:p>
        </w:tc>
        <w:tc>
          <w:tcPr>
            <w:tcW w:w="1059" w:type="dxa"/>
            <w:tcBorders>
              <w:top w:val="nil"/>
              <w:left w:val="nil"/>
              <w:bottom w:val="nil"/>
              <w:right w:val="nil"/>
            </w:tcBorders>
            <w:shd w:val="clear" w:color="auto" w:fill="auto"/>
            <w:noWrap/>
            <w:vAlign w:val="bottom"/>
            <w:hideMark/>
          </w:tcPr>
          <w:p w14:paraId="282F38B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(0.0687)</w:t>
            </w:r>
          </w:p>
        </w:tc>
        <w:tc>
          <w:tcPr>
            <w:tcW w:w="1014" w:type="dxa"/>
            <w:tcBorders>
              <w:top w:val="nil"/>
              <w:left w:val="nil"/>
              <w:bottom w:val="nil"/>
              <w:right w:val="nil"/>
            </w:tcBorders>
            <w:shd w:val="clear" w:color="auto" w:fill="auto"/>
            <w:noWrap/>
            <w:vAlign w:val="bottom"/>
            <w:hideMark/>
          </w:tcPr>
          <w:p w14:paraId="36A09489"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(0.0654)</w:t>
            </w:r>
          </w:p>
        </w:tc>
        <w:tc>
          <w:tcPr>
            <w:tcW w:w="1139" w:type="dxa"/>
            <w:tcBorders>
              <w:top w:val="nil"/>
              <w:left w:val="nil"/>
              <w:bottom w:val="nil"/>
              <w:right w:val="nil"/>
            </w:tcBorders>
            <w:shd w:val="clear" w:color="auto" w:fill="auto"/>
            <w:noWrap/>
            <w:vAlign w:val="bottom"/>
            <w:hideMark/>
          </w:tcPr>
          <w:p w14:paraId="496F187F"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(0.203)</w:t>
            </w:r>
          </w:p>
        </w:tc>
      </w:tr>
      <w:tr w:rsidR="00585C26" w:rsidRPr="00986F85" w14:paraId="0872F3C0" w14:textId="77777777" w:rsidTr="00585C26">
        <w:trPr>
          <w:trHeight w:hRule="exact" w:val="260"/>
        </w:trPr>
        <w:tc>
          <w:tcPr>
            <w:tcW w:w="3441" w:type="dxa"/>
            <w:tcBorders>
              <w:top w:val="nil"/>
              <w:left w:val="single" w:sz="8" w:space="0" w:color="BFBFBF"/>
              <w:bottom w:val="single" w:sz="8" w:space="0" w:color="BFBFBF"/>
              <w:right w:val="single" w:sz="8" w:space="0" w:color="BFBFBF"/>
            </w:tcBorders>
            <w:shd w:val="clear" w:color="000000" w:fill="FFFFFF"/>
            <w:vAlign w:val="center"/>
            <w:hideMark/>
          </w:tcPr>
          <w:p w14:paraId="461EDD7E"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Likviditás</w:t>
            </w:r>
          </w:p>
        </w:tc>
        <w:tc>
          <w:tcPr>
            <w:tcW w:w="994" w:type="dxa"/>
            <w:tcBorders>
              <w:top w:val="nil"/>
              <w:left w:val="nil"/>
              <w:bottom w:val="nil"/>
              <w:right w:val="nil"/>
            </w:tcBorders>
            <w:shd w:val="clear" w:color="auto" w:fill="auto"/>
            <w:noWrap/>
            <w:vAlign w:val="bottom"/>
            <w:hideMark/>
          </w:tcPr>
          <w:p w14:paraId="2924042A"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65C08D7B"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-0.0214***</w:t>
            </w:r>
          </w:p>
        </w:tc>
        <w:tc>
          <w:tcPr>
            <w:tcW w:w="1057" w:type="dxa"/>
            <w:tcBorders>
              <w:top w:val="nil"/>
              <w:left w:val="nil"/>
              <w:bottom w:val="nil"/>
              <w:right w:val="nil"/>
            </w:tcBorders>
            <w:shd w:val="clear" w:color="auto" w:fill="auto"/>
            <w:noWrap/>
            <w:vAlign w:val="bottom"/>
            <w:hideMark/>
          </w:tcPr>
          <w:p w14:paraId="270099CD"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-0.0214***</w:t>
            </w:r>
          </w:p>
        </w:tc>
        <w:tc>
          <w:tcPr>
            <w:tcW w:w="1059" w:type="dxa"/>
            <w:tcBorders>
              <w:top w:val="nil"/>
              <w:left w:val="nil"/>
              <w:bottom w:val="nil"/>
              <w:right w:val="nil"/>
            </w:tcBorders>
            <w:shd w:val="clear" w:color="auto" w:fill="auto"/>
            <w:noWrap/>
            <w:vAlign w:val="bottom"/>
            <w:hideMark/>
          </w:tcPr>
          <w:p w14:paraId="5D191973"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-0.0214***</w:t>
            </w:r>
          </w:p>
        </w:tc>
        <w:tc>
          <w:tcPr>
            <w:tcW w:w="1059" w:type="dxa"/>
            <w:tcBorders>
              <w:top w:val="nil"/>
              <w:left w:val="nil"/>
              <w:bottom w:val="nil"/>
              <w:right w:val="nil"/>
            </w:tcBorders>
            <w:shd w:val="clear" w:color="auto" w:fill="auto"/>
            <w:noWrap/>
            <w:vAlign w:val="bottom"/>
            <w:hideMark/>
          </w:tcPr>
          <w:p w14:paraId="26F231A9"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-0.0134***</w:t>
            </w:r>
          </w:p>
        </w:tc>
        <w:tc>
          <w:tcPr>
            <w:tcW w:w="1014" w:type="dxa"/>
            <w:tcBorders>
              <w:top w:val="nil"/>
              <w:left w:val="nil"/>
              <w:bottom w:val="nil"/>
              <w:right w:val="nil"/>
            </w:tcBorders>
            <w:shd w:val="clear" w:color="auto" w:fill="auto"/>
            <w:noWrap/>
            <w:vAlign w:val="bottom"/>
            <w:hideMark/>
          </w:tcPr>
          <w:p w14:paraId="3467F4EA"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-0.0131***</w:t>
            </w:r>
          </w:p>
        </w:tc>
        <w:tc>
          <w:tcPr>
            <w:tcW w:w="1139" w:type="dxa"/>
            <w:tcBorders>
              <w:top w:val="nil"/>
              <w:left w:val="nil"/>
              <w:bottom w:val="nil"/>
              <w:right w:val="nil"/>
            </w:tcBorders>
            <w:shd w:val="clear" w:color="auto" w:fill="auto"/>
            <w:noWrap/>
            <w:vAlign w:val="bottom"/>
            <w:hideMark/>
          </w:tcPr>
          <w:p w14:paraId="132B8AA7"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-0.0284**</w:t>
            </w:r>
          </w:p>
        </w:tc>
      </w:tr>
      <w:tr w:rsidR="00585C26" w:rsidRPr="00986F85" w14:paraId="4108CEFA" w14:textId="77777777" w:rsidTr="00585C26">
        <w:trPr>
          <w:trHeight w:val="240"/>
        </w:trPr>
        <w:tc>
          <w:tcPr>
            <w:tcW w:w="3441" w:type="dxa"/>
            <w:tcBorders>
              <w:top w:val="nil"/>
              <w:left w:val="nil"/>
              <w:bottom w:val="nil"/>
              <w:right w:val="nil"/>
            </w:tcBorders>
            <w:shd w:val="clear" w:color="auto" w:fill="auto"/>
            <w:noWrap/>
            <w:vAlign w:val="bottom"/>
            <w:hideMark/>
          </w:tcPr>
          <w:p w14:paraId="3CFDC060" w14:textId="77777777" w:rsidR="00585C26" w:rsidRPr="00986F85" w:rsidRDefault="00585C26" w:rsidP="00585C26">
            <w:pPr>
              <w:suppressAutoHyphens w:val="0"/>
              <w:spacing w:after="0" w:line="240" w:lineRule="auto"/>
              <w:rPr>
                <w:rFonts w:eastAsia="Times New Roman" w:cs="Arial"/>
                <w:sz w:val="20"/>
                <w:szCs w:val="20"/>
                <w:lang w:val="en-US" w:eastAsia="en-US"/>
              </w:rPr>
            </w:pPr>
          </w:p>
        </w:tc>
        <w:tc>
          <w:tcPr>
            <w:tcW w:w="994" w:type="dxa"/>
            <w:tcBorders>
              <w:top w:val="nil"/>
              <w:left w:val="nil"/>
              <w:bottom w:val="nil"/>
              <w:right w:val="nil"/>
            </w:tcBorders>
            <w:shd w:val="clear" w:color="auto" w:fill="auto"/>
            <w:noWrap/>
            <w:vAlign w:val="bottom"/>
            <w:hideMark/>
          </w:tcPr>
          <w:p w14:paraId="6DCA027B"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79CE2031"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(0.00453)</w:t>
            </w:r>
          </w:p>
        </w:tc>
        <w:tc>
          <w:tcPr>
            <w:tcW w:w="1057" w:type="dxa"/>
            <w:tcBorders>
              <w:top w:val="nil"/>
              <w:left w:val="nil"/>
              <w:bottom w:val="nil"/>
              <w:right w:val="nil"/>
            </w:tcBorders>
            <w:shd w:val="clear" w:color="auto" w:fill="auto"/>
            <w:noWrap/>
            <w:vAlign w:val="bottom"/>
            <w:hideMark/>
          </w:tcPr>
          <w:p w14:paraId="73B5ED36"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(0.00453)</w:t>
            </w:r>
          </w:p>
        </w:tc>
        <w:tc>
          <w:tcPr>
            <w:tcW w:w="1059" w:type="dxa"/>
            <w:tcBorders>
              <w:top w:val="nil"/>
              <w:left w:val="nil"/>
              <w:bottom w:val="nil"/>
              <w:right w:val="nil"/>
            </w:tcBorders>
            <w:shd w:val="clear" w:color="auto" w:fill="auto"/>
            <w:noWrap/>
            <w:vAlign w:val="bottom"/>
            <w:hideMark/>
          </w:tcPr>
          <w:p w14:paraId="255A22BC"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(0.00453)</w:t>
            </w:r>
          </w:p>
        </w:tc>
        <w:tc>
          <w:tcPr>
            <w:tcW w:w="1059" w:type="dxa"/>
            <w:tcBorders>
              <w:top w:val="nil"/>
              <w:left w:val="nil"/>
              <w:bottom w:val="nil"/>
              <w:right w:val="nil"/>
            </w:tcBorders>
            <w:shd w:val="clear" w:color="auto" w:fill="auto"/>
            <w:noWrap/>
            <w:vAlign w:val="bottom"/>
            <w:hideMark/>
          </w:tcPr>
          <w:p w14:paraId="0DF3525A"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(0.00413)</w:t>
            </w:r>
          </w:p>
        </w:tc>
        <w:tc>
          <w:tcPr>
            <w:tcW w:w="1014" w:type="dxa"/>
            <w:tcBorders>
              <w:top w:val="nil"/>
              <w:left w:val="nil"/>
              <w:bottom w:val="nil"/>
              <w:right w:val="nil"/>
            </w:tcBorders>
            <w:shd w:val="clear" w:color="auto" w:fill="auto"/>
            <w:noWrap/>
            <w:vAlign w:val="bottom"/>
            <w:hideMark/>
          </w:tcPr>
          <w:p w14:paraId="4AAB082F"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(0.00407)</w:t>
            </w:r>
          </w:p>
        </w:tc>
        <w:tc>
          <w:tcPr>
            <w:tcW w:w="1139" w:type="dxa"/>
            <w:tcBorders>
              <w:top w:val="nil"/>
              <w:left w:val="nil"/>
              <w:bottom w:val="nil"/>
              <w:right w:val="nil"/>
            </w:tcBorders>
            <w:shd w:val="clear" w:color="auto" w:fill="auto"/>
            <w:noWrap/>
            <w:vAlign w:val="bottom"/>
            <w:hideMark/>
          </w:tcPr>
          <w:p w14:paraId="1E65C37A"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(0.0118)</w:t>
            </w:r>
          </w:p>
        </w:tc>
      </w:tr>
      <w:tr w:rsidR="00585C26" w:rsidRPr="00986F85" w14:paraId="1B90A60B" w14:textId="77777777" w:rsidTr="00585C26">
        <w:trPr>
          <w:trHeight w:val="240"/>
        </w:trPr>
        <w:tc>
          <w:tcPr>
            <w:tcW w:w="3441" w:type="dxa"/>
            <w:tcBorders>
              <w:top w:val="nil"/>
              <w:left w:val="nil"/>
              <w:bottom w:val="nil"/>
              <w:right w:val="nil"/>
            </w:tcBorders>
            <w:shd w:val="clear" w:color="auto" w:fill="auto"/>
            <w:noWrap/>
            <w:vAlign w:val="bottom"/>
            <w:hideMark/>
          </w:tcPr>
          <w:p w14:paraId="09F91461"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 xml:space="preserve">Hozzáadott érték </w:t>
            </w:r>
          </w:p>
        </w:tc>
        <w:tc>
          <w:tcPr>
            <w:tcW w:w="994" w:type="dxa"/>
            <w:tcBorders>
              <w:top w:val="nil"/>
              <w:left w:val="nil"/>
              <w:bottom w:val="nil"/>
              <w:right w:val="nil"/>
            </w:tcBorders>
            <w:shd w:val="clear" w:color="auto" w:fill="auto"/>
            <w:noWrap/>
            <w:vAlign w:val="bottom"/>
            <w:hideMark/>
          </w:tcPr>
          <w:p w14:paraId="338F929F"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25F8BF3F"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5.46e-08</w:t>
            </w:r>
          </w:p>
        </w:tc>
        <w:tc>
          <w:tcPr>
            <w:tcW w:w="1057" w:type="dxa"/>
            <w:tcBorders>
              <w:top w:val="nil"/>
              <w:left w:val="nil"/>
              <w:bottom w:val="nil"/>
              <w:right w:val="nil"/>
            </w:tcBorders>
            <w:shd w:val="clear" w:color="auto" w:fill="auto"/>
            <w:noWrap/>
            <w:vAlign w:val="bottom"/>
            <w:hideMark/>
          </w:tcPr>
          <w:p w14:paraId="52CD936D"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-1.62e-06</w:t>
            </w:r>
          </w:p>
        </w:tc>
        <w:tc>
          <w:tcPr>
            <w:tcW w:w="1059" w:type="dxa"/>
            <w:tcBorders>
              <w:top w:val="nil"/>
              <w:left w:val="nil"/>
              <w:bottom w:val="nil"/>
              <w:right w:val="nil"/>
            </w:tcBorders>
            <w:shd w:val="clear" w:color="auto" w:fill="auto"/>
            <w:noWrap/>
            <w:vAlign w:val="bottom"/>
            <w:hideMark/>
          </w:tcPr>
          <w:p w14:paraId="339D97A3"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-6.65e-07</w:t>
            </w:r>
          </w:p>
        </w:tc>
        <w:tc>
          <w:tcPr>
            <w:tcW w:w="1059" w:type="dxa"/>
            <w:tcBorders>
              <w:top w:val="nil"/>
              <w:left w:val="nil"/>
              <w:bottom w:val="nil"/>
              <w:right w:val="nil"/>
            </w:tcBorders>
            <w:shd w:val="clear" w:color="auto" w:fill="auto"/>
            <w:noWrap/>
            <w:vAlign w:val="bottom"/>
            <w:hideMark/>
          </w:tcPr>
          <w:p w14:paraId="3FCF164A"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14" w:type="dxa"/>
            <w:tcBorders>
              <w:top w:val="nil"/>
              <w:left w:val="nil"/>
              <w:bottom w:val="nil"/>
              <w:right w:val="nil"/>
            </w:tcBorders>
            <w:shd w:val="clear" w:color="auto" w:fill="auto"/>
            <w:noWrap/>
            <w:vAlign w:val="bottom"/>
            <w:hideMark/>
          </w:tcPr>
          <w:p w14:paraId="0696F911"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139" w:type="dxa"/>
            <w:tcBorders>
              <w:top w:val="nil"/>
              <w:left w:val="nil"/>
              <w:bottom w:val="nil"/>
              <w:right w:val="nil"/>
            </w:tcBorders>
            <w:shd w:val="clear" w:color="auto" w:fill="auto"/>
            <w:noWrap/>
            <w:vAlign w:val="bottom"/>
            <w:hideMark/>
          </w:tcPr>
          <w:p w14:paraId="68DDAF08"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r>
      <w:tr w:rsidR="00585C26" w:rsidRPr="00986F85" w14:paraId="68731EA2" w14:textId="77777777" w:rsidTr="00585C26">
        <w:trPr>
          <w:trHeight w:val="240"/>
        </w:trPr>
        <w:tc>
          <w:tcPr>
            <w:tcW w:w="3441" w:type="dxa"/>
            <w:tcBorders>
              <w:top w:val="nil"/>
              <w:left w:val="nil"/>
              <w:bottom w:val="nil"/>
              <w:right w:val="nil"/>
            </w:tcBorders>
            <w:shd w:val="clear" w:color="auto" w:fill="auto"/>
            <w:noWrap/>
            <w:vAlign w:val="bottom"/>
            <w:hideMark/>
          </w:tcPr>
          <w:p w14:paraId="173EA933" w14:textId="77777777" w:rsidR="00585C26" w:rsidRPr="00986F85" w:rsidRDefault="00585C26" w:rsidP="00585C26">
            <w:pPr>
              <w:suppressAutoHyphens w:val="0"/>
              <w:spacing w:after="0" w:line="240" w:lineRule="auto"/>
              <w:rPr>
                <w:rFonts w:eastAsia="Times New Roman" w:cs="Arial"/>
                <w:sz w:val="20"/>
                <w:szCs w:val="20"/>
                <w:lang w:val="en-US" w:eastAsia="en-US"/>
              </w:rPr>
            </w:pPr>
          </w:p>
        </w:tc>
        <w:tc>
          <w:tcPr>
            <w:tcW w:w="994" w:type="dxa"/>
            <w:tcBorders>
              <w:top w:val="nil"/>
              <w:left w:val="nil"/>
              <w:bottom w:val="nil"/>
              <w:right w:val="nil"/>
            </w:tcBorders>
            <w:shd w:val="clear" w:color="auto" w:fill="auto"/>
            <w:noWrap/>
            <w:vAlign w:val="bottom"/>
            <w:hideMark/>
          </w:tcPr>
          <w:p w14:paraId="59EDBBA7"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1044E35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(5.24e-07)</w:t>
            </w:r>
          </w:p>
        </w:tc>
        <w:tc>
          <w:tcPr>
            <w:tcW w:w="1057" w:type="dxa"/>
            <w:tcBorders>
              <w:top w:val="nil"/>
              <w:left w:val="nil"/>
              <w:bottom w:val="nil"/>
              <w:right w:val="nil"/>
            </w:tcBorders>
            <w:shd w:val="clear" w:color="auto" w:fill="auto"/>
            <w:noWrap/>
            <w:vAlign w:val="bottom"/>
            <w:hideMark/>
          </w:tcPr>
          <w:p w14:paraId="3DD33DA1"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(1.32e-06)</w:t>
            </w:r>
          </w:p>
        </w:tc>
        <w:tc>
          <w:tcPr>
            <w:tcW w:w="1059" w:type="dxa"/>
            <w:tcBorders>
              <w:top w:val="nil"/>
              <w:left w:val="nil"/>
              <w:bottom w:val="nil"/>
              <w:right w:val="nil"/>
            </w:tcBorders>
            <w:shd w:val="clear" w:color="auto" w:fill="auto"/>
            <w:noWrap/>
            <w:vAlign w:val="bottom"/>
            <w:hideMark/>
          </w:tcPr>
          <w:p w14:paraId="6BF010F8"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(1.80e-06)</w:t>
            </w:r>
          </w:p>
        </w:tc>
        <w:tc>
          <w:tcPr>
            <w:tcW w:w="1059" w:type="dxa"/>
            <w:tcBorders>
              <w:top w:val="nil"/>
              <w:left w:val="nil"/>
              <w:bottom w:val="nil"/>
              <w:right w:val="nil"/>
            </w:tcBorders>
            <w:shd w:val="clear" w:color="auto" w:fill="auto"/>
            <w:noWrap/>
            <w:vAlign w:val="bottom"/>
            <w:hideMark/>
          </w:tcPr>
          <w:p w14:paraId="73C7DEDF"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14" w:type="dxa"/>
            <w:tcBorders>
              <w:top w:val="nil"/>
              <w:left w:val="nil"/>
              <w:bottom w:val="nil"/>
              <w:right w:val="nil"/>
            </w:tcBorders>
            <w:shd w:val="clear" w:color="auto" w:fill="auto"/>
            <w:noWrap/>
            <w:vAlign w:val="bottom"/>
            <w:hideMark/>
          </w:tcPr>
          <w:p w14:paraId="55BDF6B0"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139" w:type="dxa"/>
            <w:tcBorders>
              <w:top w:val="nil"/>
              <w:left w:val="nil"/>
              <w:bottom w:val="nil"/>
              <w:right w:val="nil"/>
            </w:tcBorders>
            <w:shd w:val="clear" w:color="auto" w:fill="auto"/>
            <w:noWrap/>
            <w:vAlign w:val="bottom"/>
            <w:hideMark/>
          </w:tcPr>
          <w:p w14:paraId="73ADAA81"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r>
      <w:tr w:rsidR="00585C26" w:rsidRPr="00986F85" w14:paraId="3D383BDD" w14:textId="77777777" w:rsidTr="00585C26">
        <w:trPr>
          <w:trHeight w:val="240"/>
        </w:trPr>
        <w:tc>
          <w:tcPr>
            <w:tcW w:w="3441" w:type="dxa"/>
            <w:tcBorders>
              <w:top w:val="nil"/>
              <w:left w:val="nil"/>
              <w:bottom w:val="nil"/>
              <w:right w:val="nil"/>
            </w:tcBorders>
            <w:shd w:val="clear" w:color="auto" w:fill="auto"/>
            <w:noWrap/>
            <w:vAlign w:val="bottom"/>
            <w:hideMark/>
          </w:tcPr>
          <w:p w14:paraId="236B0BCA"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Eszközhatékonyság</w:t>
            </w:r>
          </w:p>
        </w:tc>
        <w:tc>
          <w:tcPr>
            <w:tcW w:w="994" w:type="dxa"/>
            <w:tcBorders>
              <w:top w:val="nil"/>
              <w:left w:val="nil"/>
              <w:bottom w:val="nil"/>
              <w:right w:val="nil"/>
            </w:tcBorders>
            <w:shd w:val="clear" w:color="auto" w:fill="auto"/>
            <w:noWrap/>
            <w:vAlign w:val="bottom"/>
            <w:hideMark/>
          </w:tcPr>
          <w:p w14:paraId="5CAFFD2D"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66909B69"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-0.000739</w:t>
            </w:r>
          </w:p>
        </w:tc>
        <w:tc>
          <w:tcPr>
            <w:tcW w:w="1057" w:type="dxa"/>
            <w:tcBorders>
              <w:top w:val="nil"/>
              <w:left w:val="nil"/>
              <w:bottom w:val="nil"/>
              <w:right w:val="nil"/>
            </w:tcBorders>
            <w:shd w:val="clear" w:color="auto" w:fill="auto"/>
            <w:noWrap/>
            <w:vAlign w:val="bottom"/>
            <w:hideMark/>
          </w:tcPr>
          <w:p w14:paraId="54A6F2D8"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-0.000478</w:t>
            </w:r>
          </w:p>
        </w:tc>
        <w:tc>
          <w:tcPr>
            <w:tcW w:w="1059" w:type="dxa"/>
            <w:tcBorders>
              <w:top w:val="nil"/>
              <w:left w:val="nil"/>
              <w:bottom w:val="nil"/>
              <w:right w:val="nil"/>
            </w:tcBorders>
            <w:shd w:val="clear" w:color="auto" w:fill="auto"/>
            <w:noWrap/>
            <w:vAlign w:val="bottom"/>
            <w:hideMark/>
          </w:tcPr>
          <w:p w14:paraId="23BF314C"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-0.000489</w:t>
            </w:r>
          </w:p>
        </w:tc>
        <w:tc>
          <w:tcPr>
            <w:tcW w:w="1059" w:type="dxa"/>
            <w:tcBorders>
              <w:top w:val="nil"/>
              <w:left w:val="nil"/>
              <w:bottom w:val="nil"/>
              <w:right w:val="nil"/>
            </w:tcBorders>
            <w:shd w:val="clear" w:color="auto" w:fill="auto"/>
            <w:noWrap/>
            <w:vAlign w:val="bottom"/>
            <w:hideMark/>
          </w:tcPr>
          <w:p w14:paraId="78D2E881"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14" w:type="dxa"/>
            <w:tcBorders>
              <w:top w:val="nil"/>
              <w:left w:val="nil"/>
              <w:bottom w:val="nil"/>
              <w:right w:val="nil"/>
            </w:tcBorders>
            <w:shd w:val="clear" w:color="auto" w:fill="auto"/>
            <w:noWrap/>
            <w:vAlign w:val="bottom"/>
            <w:hideMark/>
          </w:tcPr>
          <w:p w14:paraId="4E2E8A09"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139" w:type="dxa"/>
            <w:tcBorders>
              <w:top w:val="nil"/>
              <w:left w:val="nil"/>
              <w:bottom w:val="nil"/>
              <w:right w:val="nil"/>
            </w:tcBorders>
            <w:shd w:val="clear" w:color="auto" w:fill="auto"/>
            <w:noWrap/>
            <w:vAlign w:val="bottom"/>
            <w:hideMark/>
          </w:tcPr>
          <w:p w14:paraId="6A7247C5"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r>
      <w:tr w:rsidR="00585C26" w:rsidRPr="00986F85" w14:paraId="5A8A346E" w14:textId="77777777" w:rsidTr="00585C26">
        <w:trPr>
          <w:trHeight w:val="240"/>
        </w:trPr>
        <w:tc>
          <w:tcPr>
            <w:tcW w:w="3441" w:type="dxa"/>
            <w:tcBorders>
              <w:top w:val="nil"/>
              <w:left w:val="nil"/>
              <w:bottom w:val="nil"/>
              <w:right w:val="nil"/>
            </w:tcBorders>
            <w:shd w:val="clear" w:color="auto" w:fill="auto"/>
            <w:noWrap/>
            <w:vAlign w:val="bottom"/>
            <w:hideMark/>
          </w:tcPr>
          <w:p w14:paraId="315D6B52" w14:textId="77777777" w:rsidR="00585C26" w:rsidRPr="00986F85" w:rsidRDefault="00585C26" w:rsidP="00585C26">
            <w:pPr>
              <w:suppressAutoHyphens w:val="0"/>
              <w:spacing w:after="0" w:line="240" w:lineRule="auto"/>
              <w:rPr>
                <w:rFonts w:eastAsia="Times New Roman" w:cs="Arial"/>
                <w:sz w:val="20"/>
                <w:szCs w:val="20"/>
                <w:lang w:val="en-US" w:eastAsia="en-US"/>
              </w:rPr>
            </w:pPr>
          </w:p>
        </w:tc>
        <w:tc>
          <w:tcPr>
            <w:tcW w:w="994" w:type="dxa"/>
            <w:tcBorders>
              <w:top w:val="nil"/>
              <w:left w:val="nil"/>
              <w:bottom w:val="nil"/>
              <w:right w:val="nil"/>
            </w:tcBorders>
            <w:shd w:val="clear" w:color="auto" w:fill="auto"/>
            <w:noWrap/>
            <w:vAlign w:val="bottom"/>
            <w:hideMark/>
          </w:tcPr>
          <w:p w14:paraId="67EB010D"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3D944EE0"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(0.00143)</w:t>
            </w:r>
          </w:p>
        </w:tc>
        <w:tc>
          <w:tcPr>
            <w:tcW w:w="1057" w:type="dxa"/>
            <w:tcBorders>
              <w:top w:val="nil"/>
              <w:left w:val="nil"/>
              <w:bottom w:val="nil"/>
              <w:right w:val="nil"/>
            </w:tcBorders>
            <w:shd w:val="clear" w:color="auto" w:fill="auto"/>
            <w:noWrap/>
            <w:vAlign w:val="bottom"/>
            <w:hideMark/>
          </w:tcPr>
          <w:p w14:paraId="7DA2CA94"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(0.00130)</w:t>
            </w:r>
          </w:p>
        </w:tc>
        <w:tc>
          <w:tcPr>
            <w:tcW w:w="1059" w:type="dxa"/>
            <w:tcBorders>
              <w:top w:val="nil"/>
              <w:left w:val="nil"/>
              <w:bottom w:val="nil"/>
              <w:right w:val="nil"/>
            </w:tcBorders>
            <w:shd w:val="clear" w:color="auto" w:fill="auto"/>
            <w:noWrap/>
            <w:vAlign w:val="bottom"/>
            <w:hideMark/>
          </w:tcPr>
          <w:p w14:paraId="69427C7C"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(0.00130)</w:t>
            </w:r>
          </w:p>
        </w:tc>
        <w:tc>
          <w:tcPr>
            <w:tcW w:w="1059" w:type="dxa"/>
            <w:tcBorders>
              <w:top w:val="nil"/>
              <w:left w:val="nil"/>
              <w:bottom w:val="nil"/>
              <w:right w:val="nil"/>
            </w:tcBorders>
            <w:shd w:val="clear" w:color="auto" w:fill="auto"/>
            <w:noWrap/>
            <w:vAlign w:val="bottom"/>
            <w:hideMark/>
          </w:tcPr>
          <w:p w14:paraId="36AE9077"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14" w:type="dxa"/>
            <w:tcBorders>
              <w:top w:val="nil"/>
              <w:left w:val="nil"/>
              <w:bottom w:val="nil"/>
              <w:right w:val="nil"/>
            </w:tcBorders>
            <w:shd w:val="clear" w:color="auto" w:fill="auto"/>
            <w:noWrap/>
            <w:vAlign w:val="bottom"/>
            <w:hideMark/>
          </w:tcPr>
          <w:p w14:paraId="61E902E4"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139" w:type="dxa"/>
            <w:tcBorders>
              <w:top w:val="nil"/>
              <w:left w:val="nil"/>
              <w:bottom w:val="nil"/>
              <w:right w:val="nil"/>
            </w:tcBorders>
            <w:shd w:val="clear" w:color="auto" w:fill="auto"/>
            <w:noWrap/>
            <w:vAlign w:val="bottom"/>
            <w:hideMark/>
          </w:tcPr>
          <w:p w14:paraId="4320C09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r>
      <w:tr w:rsidR="00585C26" w:rsidRPr="00986F85" w14:paraId="445C3DFB" w14:textId="77777777" w:rsidTr="00585C26">
        <w:trPr>
          <w:trHeight w:val="240"/>
        </w:trPr>
        <w:tc>
          <w:tcPr>
            <w:tcW w:w="3441" w:type="dxa"/>
            <w:tcBorders>
              <w:top w:val="nil"/>
              <w:left w:val="nil"/>
              <w:bottom w:val="nil"/>
              <w:right w:val="nil"/>
            </w:tcBorders>
            <w:shd w:val="clear" w:color="auto" w:fill="auto"/>
            <w:noWrap/>
            <w:vAlign w:val="bottom"/>
            <w:hideMark/>
          </w:tcPr>
          <w:p w14:paraId="030A414C"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Tőkeintenzitás</w:t>
            </w:r>
          </w:p>
        </w:tc>
        <w:tc>
          <w:tcPr>
            <w:tcW w:w="994" w:type="dxa"/>
            <w:tcBorders>
              <w:top w:val="nil"/>
              <w:left w:val="nil"/>
              <w:bottom w:val="nil"/>
              <w:right w:val="nil"/>
            </w:tcBorders>
            <w:shd w:val="clear" w:color="auto" w:fill="auto"/>
            <w:noWrap/>
            <w:vAlign w:val="bottom"/>
            <w:hideMark/>
          </w:tcPr>
          <w:p w14:paraId="3B77B236"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79FCA4E5"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4.46e-07***</w:t>
            </w:r>
          </w:p>
        </w:tc>
        <w:tc>
          <w:tcPr>
            <w:tcW w:w="1057" w:type="dxa"/>
            <w:tcBorders>
              <w:top w:val="nil"/>
              <w:left w:val="nil"/>
              <w:bottom w:val="nil"/>
              <w:right w:val="nil"/>
            </w:tcBorders>
            <w:shd w:val="clear" w:color="auto" w:fill="auto"/>
            <w:noWrap/>
            <w:vAlign w:val="bottom"/>
            <w:hideMark/>
          </w:tcPr>
          <w:p w14:paraId="6C4EEFE2"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-1.84e-08</w:t>
            </w:r>
          </w:p>
        </w:tc>
        <w:tc>
          <w:tcPr>
            <w:tcW w:w="1059" w:type="dxa"/>
            <w:tcBorders>
              <w:top w:val="nil"/>
              <w:left w:val="nil"/>
              <w:bottom w:val="nil"/>
              <w:right w:val="nil"/>
            </w:tcBorders>
            <w:shd w:val="clear" w:color="auto" w:fill="auto"/>
            <w:noWrap/>
            <w:vAlign w:val="bottom"/>
            <w:hideMark/>
          </w:tcPr>
          <w:p w14:paraId="2B559356"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-5.79e-08</w:t>
            </w:r>
          </w:p>
        </w:tc>
        <w:tc>
          <w:tcPr>
            <w:tcW w:w="1059" w:type="dxa"/>
            <w:tcBorders>
              <w:top w:val="nil"/>
              <w:left w:val="nil"/>
              <w:bottom w:val="nil"/>
              <w:right w:val="nil"/>
            </w:tcBorders>
            <w:shd w:val="clear" w:color="auto" w:fill="auto"/>
            <w:noWrap/>
            <w:vAlign w:val="bottom"/>
            <w:hideMark/>
          </w:tcPr>
          <w:p w14:paraId="0D0202D1"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-1.31e-05***</w:t>
            </w:r>
          </w:p>
        </w:tc>
        <w:tc>
          <w:tcPr>
            <w:tcW w:w="1014" w:type="dxa"/>
            <w:tcBorders>
              <w:top w:val="nil"/>
              <w:left w:val="nil"/>
              <w:bottom w:val="nil"/>
              <w:right w:val="nil"/>
            </w:tcBorders>
            <w:shd w:val="clear" w:color="auto" w:fill="auto"/>
            <w:noWrap/>
            <w:vAlign w:val="bottom"/>
            <w:hideMark/>
          </w:tcPr>
          <w:p w14:paraId="2132C4B9"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139" w:type="dxa"/>
            <w:tcBorders>
              <w:top w:val="nil"/>
              <w:left w:val="nil"/>
              <w:bottom w:val="nil"/>
              <w:right w:val="nil"/>
            </w:tcBorders>
            <w:shd w:val="clear" w:color="auto" w:fill="auto"/>
            <w:noWrap/>
            <w:vAlign w:val="bottom"/>
            <w:hideMark/>
          </w:tcPr>
          <w:p w14:paraId="33B1BAE9"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-7.02e-06**</w:t>
            </w:r>
          </w:p>
        </w:tc>
      </w:tr>
      <w:tr w:rsidR="00585C26" w:rsidRPr="00986F85" w14:paraId="451FFFC3" w14:textId="77777777" w:rsidTr="00585C26">
        <w:trPr>
          <w:trHeight w:val="240"/>
        </w:trPr>
        <w:tc>
          <w:tcPr>
            <w:tcW w:w="3441" w:type="dxa"/>
            <w:tcBorders>
              <w:top w:val="nil"/>
              <w:left w:val="nil"/>
              <w:bottom w:val="nil"/>
              <w:right w:val="nil"/>
            </w:tcBorders>
            <w:shd w:val="clear" w:color="auto" w:fill="auto"/>
            <w:noWrap/>
            <w:vAlign w:val="bottom"/>
            <w:hideMark/>
          </w:tcPr>
          <w:p w14:paraId="21C2AF03" w14:textId="77777777" w:rsidR="00585C26" w:rsidRPr="00986F85" w:rsidRDefault="00585C26" w:rsidP="00585C26">
            <w:pPr>
              <w:suppressAutoHyphens w:val="0"/>
              <w:spacing w:after="0" w:line="240" w:lineRule="auto"/>
              <w:rPr>
                <w:rFonts w:eastAsia="Times New Roman" w:cs="Arial"/>
                <w:sz w:val="20"/>
                <w:szCs w:val="20"/>
                <w:lang w:val="en-US" w:eastAsia="en-US"/>
              </w:rPr>
            </w:pPr>
          </w:p>
        </w:tc>
        <w:tc>
          <w:tcPr>
            <w:tcW w:w="994" w:type="dxa"/>
            <w:tcBorders>
              <w:top w:val="nil"/>
              <w:left w:val="nil"/>
              <w:bottom w:val="nil"/>
              <w:right w:val="nil"/>
            </w:tcBorders>
            <w:shd w:val="clear" w:color="auto" w:fill="auto"/>
            <w:noWrap/>
            <w:vAlign w:val="bottom"/>
            <w:hideMark/>
          </w:tcPr>
          <w:p w14:paraId="44C0BDFD"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314559B8"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(1.33e-07)</w:t>
            </w:r>
          </w:p>
        </w:tc>
        <w:tc>
          <w:tcPr>
            <w:tcW w:w="1057" w:type="dxa"/>
            <w:tcBorders>
              <w:top w:val="nil"/>
              <w:left w:val="nil"/>
              <w:bottom w:val="nil"/>
              <w:right w:val="nil"/>
            </w:tcBorders>
            <w:shd w:val="clear" w:color="auto" w:fill="auto"/>
            <w:noWrap/>
            <w:vAlign w:val="bottom"/>
            <w:hideMark/>
          </w:tcPr>
          <w:p w14:paraId="4C8FB445"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(2.98e-07)</w:t>
            </w:r>
          </w:p>
        </w:tc>
        <w:tc>
          <w:tcPr>
            <w:tcW w:w="1059" w:type="dxa"/>
            <w:tcBorders>
              <w:top w:val="nil"/>
              <w:left w:val="nil"/>
              <w:bottom w:val="nil"/>
              <w:right w:val="nil"/>
            </w:tcBorders>
            <w:shd w:val="clear" w:color="auto" w:fill="auto"/>
            <w:noWrap/>
            <w:vAlign w:val="bottom"/>
            <w:hideMark/>
          </w:tcPr>
          <w:p w14:paraId="40039F65"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(3.18e-07)</w:t>
            </w:r>
          </w:p>
        </w:tc>
        <w:tc>
          <w:tcPr>
            <w:tcW w:w="1059" w:type="dxa"/>
            <w:tcBorders>
              <w:top w:val="nil"/>
              <w:left w:val="nil"/>
              <w:bottom w:val="nil"/>
              <w:right w:val="nil"/>
            </w:tcBorders>
            <w:shd w:val="clear" w:color="auto" w:fill="auto"/>
            <w:noWrap/>
            <w:vAlign w:val="bottom"/>
            <w:hideMark/>
          </w:tcPr>
          <w:p w14:paraId="6606C7D8"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(2.19e-06)</w:t>
            </w:r>
          </w:p>
        </w:tc>
        <w:tc>
          <w:tcPr>
            <w:tcW w:w="1014" w:type="dxa"/>
            <w:tcBorders>
              <w:top w:val="nil"/>
              <w:left w:val="nil"/>
              <w:bottom w:val="nil"/>
              <w:right w:val="nil"/>
            </w:tcBorders>
            <w:shd w:val="clear" w:color="auto" w:fill="auto"/>
            <w:noWrap/>
            <w:vAlign w:val="bottom"/>
            <w:hideMark/>
          </w:tcPr>
          <w:p w14:paraId="2D2DA7B9"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139" w:type="dxa"/>
            <w:tcBorders>
              <w:top w:val="nil"/>
              <w:left w:val="nil"/>
              <w:bottom w:val="nil"/>
              <w:right w:val="nil"/>
            </w:tcBorders>
            <w:shd w:val="clear" w:color="auto" w:fill="auto"/>
            <w:noWrap/>
            <w:vAlign w:val="bottom"/>
            <w:hideMark/>
          </w:tcPr>
          <w:p w14:paraId="4B884085"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(3.51e-06)</w:t>
            </w:r>
          </w:p>
        </w:tc>
      </w:tr>
      <w:tr w:rsidR="00585C26" w:rsidRPr="00986F85" w14:paraId="1E3D5B1E" w14:textId="77777777" w:rsidTr="00585C26">
        <w:trPr>
          <w:trHeight w:val="240"/>
        </w:trPr>
        <w:tc>
          <w:tcPr>
            <w:tcW w:w="3441" w:type="dxa"/>
            <w:tcBorders>
              <w:top w:val="nil"/>
              <w:left w:val="nil"/>
              <w:bottom w:val="nil"/>
              <w:right w:val="nil"/>
            </w:tcBorders>
            <w:shd w:val="clear" w:color="auto" w:fill="auto"/>
            <w:noWrap/>
            <w:vAlign w:val="bottom"/>
            <w:hideMark/>
          </w:tcPr>
          <w:p w14:paraId="77A3C6AF"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Eredmény</w:t>
            </w:r>
          </w:p>
        </w:tc>
        <w:tc>
          <w:tcPr>
            <w:tcW w:w="994" w:type="dxa"/>
            <w:tcBorders>
              <w:top w:val="nil"/>
              <w:left w:val="nil"/>
              <w:bottom w:val="nil"/>
              <w:right w:val="nil"/>
            </w:tcBorders>
            <w:shd w:val="clear" w:color="auto" w:fill="auto"/>
            <w:noWrap/>
            <w:vAlign w:val="bottom"/>
            <w:hideMark/>
          </w:tcPr>
          <w:p w14:paraId="610A2886"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5DC18DBF"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6567B5E5"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2.95e-07**</w:t>
            </w:r>
          </w:p>
        </w:tc>
        <w:tc>
          <w:tcPr>
            <w:tcW w:w="1059" w:type="dxa"/>
            <w:tcBorders>
              <w:top w:val="nil"/>
              <w:left w:val="nil"/>
              <w:bottom w:val="nil"/>
              <w:right w:val="nil"/>
            </w:tcBorders>
            <w:shd w:val="clear" w:color="auto" w:fill="auto"/>
            <w:noWrap/>
            <w:vAlign w:val="bottom"/>
            <w:hideMark/>
          </w:tcPr>
          <w:p w14:paraId="56BA0667"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3.67e-07**</w:t>
            </w:r>
          </w:p>
        </w:tc>
        <w:tc>
          <w:tcPr>
            <w:tcW w:w="1059" w:type="dxa"/>
            <w:tcBorders>
              <w:top w:val="nil"/>
              <w:left w:val="nil"/>
              <w:bottom w:val="nil"/>
              <w:right w:val="nil"/>
            </w:tcBorders>
            <w:shd w:val="clear" w:color="auto" w:fill="auto"/>
            <w:noWrap/>
            <w:vAlign w:val="bottom"/>
            <w:hideMark/>
          </w:tcPr>
          <w:p w14:paraId="3994930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14" w:type="dxa"/>
            <w:tcBorders>
              <w:top w:val="nil"/>
              <w:left w:val="nil"/>
              <w:bottom w:val="nil"/>
              <w:right w:val="nil"/>
            </w:tcBorders>
            <w:shd w:val="clear" w:color="auto" w:fill="auto"/>
            <w:noWrap/>
            <w:vAlign w:val="bottom"/>
            <w:hideMark/>
          </w:tcPr>
          <w:p w14:paraId="13DA60AC"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139" w:type="dxa"/>
            <w:tcBorders>
              <w:top w:val="nil"/>
              <w:left w:val="nil"/>
              <w:bottom w:val="nil"/>
              <w:right w:val="nil"/>
            </w:tcBorders>
            <w:shd w:val="clear" w:color="auto" w:fill="auto"/>
            <w:noWrap/>
            <w:vAlign w:val="bottom"/>
            <w:hideMark/>
          </w:tcPr>
          <w:p w14:paraId="3BBB5F21"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r>
      <w:tr w:rsidR="00585C26" w:rsidRPr="00986F85" w14:paraId="07C6B02A" w14:textId="77777777" w:rsidTr="00585C26">
        <w:trPr>
          <w:trHeight w:val="240"/>
        </w:trPr>
        <w:tc>
          <w:tcPr>
            <w:tcW w:w="3441" w:type="dxa"/>
            <w:tcBorders>
              <w:top w:val="nil"/>
              <w:left w:val="nil"/>
              <w:bottom w:val="nil"/>
              <w:right w:val="nil"/>
            </w:tcBorders>
            <w:shd w:val="clear" w:color="auto" w:fill="auto"/>
            <w:noWrap/>
            <w:vAlign w:val="bottom"/>
            <w:hideMark/>
          </w:tcPr>
          <w:p w14:paraId="32DD577B" w14:textId="77777777" w:rsidR="00585C26" w:rsidRPr="00986F85" w:rsidRDefault="00585C26" w:rsidP="00585C26">
            <w:pPr>
              <w:suppressAutoHyphens w:val="0"/>
              <w:spacing w:after="0" w:line="240" w:lineRule="auto"/>
              <w:rPr>
                <w:rFonts w:eastAsia="Times New Roman" w:cs="Arial"/>
                <w:sz w:val="20"/>
                <w:szCs w:val="20"/>
                <w:lang w:val="en-US" w:eastAsia="en-US"/>
              </w:rPr>
            </w:pPr>
          </w:p>
        </w:tc>
        <w:tc>
          <w:tcPr>
            <w:tcW w:w="994" w:type="dxa"/>
            <w:tcBorders>
              <w:top w:val="nil"/>
              <w:left w:val="nil"/>
              <w:bottom w:val="nil"/>
              <w:right w:val="nil"/>
            </w:tcBorders>
            <w:shd w:val="clear" w:color="auto" w:fill="auto"/>
            <w:noWrap/>
            <w:vAlign w:val="bottom"/>
            <w:hideMark/>
          </w:tcPr>
          <w:p w14:paraId="7071CB65"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5894C6F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5EA2EE4A"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(1.49e-07)</w:t>
            </w:r>
          </w:p>
        </w:tc>
        <w:tc>
          <w:tcPr>
            <w:tcW w:w="1059" w:type="dxa"/>
            <w:tcBorders>
              <w:top w:val="nil"/>
              <w:left w:val="nil"/>
              <w:bottom w:val="nil"/>
              <w:right w:val="nil"/>
            </w:tcBorders>
            <w:shd w:val="clear" w:color="auto" w:fill="auto"/>
            <w:noWrap/>
            <w:vAlign w:val="bottom"/>
            <w:hideMark/>
          </w:tcPr>
          <w:p w14:paraId="2B9C7BE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(1.50e-07)</w:t>
            </w:r>
          </w:p>
        </w:tc>
        <w:tc>
          <w:tcPr>
            <w:tcW w:w="1059" w:type="dxa"/>
            <w:tcBorders>
              <w:top w:val="nil"/>
              <w:left w:val="nil"/>
              <w:bottom w:val="nil"/>
              <w:right w:val="nil"/>
            </w:tcBorders>
            <w:shd w:val="clear" w:color="auto" w:fill="auto"/>
            <w:noWrap/>
            <w:vAlign w:val="bottom"/>
            <w:hideMark/>
          </w:tcPr>
          <w:p w14:paraId="2D4B1448"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14" w:type="dxa"/>
            <w:tcBorders>
              <w:top w:val="nil"/>
              <w:left w:val="nil"/>
              <w:bottom w:val="nil"/>
              <w:right w:val="nil"/>
            </w:tcBorders>
            <w:shd w:val="clear" w:color="auto" w:fill="auto"/>
            <w:noWrap/>
            <w:vAlign w:val="bottom"/>
            <w:hideMark/>
          </w:tcPr>
          <w:p w14:paraId="3455D830"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139" w:type="dxa"/>
            <w:tcBorders>
              <w:top w:val="nil"/>
              <w:left w:val="nil"/>
              <w:bottom w:val="nil"/>
              <w:right w:val="nil"/>
            </w:tcBorders>
            <w:shd w:val="clear" w:color="auto" w:fill="auto"/>
            <w:noWrap/>
            <w:vAlign w:val="bottom"/>
            <w:hideMark/>
          </w:tcPr>
          <w:p w14:paraId="5C536E98"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r>
      <w:tr w:rsidR="00585C26" w:rsidRPr="00986F85" w14:paraId="704C9269" w14:textId="77777777" w:rsidTr="00585C26">
        <w:trPr>
          <w:trHeight w:val="240"/>
        </w:trPr>
        <w:tc>
          <w:tcPr>
            <w:tcW w:w="3441" w:type="dxa"/>
            <w:tcBorders>
              <w:top w:val="nil"/>
              <w:left w:val="nil"/>
              <w:bottom w:val="nil"/>
              <w:right w:val="nil"/>
            </w:tcBorders>
            <w:shd w:val="clear" w:color="auto" w:fill="auto"/>
            <w:noWrap/>
            <w:vAlign w:val="bottom"/>
            <w:hideMark/>
          </w:tcPr>
          <w:p w14:paraId="6C60E0CB"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lastRenderedPageBreak/>
              <w:t>Tárgyi eszköz</w:t>
            </w:r>
          </w:p>
        </w:tc>
        <w:tc>
          <w:tcPr>
            <w:tcW w:w="994" w:type="dxa"/>
            <w:tcBorders>
              <w:top w:val="nil"/>
              <w:left w:val="nil"/>
              <w:bottom w:val="nil"/>
              <w:right w:val="nil"/>
            </w:tcBorders>
            <w:shd w:val="clear" w:color="auto" w:fill="auto"/>
            <w:noWrap/>
            <w:vAlign w:val="bottom"/>
            <w:hideMark/>
          </w:tcPr>
          <w:p w14:paraId="5B9CCC06"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294BDAD2"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5E167F8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8.09e-08**</w:t>
            </w:r>
          </w:p>
        </w:tc>
        <w:tc>
          <w:tcPr>
            <w:tcW w:w="1059" w:type="dxa"/>
            <w:tcBorders>
              <w:top w:val="nil"/>
              <w:left w:val="nil"/>
              <w:bottom w:val="nil"/>
              <w:right w:val="nil"/>
            </w:tcBorders>
            <w:shd w:val="clear" w:color="auto" w:fill="auto"/>
            <w:noWrap/>
            <w:vAlign w:val="bottom"/>
            <w:hideMark/>
          </w:tcPr>
          <w:p w14:paraId="20285F8D"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7.13e-08**</w:t>
            </w:r>
          </w:p>
        </w:tc>
        <w:tc>
          <w:tcPr>
            <w:tcW w:w="1059" w:type="dxa"/>
            <w:tcBorders>
              <w:top w:val="nil"/>
              <w:left w:val="nil"/>
              <w:bottom w:val="nil"/>
              <w:right w:val="nil"/>
            </w:tcBorders>
            <w:shd w:val="clear" w:color="auto" w:fill="auto"/>
            <w:noWrap/>
            <w:vAlign w:val="bottom"/>
            <w:hideMark/>
          </w:tcPr>
          <w:p w14:paraId="47E66C74"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14" w:type="dxa"/>
            <w:tcBorders>
              <w:top w:val="nil"/>
              <w:left w:val="nil"/>
              <w:bottom w:val="nil"/>
              <w:right w:val="nil"/>
            </w:tcBorders>
            <w:shd w:val="clear" w:color="auto" w:fill="auto"/>
            <w:noWrap/>
            <w:vAlign w:val="bottom"/>
            <w:hideMark/>
          </w:tcPr>
          <w:p w14:paraId="6DDB7BE0"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139" w:type="dxa"/>
            <w:tcBorders>
              <w:top w:val="nil"/>
              <w:left w:val="nil"/>
              <w:bottom w:val="nil"/>
              <w:right w:val="nil"/>
            </w:tcBorders>
            <w:shd w:val="clear" w:color="auto" w:fill="auto"/>
            <w:noWrap/>
            <w:vAlign w:val="bottom"/>
            <w:hideMark/>
          </w:tcPr>
          <w:p w14:paraId="182C2322"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r>
      <w:tr w:rsidR="00585C26" w:rsidRPr="00986F85" w14:paraId="1BF992ED" w14:textId="77777777" w:rsidTr="00585C26">
        <w:trPr>
          <w:trHeight w:val="240"/>
        </w:trPr>
        <w:tc>
          <w:tcPr>
            <w:tcW w:w="3441" w:type="dxa"/>
            <w:tcBorders>
              <w:top w:val="nil"/>
              <w:left w:val="nil"/>
              <w:bottom w:val="nil"/>
              <w:right w:val="nil"/>
            </w:tcBorders>
            <w:shd w:val="clear" w:color="auto" w:fill="auto"/>
            <w:noWrap/>
            <w:vAlign w:val="bottom"/>
            <w:hideMark/>
          </w:tcPr>
          <w:p w14:paraId="4499B5CA" w14:textId="77777777" w:rsidR="00585C26" w:rsidRPr="00986F85" w:rsidRDefault="00585C26" w:rsidP="00585C26">
            <w:pPr>
              <w:suppressAutoHyphens w:val="0"/>
              <w:spacing w:after="0" w:line="240" w:lineRule="auto"/>
              <w:rPr>
                <w:rFonts w:eastAsia="Times New Roman" w:cs="Arial"/>
                <w:sz w:val="20"/>
                <w:szCs w:val="20"/>
                <w:lang w:val="en-US" w:eastAsia="en-US"/>
              </w:rPr>
            </w:pPr>
          </w:p>
        </w:tc>
        <w:tc>
          <w:tcPr>
            <w:tcW w:w="994" w:type="dxa"/>
            <w:tcBorders>
              <w:top w:val="nil"/>
              <w:left w:val="nil"/>
              <w:bottom w:val="nil"/>
              <w:right w:val="nil"/>
            </w:tcBorders>
            <w:shd w:val="clear" w:color="auto" w:fill="auto"/>
            <w:noWrap/>
            <w:vAlign w:val="bottom"/>
            <w:hideMark/>
          </w:tcPr>
          <w:p w14:paraId="57DFD2BC"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40A453A8"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7B2A3A4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(3.33e-08)</w:t>
            </w:r>
          </w:p>
        </w:tc>
        <w:tc>
          <w:tcPr>
            <w:tcW w:w="1059" w:type="dxa"/>
            <w:tcBorders>
              <w:top w:val="nil"/>
              <w:left w:val="nil"/>
              <w:bottom w:val="nil"/>
              <w:right w:val="nil"/>
            </w:tcBorders>
            <w:shd w:val="clear" w:color="auto" w:fill="auto"/>
            <w:noWrap/>
            <w:vAlign w:val="bottom"/>
            <w:hideMark/>
          </w:tcPr>
          <w:p w14:paraId="1E0BC038"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(3.41e-08)</w:t>
            </w:r>
          </w:p>
        </w:tc>
        <w:tc>
          <w:tcPr>
            <w:tcW w:w="1059" w:type="dxa"/>
            <w:tcBorders>
              <w:top w:val="nil"/>
              <w:left w:val="nil"/>
              <w:bottom w:val="nil"/>
              <w:right w:val="nil"/>
            </w:tcBorders>
            <w:shd w:val="clear" w:color="auto" w:fill="auto"/>
            <w:noWrap/>
            <w:vAlign w:val="bottom"/>
            <w:hideMark/>
          </w:tcPr>
          <w:p w14:paraId="43D9DDD0"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14" w:type="dxa"/>
            <w:tcBorders>
              <w:top w:val="nil"/>
              <w:left w:val="nil"/>
              <w:bottom w:val="nil"/>
              <w:right w:val="nil"/>
            </w:tcBorders>
            <w:shd w:val="clear" w:color="auto" w:fill="auto"/>
            <w:noWrap/>
            <w:vAlign w:val="bottom"/>
            <w:hideMark/>
          </w:tcPr>
          <w:p w14:paraId="181F5A9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139" w:type="dxa"/>
            <w:tcBorders>
              <w:top w:val="nil"/>
              <w:left w:val="nil"/>
              <w:bottom w:val="nil"/>
              <w:right w:val="nil"/>
            </w:tcBorders>
            <w:shd w:val="clear" w:color="auto" w:fill="auto"/>
            <w:noWrap/>
            <w:vAlign w:val="bottom"/>
            <w:hideMark/>
          </w:tcPr>
          <w:p w14:paraId="05E42203"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r>
      <w:tr w:rsidR="00585C26" w:rsidRPr="00986F85" w14:paraId="652AB7E2" w14:textId="77777777" w:rsidTr="00585C26">
        <w:trPr>
          <w:trHeight w:val="240"/>
        </w:trPr>
        <w:tc>
          <w:tcPr>
            <w:tcW w:w="3441" w:type="dxa"/>
            <w:tcBorders>
              <w:top w:val="nil"/>
              <w:left w:val="nil"/>
              <w:bottom w:val="nil"/>
              <w:right w:val="nil"/>
            </w:tcBorders>
            <w:shd w:val="clear" w:color="auto" w:fill="auto"/>
            <w:noWrap/>
            <w:vAlign w:val="bottom"/>
            <w:hideMark/>
          </w:tcPr>
          <w:p w14:paraId="50864CA9"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Rövid lejáratú kötelezettségek</w:t>
            </w:r>
          </w:p>
        </w:tc>
        <w:tc>
          <w:tcPr>
            <w:tcW w:w="994" w:type="dxa"/>
            <w:tcBorders>
              <w:top w:val="nil"/>
              <w:left w:val="nil"/>
              <w:bottom w:val="nil"/>
              <w:right w:val="nil"/>
            </w:tcBorders>
            <w:shd w:val="clear" w:color="auto" w:fill="auto"/>
            <w:noWrap/>
            <w:vAlign w:val="bottom"/>
            <w:hideMark/>
          </w:tcPr>
          <w:p w14:paraId="4B37E2EF"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3A09C81C"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244EB97C"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-1.02e-08</w:t>
            </w:r>
          </w:p>
        </w:tc>
        <w:tc>
          <w:tcPr>
            <w:tcW w:w="1059" w:type="dxa"/>
            <w:tcBorders>
              <w:top w:val="nil"/>
              <w:left w:val="nil"/>
              <w:bottom w:val="nil"/>
              <w:right w:val="nil"/>
            </w:tcBorders>
            <w:shd w:val="clear" w:color="auto" w:fill="auto"/>
            <w:noWrap/>
            <w:vAlign w:val="bottom"/>
            <w:hideMark/>
          </w:tcPr>
          <w:p w14:paraId="7B2E7F51"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3.40e-09</w:t>
            </w:r>
          </w:p>
        </w:tc>
        <w:tc>
          <w:tcPr>
            <w:tcW w:w="1059" w:type="dxa"/>
            <w:tcBorders>
              <w:top w:val="nil"/>
              <w:left w:val="nil"/>
              <w:bottom w:val="nil"/>
              <w:right w:val="nil"/>
            </w:tcBorders>
            <w:shd w:val="clear" w:color="auto" w:fill="auto"/>
            <w:noWrap/>
            <w:vAlign w:val="bottom"/>
            <w:hideMark/>
          </w:tcPr>
          <w:p w14:paraId="41D74C3F"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14" w:type="dxa"/>
            <w:tcBorders>
              <w:top w:val="nil"/>
              <w:left w:val="nil"/>
              <w:bottom w:val="nil"/>
              <w:right w:val="nil"/>
            </w:tcBorders>
            <w:shd w:val="clear" w:color="auto" w:fill="auto"/>
            <w:noWrap/>
            <w:vAlign w:val="bottom"/>
            <w:hideMark/>
          </w:tcPr>
          <w:p w14:paraId="7B94F69B"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139" w:type="dxa"/>
            <w:tcBorders>
              <w:top w:val="nil"/>
              <w:left w:val="nil"/>
              <w:bottom w:val="nil"/>
              <w:right w:val="nil"/>
            </w:tcBorders>
            <w:shd w:val="clear" w:color="auto" w:fill="auto"/>
            <w:noWrap/>
            <w:vAlign w:val="bottom"/>
            <w:hideMark/>
          </w:tcPr>
          <w:p w14:paraId="1CC5A3D4"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r>
      <w:tr w:rsidR="00585C26" w:rsidRPr="00986F85" w14:paraId="533C4A72" w14:textId="77777777" w:rsidTr="00585C26">
        <w:trPr>
          <w:trHeight w:val="240"/>
        </w:trPr>
        <w:tc>
          <w:tcPr>
            <w:tcW w:w="3441" w:type="dxa"/>
            <w:tcBorders>
              <w:top w:val="nil"/>
              <w:left w:val="nil"/>
              <w:bottom w:val="nil"/>
              <w:right w:val="nil"/>
            </w:tcBorders>
            <w:shd w:val="clear" w:color="auto" w:fill="auto"/>
            <w:noWrap/>
            <w:vAlign w:val="bottom"/>
            <w:hideMark/>
          </w:tcPr>
          <w:p w14:paraId="32DD37F6" w14:textId="77777777" w:rsidR="00585C26" w:rsidRPr="00986F85" w:rsidRDefault="00585C26" w:rsidP="00585C26">
            <w:pPr>
              <w:suppressAutoHyphens w:val="0"/>
              <w:spacing w:after="0" w:line="240" w:lineRule="auto"/>
              <w:rPr>
                <w:rFonts w:eastAsia="Times New Roman" w:cs="Arial"/>
                <w:sz w:val="20"/>
                <w:szCs w:val="20"/>
                <w:lang w:val="en-US" w:eastAsia="en-US"/>
              </w:rPr>
            </w:pPr>
          </w:p>
        </w:tc>
        <w:tc>
          <w:tcPr>
            <w:tcW w:w="994" w:type="dxa"/>
            <w:tcBorders>
              <w:top w:val="nil"/>
              <w:left w:val="nil"/>
              <w:bottom w:val="nil"/>
              <w:right w:val="nil"/>
            </w:tcBorders>
            <w:shd w:val="clear" w:color="auto" w:fill="auto"/>
            <w:noWrap/>
            <w:vAlign w:val="bottom"/>
            <w:hideMark/>
          </w:tcPr>
          <w:p w14:paraId="6BB8B08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275A2FC6"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49E77FE4"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(1.82e-08)</w:t>
            </w:r>
          </w:p>
        </w:tc>
        <w:tc>
          <w:tcPr>
            <w:tcW w:w="1059" w:type="dxa"/>
            <w:tcBorders>
              <w:top w:val="nil"/>
              <w:left w:val="nil"/>
              <w:bottom w:val="nil"/>
              <w:right w:val="nil"/>
            </w:tcBorders>
            <w:shd w:val="clear" w:color="auto" w:fill="auto"/>
            <w:noWrap/>
            <w:vAlign w:val="bottom"/>
            <w:hideMark/>
          </w:tcPr>
          <w:p w14:paraId="51223A2C"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(1.93e-08)</w:t>
            </w:r>
          </w:p>
        </w:tc>
        <w:tc>
          <w:tcPr>
            <w:tcW w:w="1059" w:type="dxa"/>
            <w:tcBorders>
              <w:top w:val="nil"/>
              <w:left w:val="nil"/>
              <w:bottom w:val="nil"/>
              <w:right w:val="nil"/>
            </w:tcBorders>
            <w:shd w:val="clear" w:color="auto" w:fill="auto"/>
            <w:noWrap/>
            <w:vAlign w:val="bottom"/>
            <w:hideMark/>
          </w:tcPr>
          <w:p w14:paraId="291E9CDA"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14" w:type="dxa"/>
            <w:tcBorders>
              <w:top w:val="nil"/>
              <w:left w:val="nil"/>
              <w:bottom w:val="nil"/>
              <w:right w:val="nil"/>
            </w:tcBorders>
            <w:shd w:val="clear" w:color="auto" w:fill="auto"/>
            <w:noWrap/>
            <w:vAlign w:val="bottom"/>
            <w:hideMark/>
          </w:tcPr>
          <w:p w14:paraId="16741C22"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139" w:type="dxa"/>
            <w:tcBorders>
              <w:top w:val="nil"/>
              <w:left w:val="nil"/>
              <w:bottom w:val="nil"/>
              <w:right w:val="nil"/>
            </w:tcBorders>
            <w:shd w:val="clear" w:color="auto" w:fill="auto"/>
            <w:noWrap/>
            <w:vAlign w:val="bottom"/>
            <w:hideMark/>
          </w:tcPr>
          <w:p w14:paraId="7F67FC05"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r>
      <w:tr w:rsidR="00585C26" w:rsidRPr="00986F85" w14:paraId="0CC1B3A4" w14:textId="77777777" w:rsidTr="00585C26">
        <w:trPr>
          <w:trHeight w:val="240"/>
        </w:trPr>
        <w:tc>
          <w:tcPr>
            <w:tcW w:w="3441" w:type="dxa"/>
            <w:tcBorders>
              <w:top w:val="nil"/>
              <w:left w:val="nil"/>
              <w:bottom w:val="nil"/>
              <w:right w:val="nil"/>
            </w:tcBorders>
            <w:shd w:val="clear" w:color="auto" w:fill="auto"/>
            <w:noWrap/>
            <w:vAlign w:val="bottom"/>
            <w:hideMark/>
          </w:tcPr>
          <w:p w14:paraId="4B00D05B"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Nettó árbevétel</w:t>
            </w:r>
          </w:p>
        </w:tc>
        <w:tc>
          <w:tcPr>
            <w:tcW w:w="994" w:type="dxa"/>
            <w:tcBorders>
              <w:top w:val="nil"/>
              <w:left w:val="nil"/>
              <w:bottom w:val="nil"/>
              <w:right w:val="nil"/>
            </w:tcBorders>
            <w:shd w:val="clear" w:color="auto" w:fill="auto"/>
            <w:noWrap/>
            <w:vAlign w:val="bottom"/>
            <w:hideMark/>
          </w:tcPr>
          <w:p w14:paraId="7945FDD5"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0D27DF39"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4DAB5783"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1.11e-09</w:t>
            </w:r>
          </w:p>
        </w:tc>
        <w:tc>
          <w:tcPr>
            <w:tcW w:w="1059" w:type="dxa"/>
            <w:tcBorders>
              <w:top w:val="nil"/>
              <w:left w:val="nil"/>
              <w:bottom w:val="nil"/>
              <w:right w:val="nil"/>
            </w:tcBorders>
            <w:shd w:val="clear" w:color="auto" w:fill="auto"/>
            <w:noWrap/>
            <w:vAlign w:val="bottom"/>
            <w:hideMark/>
          </w:tcPr>
          <w:p w14:paraId="41491335"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9" w:type="dxa"/>
            <w:tcBorders>
              <w:top w:val="nil"/>
              <w:left w:val="nil"/>
              <w:bottom w:val="nil"/>
              <w:right w:val="nil"/>
            </w:tcBorders>
            <w:shd w:val="clear" w:color="auto" w:fill="auto"/>
            <w:noWrap/>
            <w:vAlign w:val="bottom"/>
            <w:hideMark/>
          </w:tcPr>
          <w:p w14:paraId="2B72B132"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14" w:type="dxa"/>
            <w:tcBorders>
              <w:top w:val="nil"/>
              <w:left w:val="nil"/>
              <w:bottom w:val="nil"/>
              <w:right w:val="nil"/>
            </w:tcBorders>
            <w:shd w:val="clear" w:color="auto" w:fill="auto"/>
            <w:noWrap/>
            <w:vAlign w:val="bottom"/>
            <w:hideMark/>
          </w:tcPr>
          <w:p w14:paraId="6A0495F1"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139" w:type="dxa"/>
            <w:tcBorders>
              <w:top w:val="nil"/>
              <w:left w:val="nil"/>
              <w:bottom w:val="nil"/>
              <w:right w:val="nil"/>
            </w:tcBorders>
            <w:shd w:val="clear" w:color="auto" w:fill="auto"/>
            <w:noWrap/>
            <w:vAlign w:val="bottom"/>
            <w:hideMark/>
          </w:tcPr>
          <w:p w14:paraId="4CF92307"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r>
      <w:tr w:rsidR="00585C26" w:rsidRPr="00986F85" w14:paraId="1A3BC5C6" w14:textId="77777777" w:rsidTr="00585C26">
        <w:trPr>
          <w:trHeight w:val="240"/>
        </w:trPr>
        <w:tc>
          <w:tcPr>
            <w:tcW w:w="3441" w:type="dxa"/>
            <w:tcBorders>
              <w:top w:val="nil"/>
              <w:left w:val="nil"/>
              <w:bottom w:val="nil"/>
              <w:right w:val="nil"/>
            </w:tcBorders>
            <w:shd w:val="clear" w:color="auto" w:fill="auto"/>
            <w:noWrap/>
            <w:vAlign w:val="bottom"/>
            <w:hideMark/>
          </w:tcPr>
          <w:p w14:paraId="7E1543DC" w14:textId="77777777" w:rsidR="00585C26" w:rsidRPr="00986F85" w:rsidRDefault="00585C26" w:rsidP="00585C26">
            <w:pPr>
              <w:suppressAutoHyphens w:val="0"/>
              <w:spacing w:after="0" w:line="240" w:lineRule="auto"/>
              <w:rPr>
                <w:rFonts w:eastAsia="Times New Roman" w:cs="Arial"/>
                <w:sz w:val="20"/>
                <w:szCs w:val="20"/>
                <w:lang w:val="en-US" w:eastAsia="en-US"/>
              </w:rPr>
            </w:pPr>
          </w:p>
        </w:tc>
        <w:tc>
          <w:tcPr>
            <w:tcW w:w="994" w:type="dxa"/>
            <w:tcBorders>
              <w:top w:val="nil"/>
              <w:left w:val="nil"/>
              <w:bottom w:val="nil"/>
              <w:right w:val="nil"/>
            </w:tcBorders>
            <w:shd w:val="clear" w:color="auto" w:fill="auto"/>
            <w:noWrap/>
            <w:vAlign w:val="bottom"/>
            <w:hideMark/>
          </w:tcPr>
          <w:p w14:paraId="10D95259"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7C38EAE2"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2E97D60A"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(3.48e-09)</w:t>
            </w:r>
          </w:p>
        </w:tc>
        <w:tc>
          <w:tcPr>
            <w:tcW w:w="1059" w:type="dxa"/>
            <w:tcBorders>
              <w:top w:val="nil"/>
              <w:left w:val="nil"/>
              <w:bottom w:val="nil"/>
              <w:right w:val="nil"/>
            </w:tcBorders>
            <w:shd w:val="clear" w:color="auto" w:fill="auto"/>
            <w:noWrap/>
            <w:vAlign w:val="bottom"/>
            <w:hideMark/>
          </w:tcPr>
          <w:p w14:paraId="11FB13E1"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9" w:type="dxa"/>
            <w:tcBorders>
              <w:top w:val="nil"/>
              <w:left w:val="nil"/>
              <w:bottom w:val="nil"/>
              <w:right w:val="nil"/>
            </w:tcBorders>
            <w:shd w:val="clear" w:color="auto" w:fill="auto"/>
            <w:noWrap/>
            <w:vAlign w:val="bottom"/>
            <w:hideMark/>
          </w:tcPr>
          <w:p w14:paraId="683654D6"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14" w:type="dxa"/>
            <w:tcBorders>
              <w:top w:val="nil"/>
              <w:left w:val="nil"/>
              <w:bottom w:val="nil"/>
              <w:right w:val="nil"/>
            </w:tcBorders>
            <w:shd w:val="clear" w:color="auto" w:fill="auto"/>
            <w:noWrap/>
            <w:vAlign w:val="bottom"/>
            <w:hideMark/>
          </w:tcPr>
          <w:p w14:paraId="07617521"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139" w:type="dxa"/>
            <w:tcBorders>
              <w:top w:val="nil"/>
              <w:left w:val="nil"/>
              <w:bottom w:val="nil"/>
              <w:right w:val="nil"/>
            </w:tcBorders>
            <w:shd w:val="clear" w:color="auto" w:fill="auto"/>
            <w:noWrap/>
            <w:vAlign w:val="bottom"/>
            <w:hideMark/>
          </w:tcPr>
          <w:p w14:paraId="40D72F3B"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r>
      <w:tr w:rsidR="00585C26" w:rsidRPr="00986F85" w14:paraId="1B8D338D" w14:textId="77777777" w:rsidTr="00585C26">
        <w:trPr>
          <w:trHeight w:val="240"/>
        </w:trPr>
        <w:tc>
          <w:tcPr>
            <w:tcW w:w="3441" w:type="dxa"/>
            <w:tcBorders>
              <w:top w:val="nil"/>
              <w:left w:val="nil"/>
              <w:bottom w:val="nil"/>
              <w:right w:val="nil"/>
            </w:tcBorders>
            <w:shd w:val="clear" w:color="auto" w:fill="auto"/>
            <w:noWrap/>
            <w:vAlign w:val="bottom"/>
            <w:hideMark/>
          </w:tcPr>
          <w:p w14:paraId="021F0085"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Export árbevétel</w:t>
            </w:r>
          </w:p>
        </w:tc>
        <w:tc>
          <w:tcPr>
            <w:tcW w:w="994" w:type="dxa"/>
            <w:tcBorders>
              <w:top w:val="nil"/>
              <w:left w:val="nil"/>
              <w:bottom w:val="nil"/>
              <w:right w:val="nil"/>
            </w:tcBorders>
            <w:shd w:val="clear" w:color="auto" w:fill="auto"/>
            <w:noWrap/>
            <w:vAlign w:val="bottom"/>
            <w:hideMark/>
          </w:tcPr>
          <w:p w14:paraId="7A639BA5"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5A570506"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5768A04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9" w:type="dxa"/>
            <w:tcBorders>
              <w:top w:val="nil"/>
              <w:left w:val="nil"/>
              <w:bottom w:val="nil"/>
              <w:right w:val="nil"/>
            </w:tcBorders>
            <w:shd w:val="clear" w:color="auto" w:fill="auto"/>
            <w:noWrap/>
            <w:vAlign w:val="bottom"/>
            <w:hideMark/>
          </w:tcPr>
          <w:p w14:paraId="63DAA41B"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-9.50e-08*</w:t>
            </w:r>
          </w:p>
        </w:tc>
        <w:tc>
          <w:tcPr>
            <w:tcW w:w="1059" w:type="dxa"/>
            <w:tcBorders>
              <w:top w:val="nil"/>
              <w:left w:val="nil"/>
              <w:bottom w:val="nil"/>
              <w:right w:val="nil"/>
            </w:tcBorders>
            <w:shd w:val="clear" w:color="auto" w:fill="auto"/>
            <w:noWrap/>
            <w:vAlign w:val="bottom"/>
            <w:hideMark/>
          </w:tcPr>
          <w:p w14:paraId="55D67C7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14" w:type="dxa"/>
            <w:tcBorders>
              <w:top w:val="nil"/>
              <w:left w:val="nil"/>
              <w:bottom w:val="nil"/>
              <w:right w:val="nil"/>
            </w:tcBorders>
            <w:shd w:val="clear" w:color="auto" w:fill="auto"/>
            <w:noWrap/>
            <w:vAlign w:val="bottom"/>
            <w:hideMark/>
          </w:tcPr>
          <w:p w14:paraId="2072E210"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139" w:type="dxa"/>
            <w:tcBorders>
              <w:top w:val="nil"/>
              <w:left w:val="nil"/>
              <w:bottom w:val="nil"/>
              <w:right w:val="nil"/>
            </w:tcBorders>
            <w:shd w:val="clear" w:color="auto" w:fill="auto"/>
            <w:noWrap/>
            <w:vAlign w:val="bottom"/>
            <w:hideMark/>
          </w:tcPr>
          <w:p w14:paraId="7257560D"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r>
      <w:tr w:rsidR="00585C26" w:rsidRPr="00986F85" w14:paraId="7C5E8469" w14:textId="77777777" w:rsidTr="00585C26">
        <w:trPr>
          <w:trHeight w:val="260"/>
        </w:trPr>
        <w:tc>
          <w:tcPr>
            <w:tcW w:w="3441" w:type="dxa"/>
            <w:tcBorders>
              <w:top w:val="nil"/>
              <w:left w:val="nil"/>
              <w:bottom w:val="nil"/>
              <w:right w:val="nil"/>
            </w:tcBorders>
            <w:shd w:val="clear" w:color="auto" w:fill="auto"/>
            <w:noWrap/>
            <w:vAlign w:val="bottom"/>
            <w:hideMark/>
          </w:tcPr>
          <w:p w14:paraId="12FF6165" w14:textId="77777777" w:rsidR="00585C26" w:rsidRPr="00986F85" w:rsidRDefault="00585C26" w:rsidP="00585C26">
            <w:pPr>
              <w:suppressAutoHyphens w:val="0"/>
              <w:spacing w:after="0" w:line="240" w:lineRule="auto"/>
              <w:rPr>
                <w:rFonts w:eastAsia="Times New Roman" w:cs="Arial"/>
                <w:sz w:val="20"/>
                <w:szCs w:val="20"/>
                <w:lang w:val="en-US" w:eastAsia="en-US"/>
              </w:rPr>
            </w:pPr>
          </w:p>
        </w:tc>
        <w:tc>
          <w:tcPr>
            <w:tcW w:w="994" w:type="dxa"/>
            <w:tcBorders>
              <w:top w:val="nil"/>
              <w:left w:val="nil"/>
              <w:bottom w:val="nil"/>
              <w:right w:val="nil"/>
            </w:tcBorders>
            <w:shd w:val="clear" w:color="auto" w:fill="auto"/>
            <w:noWrap/>
            <w:vAlign w:val="bottom"/>
            <w:hideMark/>
          </w:tcPr>
          <w:p w14:paraId="6A4829D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6D7B231B"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27FEAD82"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9" w:type="dxa"/>
            <w:tcBorders>
              <w:top w:val="nil"/>
              <w:left w:val="nil"/>
              <w:bottom w:val="nil"/>
              <w:right w:val="nil"/>
            </w:tcBorders>
            <w:shd w:val="clear" w:color="auto" w:fill="auto"/>
            <w:noWrap/>
            <w:vAlign w:val="bottom"/>
            <w:hideMark/>
          </w:tcPr>
          <w:p w14:paraId="705320E0"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(4.99e-08)</w:t>
            </w:r>
          </w:p>
        </w:tc>
        <w:tc>
          <w:tcPr>
            <w:tcW w:w="1059" w:type="dxa"/>
            <w:tcBorders>
              <w:top w:val="nil"/>
              <w:left w:val="nil"/>
              <w:bottom w:val="nil"/>
              <w:right w:val="nil"/>
            </w:tcBorders>
            <w:shd w:val="clear" w:color="auto" w:fill="auto"/>
            <w:noWrap/>
            <w:vAlign w:val="bottom"/>
            <w:hideMark/>
          </w:tcPr>
          <w:p w14:paraId="40212A9C"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14" w:type="dxa"/>
            <w:tcBorders>
              <w:top w:val="nil"/>
              <w:left w:val="nil"/>
              <w:bottom w:val="nil"/>
              <w:right w:val="nil"/>
            </w:tcBorders>
            <w:shd w:val="clear" w:color="auto" w:fill="auto"/>
            <w:noWrap/>
            <w:vAlign w:val="bottom"/>
            <w:hideMark/>
          </w:tcPr>
          <w:p w14:paraId="536C789D"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139" w:type="dxa"/>
            <w:tcBorders>
              <w:top w:val="nil"/>
              <w:left w:val="nil"/>
              <w:bottom w:val="nil"/>
              <w:right w:val="nil"/>
            </w:tcBorders>
            <w:shd w:val="clear" w:color="auto" w:fill="auto"/>
            <w:noWrap/>
            <w:vAlign w:val="bottom"/>
            <w:hideMark/>
          </w:tcPr>
          <w:p w14:paraId="035C05F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r>
      <w:tr w:rsidR="00585C26" w:rsidRPr="00986F85" w14:paraId="4253AE28" w14:textId="77777777" w:rsidTr="00585C26">
        <w:trPr>
          <w:trHeight w:val="260"/>
        </w:trPr>
        <w:tc>
          <w:tcPr>
            <w:tcW w:w="3441" w:type="dxa"/>
            <w:tcBorders>
              <w:top w:val="single" w:sz="8" w:space="0" w:color="BFBFBF"/>
              <w:left w:val="single" w:sz="8" w:space="0" w:color="BFBFBF"/>
              <w:bottom w:val="single" w:sz="8" w:space="0" w:color="BFBFBF"/>
              <w:right w:val="single" w:sz="8" w:space="0" w:color="BFBFBF"/>
            </w:tcBorders>
            <w:shd w:val="clear" w:color="000000" w:fill="FFFFFF"/>
            <w:vAlign w:val="center"/>
            <w:hideMark/>
          </w:tcPr>
          <w:p w14:paraId="510AB79D"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Jegyzett tőke (log)</w:t>
            </w:r>
          </w:p>
        </w:tc>
        <w:tc>
          <w:tcPr>
            <w:tcW w:w="994" w:type="dxa"/>
            <w:tcBorders>
              <w:top w:val="nil"/>
              <w:left w:val="nil"/>
              <w:bottom w:val="nil"/>
              <w:right w:val="nil"/>
            </w:tcBorders>
            <w:shd w:val="clear" w:color="auto" w:fill="auto"/>
            <w:noWrap/>
            <w:vAlign w:val="bottom"/>
            <w:hideMark/>
          </w:tcPr>
          <w:p w14:paraId="2332EB76"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737FD725"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0A6D9903"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9" w:type="dxa"/>
            <w:tcBorders>
              <w:top w:val="nil"/>
              <w:left w:val="nil"/>
              <w:bottom w:val="nil"/>
              <w:right w:val="nil"/>
            </w:tcBorders>
            <w:shd w:val="clear" w:color="auto" w:fill="auto"/>
            <w:noWrap/>
            <w:vAlign w:val="bottom"/>
            <w:hideMark/>
          </w:tcPr>
          <w:p w14:paraId="2993B13A"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9" w:type="dxa"/>
            <w:tcBorders>
              <w:top w:val="nil"/>
              <w:left w:val="nil"/>
              <w:bottom w:val="nil"/>
              <w:right w:val="nil"/>
            </w:tcBorders>
            <w:shd w:val="clear" w:color="auto" w:fill="auto"/>
            <w:noWrap/>
            <w:vAlign w:val="bottom"/>
            <w:hideMark/>
          </w:tcPr>
          <w:p w14:paraId="2202CD32"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-0.0161*</w:t>
            </w:r>
          </w:p>
        </w:tc>
        <w:tc>
          <w:tcPr>
            <w:tcW w:w="1014" w:type="dxa"/>
            <w:tcBorders>
              <w:top w:val="nil"/>
              <w:left w:val="nil"/>
              <w:bottom w:val="nil"/>
              <w:right w:val="nil"/>
            </w:tcBorders>
            <w:shd w:val="clear" w:color="auto" w:fill="auto"/>
            <w:noWrap/>
            <w:vAlign w:val="bottom"/>
            <w:hideMark/>
          </w:tcPr>
          <w:p w14:paraId="6086C9CF"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-0.0230***</w:t>
            </w:r>
          </w:p>
        </w:tc>
        <w:tc>
          <w:tcPr>
            <w:tcW w:w="1139" w:type="dxa"/>
            <w:tcBorders>
              <w:top w:val="nil"/>
              <w:left w:val="nil"/>
              <w:bottom w:val="nil"/>
              <w:right w:val="nil"/>
            </w:tcBorders>
            <w:shd w:val="clear" w:color="auto" w:fill="auto"/>
            <w:noWrap/>
            <w:vAlign w:val="bottom"/>
            <w:hideMark/>
          </w:tcPr>
          <w:p w14:paraId="2DF8F174"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-0.0832***</w:t>
            </w:r>
          </w:p>
        </w:tc>
      </w:tr>
      <w:tr w:rsidR="00585C26" w:rsidRPr="00986F85" w14:paraId="6D058D09" w14:textId="77777777" w:rsidTr="00585C26">
        <w:trPr>
          <w:trHeight w:hRule="exact" w:val="260"/>
        </w:trPr>
        <w:tc>
          <w:tcPr>
            <w:tcW w:w="3441" w:type="dxa"/>
            <w:tcBorders>
              <w:top w:val="nil"/>
              <w:left w:val="single" w:sz="8" w:space="0" w:color="BFBFBF"/>
              <w:bottom w:val="single" w:sz="8" w:space="0" w:color="BFBFBF"/>
              <w:right w:val="single" w:sz="8" w:space="0" w:color="BFBFBF"/>
            </w:tcBorders>
            <w:shd w:val="clear" w:color="000000" w:fill="FFFFFF"/>
            <w:vAlign w:val="center"/>
            <w:hideMark/>
          </w:tcPr>
          <w:p w14:paraId="1F4D0528"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 </w:t>
            </w:r>
          </w:p>
        </w:tc>
        <w:tc>
          <w:tcPr>
            <w:tcW w:w="994" w:type="dxa"/>
            <w:tcBorders>
              <w:top w:val="nil"/>
              <w:left w:val="nil"/>
              <w:bottom w:val="nil"/>
              <w:right w:val="nil"/>
            </w:tcBorders>
            <w:shd w:val="clear" w:color="auto" w:fill="auto"/>
            <w:noWrap/>
            <w:vAlign w:val="bottom"/>
            <w:hideMark/>
          </w:tcPr>
          <w:p w14:paraId="68CB9417"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64FD17E9"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5C8B3284"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9" w:type="dxa"/>
            <w:tcBorders>
              <w:top w:val="nil"/>
              <w:left w:val="nil"/>
              <w:bottom w:val="nil"/>
              <w:right w:val="nil"/>
            </w:tcBorders>
            <w:shd w:val="clear" w:color="auto" w:fill="auto"/>
            <w:noWrap/>
            <w:vAlign w:val="bottom"/>
            <w:hideMark/>
          </w:tcPr>
          <w:p w14:paraId="631DC8D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9" w:type="dxa"/>
            <w:tcBorders>
              <w:top w:val="nil"/>
              <w:left w:val="nil"/>
              <w:bottom w:val="nil"/>
              <w:right w:val="nil"/>
            </w:tcBorders>
            <w:shd w:val="clear" w:color="auto" w:fill="auto"/>
            <w:noWrap/>
            <w:vAlign w:val="bottom"/>
            <w:hideMark/>
          </w:tcPr>
          <w:p w14:paraId="08AFE177"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(0.00865)</w:t>
            </w:r>
          </w:p>
        </w:tc>
        <w:tc>
          <w:tcPr>
            <w:tcW w:w="1014" w:type="dxa"/>
            <w:tcBorders>
              <w:top w:val="nil"/>
              <w:left w:val="nil"/>
              <w:bottom w:val="nil"/>
              <w:right w:val="nil"/>
            </w:tcBorders>
            <w:shd w:val="clear" w:color="auto" w:fill="auto"/>
            <w:noWrap/>
            <w:vAlign w:val="bottom"/>
            <w:hideMark/>
          </w:tcPr>
          <w:p w14:paraId="5E694C86"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(0.00846)</w:t>
            </w:r>
          </w:p>
        </w:tc>
        <w:tc>
          <w:tcPr>
            <w:tcW w:w="1139" w:type="dxa"/>
            <w:tcBorders>
              <w:top w:val="nil"/>
              <w:left w:val="nil"/>
              <w:bottom w:val="nil"/>
              <w:right w:val="nil"/>
            </w:tcBorders>
            <w:shd w:val="clear" w:color="auto" w:fill="auto"/>
            <w:noWrap/>
            <w:vAlign w:val="bottom"/>
            <w:hideMark/>
          </w:tcPr>
          <w:p w14:paraId="08A996A9"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(0.0190)</w:t>
            </w:r>
          </w:p>
        </w:tc>
      </w:tr>
      <w:tr w:rsidR="00585C26" w:rsidRPr="00986F85" w14:paraId="54FBE01E" w14:textId="77777777" w:rsidTr="00585C26">
        <w:trPr>
          <w:trHeight w:hRule="exact" w:val="260"/>
        </w:trPr>
        <w:tc>
          <w:tcPr>
            <w:tcW w:w="3441" w:type="dxa"/>
            <w:tcBorders>
              <w:top w:val="nil"/>
              <w:left w:val="single" w:sz="8" w:space="0" w:color="BFBFBF"/>
              <w:bottom w:val="single" w:sz="8" w:space="0" w:color="BFBFBF"/>
              <w:right w:val="single" w:sz="8" w:space="0" w:color="BFBFBF"/>
            </w:tcBorders>
            <w:shd w:val="clear" w:color="000000" w:fill="FFFFFF"/>
            <w:vAlign w:val="center"/>
            <w:hideMark/>
          </w:tcPr>
          <w:p w14:paraId="09008297"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Tárgyi eszköz (log)</w:t>
            </w:r>
          </w:p>
        </w:tc>
        <w:tc>
          <w:tcPr>
            <w:tcW w:w="994" w:type="dxa"/>
            <w:tcBorders>
              <w:top w:val="nil"/>
              <w:left w:val="nil"/>
              <w:bottom w:val="nil"/>
              <w:right w:val="nil"/>
            </w:tcBorders>
            <w:shd w:val="clear" w:color="auto" w:fill="auto"/>
            <w:noWrap/>
            <w:vAlign w:val="bottom"/>
            <w:hideMark/>
          </w:tcPr>
          <w:p w14:paraId="739E991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266511E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0E6D9F05"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9" w:type="dxa"/>
            <w:tcBorders>
              <w:top w:val="nil"/>
              <w:left w:val="nil"/>
              <w:bottom w:val="nil"/>
              <w:right w:val="nil"/>
            </w:tcBorders>
            <w:shd w:val="clear" w:color="auto" w:fill="auto"/>
            <w:noWrap/>
            <w:vAlign w:val="bottom"/>
            <w:hideMark/>
          </w:tcPr>
          <w:p w14:paraId="1E7A4834"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9" w:type="dxa"/>
            <w:tcBorders>
              <w:top w:val="nil"/>
              <w:left w:val="nil"/>
              <w:bottom w:val="nil"/>
              <w:right w:val="nil"/>
            </w:tcBorders>
            <w:shd w:val="clear" w:color="auto" w:fill="auto"/>
            <w:noWrap/>
            <w:vAlign w:val="bottom"/>
            <w:hideMark/>
          </w:tcPr>
          <w:p w14:paraId="5430AE02"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0.260***</w:t>
            </w:r>
          </w:p>
        </w:tc>
        <w:tc>
          <w:tcPr>
            <w:tcW w:w="1014" w:type="dxa"/>
            <w:tcBorders>
              <w:top w:val="nil"/>
              <w:left w:val="nil"/>
              <w:bottom w:val="nil"/>
              <w:right w:val="nil"/>
            </w:tcBorders>
            <w:shd w:val="clear" w:color="auto" w:fill="auto"/>
            <w:noWrap/>
            <w:vAlign w:val="bottom"/>
            <w:hideMark/>
          </w:tcPr>
          <w:p w14:paraId="6A9068A0"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0.199***</w:t>
            </w:r>
          </w:p>
        </w:tc>
        <w:tc>
          <w:tcPr>
            <w:tcW w:w="1139" w:type="dxa"/>
            <w:tcBorders>
              <w:top w:val="nil"/>
              <w:left w:val="nil"/>
              <w:bottom w:val="nil"/>
              <w:right w:val="nil"/>
            </w:tcBorders>
            <w:shd w:val="clear" w:color="auto" w:fill="auto"/>
            <w:noWrap/>
            <w:vAlign w:val="bottom"/>
            <w:hideMark/>
          </w:tcPr>
          <w:p w14:paraId="410AC387"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0.278***</w:t>
            </w:r>
          </w:p>
        </w:tc>
      </w:tr>
      <w:tr w:rsidR="00585C26" w:rsidRPr="00986F85" w14:paraId="21984B64" w14:textId="77777777" w:rsidTr="00585C26">
        <w:trPr>
          <w:trHeight w:hRule="exact" w:val="260"/>
        </w:trPr>
        <w:tc>
          <w:tcPr>
            <w:tcW w:w="3441" w:type="dxa"/>
            <w:tcBorders>
              <w:top w:val="nil"/>
              <w:left w:val="single" w:sz="8" w:space="0" w:color="BFBFBF"/>
              <w:bottom w:val="single" w:sz="8" w:space="0" w:color="BFBFBF"/>
              <w:right w:val="single" w:sz="8" w:space="0" w:color="BFBFBF"/>
            </w:tcBorders>
            <w:shd w:val="clear" w:color="000000" w:fill="FFFFFF"/>
            <w:vAlign w:val="center"/>
            <w:hideMark/>
          </w:tcPr>
          <w:p w14:paraId="5DD1C313"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 </w:t>
            </w:r>
          </w:p>
        </w:tc>
        <w:tc>
          <w:tcPr>
            <w:tcW w:w="994" w:type="dxa"/>
            <w:tcBorders>
              <w:top w:val="nil"/>
              <w:left w:val="nil"/>
              <w:bottom w:val="nil"/>
              <w:right w:val="nil"/>
            </w:tcBorders>
            <w:shd w:val="clear" w:color="auto" w:fill="auto"/>
            <w:noWrap/>
            <w:vAlign w:val="bottom"/>
            <w:hideMark/>
          </w:tcPr>
          <w:p w14:paraId="5335AA7C"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4CDA372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6A83BB45"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9" w:type="dxa"/>
            <w:tcBorders>
              <w:top w:val="nil"/>
              <w:left w:val="nil"/>
              <w:bottom w:val="nil"/>
              <w:right w:val="nil"/>
            </w:tcBorders>
            <w:shd w:val="clear" w:color="auto" w:fill="auto"/>
            <w:noWrap/>
            <w:vAlign w:val="bottom"/>
            <w:hideMark/>
          </w:tcPr>
          <w:p w14:paraId="5AB444EB"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9" w:type="dxa"/>
            <w:tcBorders>
              <w:top w:val="nil"/>
              <w:left w:val="nil"/>
              <w:bottom w:val="nil"/>
              <w:right w:val="nil"/>
            </w:tcBorders>
            <w:shd w:val="clear" w:color="auto" w:fill="auto"/>
            <w:noWrap/>
            <w:vAlign w:val="bottom"/>
            <w:hideMark/>
          </w:tcPr>
          <w:p w14:paraId="50C4D911"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(0.0150)</w:t>
            </w:r>
          </w:p>
        </w:tc>
        <w:tc>
          <w:tcPr>
            <w:tcW w:w="1014" w:type="dxa"/>
            <w:tcBorders>
              <w:top w:val="nil"/>
              <w:left w:val="nil"/>
              <w:bottom w:val="nil"/>
              <w:right w:val="nil"/>
            </w:tcBorders>
            <w:shd w:val="clear" w:color="auto" w:fill="auto"/>
            <w:noWrap/>
            <w:vAlign w:val="bottom"/>
            <w:hideMark/>
          </w:tcPr>
          <w:p w14:paraId="2AC83805"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(0.0116)</w:t>
            </w:r>
          </w:p>
        </w:tc>
        <w:tc>
          <w:tcPr>
            <w:tcW w:w="1139" w:type="dxa"/>
            <w:tcBorders>
              <w:top w:val="nil"/>
              <w:left w:val="nil"/>
              <w:bottom w:val="nil"/>
              <w:right w:val="nil"/>
            </w:tcBorders>
            <w:shd w:val="clear" w:color="auto" w:fill="auto"/>
            <w:noWrap/>
            <w:vAlign w:val="bottom"/>
            <w:hideMark/>
          </w:tcPr>
          <w:p w14:paraId="5E19DF4C"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(0.0319)</w:t>
            </w:r>
          </w:p>
        </w:tc>
      </w:tr>
      <w:tr w:rsidR="00585C26" w:rsidRPr="00986F85" w14:paraId="254B71FB" w14:textId="77777777" w:rsidTr="00585C26">
        <w:trPr>
          <w:trHeight w:hRule="exact" w:val="260"/>
        </w:trPr>
        <w:tc>
          <w:tcPr>
            <w:tcW w:w="3441" w:type="dxa"/>
            <w:tcBorders>
              <w:top w:val="nil"/>
              <w:left w:val="single" w:sz="8" w:space="0" w:color="BFBFBF"/>
              <w:bottom w:val="single" w:sz="8" w:space="0" w:color="BFBFBF"/>
              <w:right w:val="single" w:sz="8" w:space="0" w:color="BFBFBF"/>
            </w:tcBorders>
            <w:shd w:val="clear" w:color="000000" w:fill="FFFFFF"/>
            <w:vAlign w:val="center"/>
            <w:hideMark/>
          </w:tcPr>
          <w:p w14:paraId="6A90FA91"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Árbevétel (log)</w:t>
            </w:r>
          </w:p>
        </w:tc>
        <w:tc>
          <w:tcPr>
            <w:tcW w:w="994" w:type="dxa"/>
            <w:tcBorders>
              <w:top w:val="nil"/>
              <w:left w:val="nil"/>
              <w:bottom w:val="nil"/>
              <w:right w:val="nil"/>
            </w:tcBorders>
            <w:shd w:val="clear" w:color="auto" w:fill="auto"/>
            <w:noWrap/>
            <w:vAlign w:val="bottom"/>
            <w:hideMark/>
          </w:tcPr>
          <w:p w14:paraId="56E97234"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54CF1373"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272A0576"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9" w:type="dxa"/>
            <w:tcBorders>
              <w:top w:val="nil"/>
              <w:left w:val="nil"/>
              <w:bottom w:val="nil"/>
              <w:right w:val="nil"/>
            </w:tcBorders>
            <w:shd w:val="clear" w:color="auto" w:fill="auto"/>
            <w:noWrap/>
            <w:vAlign w:val="bottom"/>
            <w:hideMark/>
          </w:tcPr>
          <w:p w14:paraId="12203BD0"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9" w:type="dxa"/>
            <w:tcBorders>
              <w:top w:val="nil"/>
              <w:left w:val="nil"/>
              <w:bottom w:val="nil"/>
              <w:right w:val="nil"/>
            </w:tcBorders>
            <w:shd w:val="clear" w:color="auto" w:fill="auto"/>
            <w:noWrap/>
            <w:vAlign w:val="bottom"/>
            <w:hideMark/>
          </w:tcPr>
          <w:p w14:paraId="79A35A06"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0.130***</w:t>
            </w:r>
          </w:p>
        </w:tc>
        <w:tc>
          <w:tcPr>
            <w:tcW w:w="1014" w:type="dxa"/>
            <w:tcBorders>
              <w:top w:val="nil"/>
              <w:left w:val="nil"/>
              <w:bottom w:val="nil"/>
              <w:right w:val="nil"/>
            </w:tcBorders>
            <w:shd w:val="clear" w:color="auto" w:fill="auto"/>
            <w:noWrap/>
            <w:vAlign w:val="bottom"/>
            <w:hideMark/>
          </w:tcPr>
          <w:p w14:paraId="0AC1929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0.140***</w:t>
            </w:r>
          </w:p>
        </w:tc>
        <w:tc>
          <w:tcPr>
            <w:tcW w:w="1139" w:type="dxa"/>
            <w:tcBorders>
              <w:top w:val="nil"/>
              <w:left w:val="nil"/>
              <w:bottom w:val="nil"/>
              <w:right w:val="nil"/>
            </w:tcBorders>
            <w:shd w:val="clear" w:color="auto" w:fill="auto"/>
            <w:noWrap/>
            <w:vAlign w:val="bottom"/>
            <w:hideMark/>
          </w:tcPr>
          <w:p w14:paraId="3F226362"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0.144***</w:t>
            </w:r>
          </w:p>
        </w:tc>
      </w:tr>
      <w:tr w:rsidR="00585C26" w:rsidRPr="00986F85" w14:paraId="3224FC40" w14:textId="77777777" w:rsidTr="00585C26">
        <w:trPr>
          <w:trHeight w:hRule="exact" w:val="260"/>
        </w:trPr>
        <w:tc>
          <w:tcPr>
            <w:tcW w:w="3441" w:type="dxa"/>
            <w:tcBorders>
              <w:top w:val="nil"/>
              <w:left w:val="single" w:sz="8" w:space="0" w:color="BFBFBF"/>
              <w:bottom w:val="single" w:sz="8" w:space="0" w:color="BFBFBF"/>
              <w:right w:val="single" w:sz="8" w:space="0" w:color="BFBFBF"/>
            </w:tcBorders>
            <w:shd w:val="clear" w:color="000000" w:fill="FFFFFF"/>
            <w:vAlign w:val="center"/>
            <w:hideMark/>
          </w:tcPr>
          <w:p w14:paraId="5A6079AE"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 </w:t>
            </w:r>
          </w:p>
        </w:tc>
        <w:tc>
          <w:tcPr>
            <w:tcW w:w="994" w:type="dxa"/>
            <w:tcBorders>
              <w:top w:val="nil"/>
              <w:left w:val="nil"/>
              <w:bottom w:val="nil"/>
              <w:right w:val="nil"/>
            </w:tcBorders>
            <w:shd w:val="clear" w:color="auto" w:fill="auto"/>
            <w:noWrap/>
            <w:vAlign w:val="bottom"/>
            <w:hideMark/>
          </w:tcPr>
          <w:p w14:paraId="4228FDB3"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39998EAD"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530343BC"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9" w:type="dxa"/>
            <w:tcBorders>
              <w:top w:val="nil"/>
              <w:left w:val="nil"/>
              <w:bottom w:val="nil"/>
              <w:right w:val="nil"/>
            </w:tcBorders>
            <w:shd w:val="clear" w:color="auto" w:fill="auto"/>
            <w:noWrap/>
            <w:vAlign w:val="bottom"/>
            <w:hideMark/>
          </w:tcPr>
          <w:p w14:paraId="3F4A68AD"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9" w:type="dxa"/>
            <w:tcBorders>
              <w:top w:val="nil"/>
              <w:left w:val="nil"/>
              <w:bottom w:val="nil"/>
              <w:right w:val="nil"/>
            </w:tcBorders>
            <w:shd w:val="clear" w:color="auto" w:fill="auto"/>
            <w:noWrap/>
            <w:vAlign w:val="bottom"/>
            <w:hideMark/>
          </w:tcPr>
          <w:p w14:paraId="249E8579"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(0.0190)</w:t>
            </w:r>
          </w:p>
        </w:tc>
        <w:tc>
          <w:tcPr>
            <w:tcW w:w="1014" w:type="dxa"/>
            <w:tcBorders>
              <w:top w:val="nil"/>
              <w:left w:val="nil"/>
              <w:bottom w:val="nil"/>
              <w:right w:val="nil"/>
            </w:tcBorders>
            <w:shd w:val="clear" w:color="auto" w:fill="auto"/>
            <w:noWrap/>
            <w:vAlign w:val="bottom"/>
            <w:hideMark/>
          </w:tcPr>
          <w:p w14:paraId="70733784"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(0.0188)</w:t>
            </w:r>
          </w:p>
        </w:tc>
        <w:tc>
          <w:tcPr>
            <w:tcW w:w="1139" w:type="dxa"/>
            <w:tcBorders>
              <w:top w:val="nil"/>
              <w:left w:val="nil"/>
              <w:bottom w:val="nil"/>
              <w:right w:val="nil"/>
            </w:tcBorders>
            <w:shd w:val="clear" w:color="auto" w:fill="auto"/>
            <w:noWrap/>
            <w:vAlign w:val="bottom"/>
            <w:hideMark/>
          </w:tcPr>
          <w:p w14:paraId="0F25A483"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(0.0410)</w:t>
            </w:r>
          </w:p>
        </w:tc>
      </w:tr>
      <w:tr w:rsidR="00585C26" w:rsidRPr="00986F85" w14:paraId="09CDB3AF" w14:textId="77777777" w:rsidTr="00585C26">
        <w:trPr>
          <w:trHeight w:hRule="exact" w:val="260"/>
        </w:trPr>
        <w:tc>
          <w:tcPr>
            <w:tcW w:w="3441" w:type="dxa"/>
            <w:tcBorders>
              <w:top w:val="nil"/>
              <w:left w:val="single" w:sz="8" w:space="0" w:color="BFBFBF"/>
              <w:bottom w:val="single" w:sz="8" w:space="0" w:color="BFBFBF"/>
              <w:right w:val="single" w:sz="8" w:space="0" w:color="BFBFBF"/>
            </w:tcBorders>
            <w:shd w:val="clear" w:color="000000" w:fill="FFFFFF"/>
            <w:vAlign w:val="center"/>
            <w:hideMark/>
          </w:tcPr>
          <w:p w14:paraId="4FEDE1BD"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Hozzáadott érték (log)</w:t>
            </w:r>
          </w:p>
        </w:tc>
        <w:tc>
          <w:tcPr>
            <w:tcW w:w="994" w:type="dxa"/>
            <w:tcBorders>
              <w:top w:val="nil"/>
              <w:left w:val="nil"/>
              <w:bottom w:val="nil"/>
              <w:right w:val="nil"/>
            </w:tcBorders>
            <w:shd w:val="clear" w:color="auto" w:fill="auto"/>
            <w:noWrap/>
            <w:vAlign w:val="bottom"/>
            <w:hideMark/>
          </w:tcPr>
          <w:p w14:paraId="73F9FC3A"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584E44D7"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4DB3CB0A"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9" w:type="dxa"/>
            <w:tcBorders>
              <w:top w:val="nil"/>
              <w:left w:val="nil"/>
              <w:bottom w:val="nil"/>
              <w:right w:val="nil"/>
            </w:tcBorders>
            <w:shd w:val="clear" w:color="auto" w:fill="auto"/>
            <w:noWrap/>
            <w:vAlign w:val="bottom"/>
            <w:hideMark/>
          </w:tcPr>
          <w:p w14:paraId="05811DCC"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9" w:type="dxa"/>
            <w:tcBorders>
              <w:top w:val="nil"/>
              <w:left w:val="nil"/>
              <w:bottom w:val="nil"/>
              <w:right w:val="nil"/>
            </w:tcBorders>
            <w:shd w:val="clear" w:color="auto" w:fill="auto"/>
            <w:noWrap/>
            <w:vAlign w:val="bottom"/>
            <w:hideMark/>
          </w:tcPr>
          <w:p w14:paraId="4560C272"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-0.0596**</w:t>
            </w:r>
          </w:p>
        </w:tc>
        <w:tc>
          <w:tcPr>
            <w:tcW w:w="1014" w:type="dxa"/>
            <w:tcBorders>
              <w:top w:val="nil"/>
              <w:left w:val="nil"/>
              <w:bottom w:val="nil"/>
              <w:right w:val="nil"/>
            </w:tcBorders>
            <w:shd w:val="clear" w:color="auto" w:fill="auto"/>
            <w:noWrap/>
            <w:vAlign w:val="bottom"/>
            <w:hideMark/>
          </w:tcPr>
          <w:p w14:paraId="2C10771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-0.0888***</w:t>
            </w:r>
          </w:p>
        </w:tc>
        <w:tc>
          <w:tcPr>
            <w:tcW w:w="1139" w:type="dxa"/>
            <w:tcBorders>
              <w:top w:val="nil"/>
              <w:left w:val="nil"/>
              <w:bottom w:val="nil"/>
              <w:right w:val="nil"/>
            </w:tcBorders>
            <w:shd w:val="clear" w:color="auto" w:fill="auto"/>
            <w:noWrap/>
            <w:vAlign w:val="bottom"/>
            <w:hideMark/>
          </w:tcPr>
          <w:p w14:paraId="0EB67C5D"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-0.123**</w:t>
            </w:r>
          </w:p>
        </w:tc>
      </w:tr>
      <w:tr w:rsidR="00585C26" w:rsidRPr="00986F85" w14:paraId="4065D071" w14:textId="77777777" w:rsidTr="00585C26">
        <w:trPr>
          <w:trHeight w:hRule="exact" w:val="260"/>
        </w:trPr>
        <w:tc>
          <w:tcPr>
            <w:tcW w:w="3441" w:type="dxa"/>
            <w:tcBorders>
              <w:top w:val="nil"/>
              <w:left w:val="single" w:sz="8" w:space="0" w:color="BFBFBF"/>
              <w:bottom w:val="single" w:sz="8" w:space="0" w:color="BFBFBF"/>
              <w:right w:val="single" w:sz="8" w:space="0" w:color="BFBFBF"/>
            </w:tcBorders>
            <w:shd w:val="clear" w:color="000000" w:fill="FFFFFF"/>
            <w:vAlign w:val="center"/>
            <w:hideMark/>
          </w:tcPr>
          <w:p w14:paraId="33730762"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 </w:t>
            </w:r>
          </w:p>
        </w:tc>
        <w:tc>
          <w:tcPr>
            <w:tcW w:w="994" w:type="dxa"/>
            <w:tcBorders>
              <w:top w:val="nil"/>
              <w:left w:val="nil"/>
              <w:bottom w:val="nil"/>
              <w:right w:val="nil"/>
            </w:tcBorders>
            <w:shd w:val="clear" w:color="auto" w:fill="auto"/>
            <w:noWrap/>
            <w:vAlign w:val="bottom"/>
            <w:hideMark/>
          </w:tcPr>
          <w:p w14:paraId="5EEF0707"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12ED7BE0"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3BB5FC2B"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9" w:type="dxa"/>
            <w:tcBorders>
              <w:top w:val="nil"/>
              <w:left w:val="nil"/>
              <w:bottom w:val="nil"/>
              <w:right w:val="nil"/>
            </w:tcBorders>
            <w:shd w:val="clear" w:color="auto" w:fill="auto"/>
            <w:noWrap/>
            <w:vAlign w:val="bottom"/>
            <w:hideMark/>
          </w:tcPr>
          <w:p w14:paraId="4F97D583"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9" w:type="dxa"/>
            <w:tcBorders>
              <w:top w:val="nil"/>
              <w:left w:val="nil"/>
              <w:bottom w:val="nil"/>
              <w:right w:val="nil"/>
            </w:tcBorders>
            <w:shd w:val="clear" w:color="auto" w:fill="auto"/>
            <w:noWrap/>
            <w:vAlign w:val="bottom"/>
            <w:hideMark/>
          </w:tcPr>
          <w:p w14:paraId="0EE6DEE8"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(0.0255)</w:t>
            </w:r>
          </w:p>
        </w:tc>
        <w:tc>
          <w:tcPr>
            <w:tcW w:w="1014" w:type="dxa"/>
            <w:tcBorders>
              <w:top w:val="nil"/>
              <w:left w:val="nil"/>
              <w:bottom w:val="nil"/>
              <w:right w:val="nil"/>
            </w:tcBorders>
            <w:shd w:val="clear" w:color="auto" w:fill="auto"/>
            <w:noWrap/>
            <w:vAlign w:val="bottom"/>
            <w:hideMark/>
          </w:tcPr>
          <w:p w14:paraId="4A02155D"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(0.0246)</w:t>
            </w:r>
          </w:p>
        </w:tc>
        <w:tc>
          <w:tcPr>
            <w:tcW w:w="1139" w:type="dxa"/>
            <w:tcBorders>
              <w:top w:val="nil"/>
              <w:left w:val="nil"/>
              <w:bottom w:val="nil"/>
              <w:right w:val="nil"/>
            </w:tcBorders>
            <w:shd w:val="clear" w:color="auto" w:fill="auto"/>
            <w:noWrap/>
            <w:vAlign w:val="bottom"/>
            <w:hideMark/>
          </w:tcPr>
          <w:p w14:paraId="4CFA7BA2"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(0.0503)</w:t>
            </w:r>
          </w:p>
        </w:tc>
      </w:tr>
      <w:tr w:rsidR="00585C26" w:rsidRPr="00986F85" w14:paraId="141C929A" w14:textId="77777777" w:rsidTr="00585C26">
        <w:trPr>
          <w:trHeight w:val="240"/>
        </w:trPr>
        <w:tc>
          <w:tcPr>
            <w:tcW w:w="3441" w:type="dxa"/>
            <w:tcBorders>
              <w:top w:val="nil"/>
              <w:left w:val="nil"/>
              <w:bottom w:val="nil"/>
              <w:right w:val="nil"/>
            </w:tcBorders>
            <w:shd w:val="clear" w:color="auto" w:fill="auto"/>
            <w:noWrap/>
            <w:vAlign w:val="bottom"/>
            <w:hideMark/>
          </w:tcPr>
          <w:p w14:paraId="1CFA49AF"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Export bevétel (log)</w:t>
            </w:r>
          </w:p>
        </w:tc>
        <w:tc>
          <w:tcPr>
            <w:tcW w:w="994" w:type="dxa"/>
            <w:tcBorders>
              <w:top w:val="nil"/>
              <w:left w:val="nil"/>
              <w:bottom w:val="nil"/>
              <w:right w:val="nil"/>
            </w:tcBorders>
            <w:shd w:val="clear" w:color="auto" w:fill="auto"/>
            <w:noWrap/>
            <w:vAlign w:val="bottom"/>
            <w:hideMark/>
          </w:tcPr>
          <w:p w14:paraId="48E96EC1"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3E4AB416"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52EB7EE4"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9" w:type="dxa"/>
            <w:tcBorders>
              <w:top w:val="nil"/>
              <w:left w:val="nil"/>
              <w:bottom w:val="nil"/>
              <w:right w:val="nil"/>
            </w:tcBorders>
            <w:shd w:val="clear" w:color="auto" w:fill="auto"/>
            <w:noWrap/>
            <w:vAlign w:val="bottom"/>
            <w:hideMark/>
          </w:tcPr>
          <w:p w14:paraId="2F6FD4EF"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9" w:type="dxa"/>
            <w:tcBorders>
              <w:top w:val="nil"/>
              <w:left w:val="nil"/>
              <w:bottom w:val="nil"/>
              <w:right w:val="nil"/>
            </w:tcBorders>
            <w:shd w:val="clear" w:color="auto" w:fill="auto"/>
            <w:noWrap/>
            <w:vAlign w:val="bottom"/>
            <w:hideMark/>
          </w:tcPr>
          <w:p w14:paraId="7048A213"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14" w:type="dxa"/>
            <w:tcBorders>
              <w:top w:val="nil"/>
              <w:left w:val="nil"/>
              <w:bottom w:val="nil"/>
              <w:right w:val="nil"/>
            </w:tcBorders>
            <w:shd w:val="clear" w:color="auto" w:fill="auto"/>
            <w:noWrap/>
            <w:vAlign w:val="bottom"/>
            <w:hideMark/>
          </w:tcPr>
          <w:p w14:paraId="2D7E9728"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139" w:type="dxa"/>
            <w:tcBorders>
              <w:top w:val="nil"/>
              <w:left w:val="nil"/>
              <w:bottom w:val="nil"/>
              <w:right w:val="nil"/>
            </w:tcBorders>
            <w:shd w:val="clear" w:color="auto" w:fill="auto"/>
            <w:noWrap/>
            <w:vAlign w:val="bottom"/>
            <w:hideMark/>
          </w:tcPr>
          <w:p w14:paraId="6C79B4DE"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-0.0570***</w:t>
            </w:r>
          </w:p>
        </w:tc>
      </w:tr>
      <w:tr w:rsidR="00585C26" w:rsidRPr="00986F85" w14:paraId="09F5C986" w14:textId="77777777" w:rsidTr="00585C26">
        <w:trPr>
          <w:trHeight w:val="240"/>
        </w:trPr>
        <w:tc>
          <w:tcPr>
            <w:tcW w:w="3441" w:type="dxa"/>
            <w:tcBorders>
              <w:top w:val="nil"/>
              <w:left w:val="nil"/>
              <w:bottom w:val="nil"/>
              <w:right w:val="nil"/>
            </w:tcBorders>
            <w:shd w:val="clear" w:color="auto" w:fill="auto"/>
            <w:noWrap/>
            <w:vAlign w:val="bottom"/>
            <w:hideMark/>
          </w:tcPr>
          <w:p w14:paraId="2730CB6E" w14:textId="77777777" w:rsidR="00585C26" w:rsidRPr="00986F85" w:rsidRDefault="00585C26" w:rsidP="00585C26">
            <w:pPr>
              <w:suppressAutoHyphens w:val="0"/>
              <w:spacing w:after="0" w:line="240" w:lineRule="auto"/>
              <w:rPr>
                <w:rFonts w:eastAsia="Times New Roman" w:cs="Arial"/>
                <w:sz w:val="20"/>
                <w:szCs w:val="20"/>
                <w:lang w:val="en-US" w:eastAsia="en-US"/>
              </w:rPr>
            </w:pPr>
          </w:p>
        </w:tc>
        <w:tc>
          <w:tcPr>
            <w:tcW w:w="994" w:type="dxa"/>
            <w:tcBorders>
              <w:top w:val="nil"/>
              <w:left w:val="nil"/>
              <w:bottom w:val="nil"/>
              <w:right w:val="nil"/>
            </w:tcBorders>
            <w:shd w:val="clear" w:color="auto" w:fill="auto"/>
            <w:noWrap/>
            <w:vAlign w:val="bottom"/>
            <w:hideMark/>
          </w:tcPr>
          <w:p w14:paraId="15F8F841"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0B589F6C"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61E8A27D"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9" w:type="dxa"/>
            <w:tcBorders>
              <w:top w:val="nil"/>
              <w:left w:val="nil"/>
              <w:bottom w:val="nil"/>
              <w:right w:val="nil"/>
            </w:tcBorders>
            <w:shd w:val="clear" w:color="auto" w:fill="auto"/>
            <w:noWrap/>
            <w:vAlign w:val="bottom"/>
            <w:hideMark/>
          </w:tcPr>
          <w:p w14:paraId="34AE6E5A"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9" w:type="dxa"/>
            <w:tcBorders>
              <w:top w:val="nil"/>
              <w:left w:val="nil"/>
              <w:bottom w:val="nil"/>
              <w:right w:val="nil"/>
            </w:tcBorders>
            <w:shd w:val="clear" w:color="auto" w:fill="auto"/>
            <w:noWrap/>
            <w:vAlign w:val="bottom"/>
            <w:hideMark/>
          </w:tcPr>
          <w:p w14:paraId="22CC3D7A"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14" w:type="dxa"/>
            <w:tcBorders>
              <w:top w:val="nil"/>
              <w:left w:val="nil"/>
              <w:bottom w:val="nil"/>
              <w:right w:val="nil"/>
            </w:tcBorders>
            <w:shd w:val="clear" w:color="auto" w:fill="auto"/>
            <w:noWrap/>
            <w:vAlign w:val="bottom"/>
            <w:hideMark/>
          </w:tcPr>
          <w:p w14:paraId="105F2F70"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139" w:type="dxa"/>
            <w:tcBorders>
              <w:top w:val="nil"/>
              <w:left w:val="nil"/>
              <w:bottom w:val="nil"/>
              <w:right w:val="nil"/>
            </w:tcBorders>
            <w:shd w:val="clear" w:color="auto" w:fill="auto"/>
            <w:noWrap/>
            <w:vAlign w:val="bottom"/>
            <w:hideMark/>
          </w:tcPr>
          <w:p w14:paraId="2EABA56B"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(0.0125)</w:t>
            </w:r>
          </w:p>
        </w:tc>
      </w:tr>
      <w:tr w:rsidR="00585C26" w:rsidRPr="00986F85" w14:paraId="5B6823E3" w14:textId="77777777" w:rsidTr="00585C26">
        <w:trPr>
          <w:trHeight w:val="240"/>
        </w:trPr>
        <w:tc>
          <w:tcPr>
            <w:tcW w:w="3441" w:type="dxa"/>
            <w:tcBorders>
              <w:top w:val="nil"/>
              <w:left w:val="nil"/>
              <w:bottom w:val="nil"/>
              <w:right w:val="nil"/>
            </w:tcBorders>
            <w:shd w:val="clear" w:color="auto" w:fill="auto"/>
            <w:noWrap/>
            <w:vAlign w:val="bottom"/>
            <w:hideMark/>
          </w:tcPr>
          <w:p w14:paraId="3540D061" w14:textId="77777777" w:rsidR="00585C26" w:rsidRPr="00986F85" w:rsidRDefault="00585C26" w:rsidP="00585C26">
            <w:pPr>
              <w:suppressAutoHyphens w:val="0"/>
              <w:spacing w:after="0" w:line="240" w:lineRule="auto"/>
              <w:rPr>
                <w:rFonts w:eastAsia="Times New Roman" w:cs="Arial"/>
                <w:sz w:val="20"/>
                <w:szCs w:val="20"/>
                <w:lang w:val="en-US" w:eastAsia="en-US"/>
              </w:rPr>
            </w:pPr>
            <w:r w:rsidRPr="00986F85">
              <w:rPr>
                <w:rFonts w:eastAsia="Times New Roman" w:cs="Arial"/>
                <w:sz w:val="20"/>
                <w:szCs w:val="20"/>
                <w:lang w:val="en-US" w:eastAsia="en-US"/>
              </w:rPr>
              <w:t>Konstans</w:t>
            </w:r>
          </w:p>
        </w:tc>
        <w:tc>
          <w:tcPr>
            <w:tcW w:w="994" w:type="dxa"/>
            <w:tcBorders>
              <w:top w:val="nil"/>
              <w:left w:val="nil"/>
              <w:bottom w:val="nil"/>
              <w:right w:val="nil"/>
            </w:tcBorders>
            <w:shd w:val="clear" w:color="auto" w:fill="auto"/>
            <w:noWrap/>
            <w:vAlign w:val="bottom"/>
            <w:hideMark/>
          </w:tcPr>
          <w:p w14:paraId="1286E3A5"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-1.678***</w:t>
            </w:r>
          </w:p>
        </w:tc>
        <w:tc>
          <w:tcPr>
            <w:tcW w:w="1057" w:type="dxa"/>
            <w:tcBorders>
              <w:top w:val="nil"/>
              <w:left w:val="nil"/>
              <w:bottom w:val="nil"/>
              <w:right w:val="nil"/>
            </w:tcBorders>
            <w:shd w:val="clear" w:color="auto" w:fill="auto"/>
            <w:noWrap/>
            <w:vAlign w:val="bottom"/>
            <w:hideMark/>
          </w:tcPr>
          <w:p w14:paraId="5BD7F294"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-2.061***</w:t>
            </w:r>
          </w:p>
        </w:tc>
        <w:tc>
          <w:tcPr>
            <w:tcW w:w="1057" w:type="dxa"/>
            <w:tcBorders>
              <w:top w:val="nil"/>
              <w:left w:val="nil"/>
              <w:bottom w:val="nil"/>
              <w:right w:val="nil"/>
            </w:tcBorders>
            <w:shd w:val="clear" w:color="auto" w:fill="auto"/>
            <w:noWrap/>
            <w:vAlign w:val="bottom"/>
            <w:hideMark/>
          </w:tcPr>
          <w:p w14:paraId="0681F61B"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-2.052***</w:t>
            </w:r>
          </w:p>
        </w:tc>
        <w:tc>
          <w:tcPr>
            <w:tcW w:w="1059" w:type="dxa"/>
            <w:tcBorders>
              <w:top w:val="nil"/>
              <w:left w:val="nil"/>
              <w:bottom w:val="nil"/>
              <w:right w:val="nil"/>
            </w:tcBorders>
            <w:shd w:val="clear" w:color="auto" w:fill="auto"/>
            <w:noWrap/>
            <w:vAlign w:val="bottom"/>
            <w:hideMark/>
          </w:tcPr>
          <w:p w14:paraId="42CB1139"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-2.068***</w:t>
            </w:r>
          </w:p>
        </w:tc>
        <w:tc>
          <w:tcPr>
            <w:tcW w:w="1059" w:type="dxa"/>
            <w:tcBorders>
              <w:top w:val="nil"/>
              <w:left w:val="nil"/>
              <w:bottom w:val="nil"/>
              <w:right w:val="nil"/>
            </w:tcBorders>
            <w:shd w:val="clear" w:color="auto" w:fill="auto"/>
            <w:noWrap/>
            <w:vAlign w:val="bottom"/>
            <w:hideMark/>
          </w:tcPr>
          <w:p w14:paraId="03608004"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-4.902***</w:t>
            </w:r>
          </w:p>
        </w:tc>
        <w:tc>
          <w:tcPr>
            <w:tcW w:w="1014" w:type="dxa"/>
            <w:tcBorders>
              <w:top w:val="nil"/>
              <w:left w:val="nil"/>
              <w:bottom w:val="nil"/>
              <w:right w:val="nil"/>
            </w:tcBorders>
            <w:shd w:val="clear" w:color="auto" w:fill="auto"/>
            <w:noWrap/>
            <w:vAlign w:val="bottom"/>
            <w:hideMark/>
          </w:tcPr>
          <w:p w14:paraId="281BD7CC"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-4.187***</w:t>
            </w:r>
          </w:p>
        </w:tc>
        <w:tc>
          <w:tcPr>
            <w:tcW w:w="1139" w:type="dxa"/>
            <w:tcBorders>
              <w:top w:val="nil"/>
              <w:left w:val="nil"/>
              <w:bottom w:val="nil"/>
              <w:right w:val="nil"/>
            </w:tcBorders>
            <w:shd w:val="clear" w:color="auto" w:fill="auto"/>
            <w:noWrap/>
            <w:vAlign w:val="bottom"/>
            <w:hideMark/>
          </w:tcPr>
          <w:p w14:paraId="4F326561"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-3.451***</w:t>
            </w:r>
          </w:p>
        </w:tc>
      </w:tr>
      <w:tr w:rsidR="00585C26" w:rsidRPr="00986F85" w14:paraId="09E46AA1" w14:textId="77777777" w:rsidTr="00585C26">
        <w:trPr>
          <w:trHeight w:val="240"/>
        </w:trPr>
        <w:tc>
          <w:tcPr>
            <w:tcW w:w="3441" w:type="dxa"/>
            <w:tcBorders>
              <w:top w:val="nil"/>
              <w:left w:val="nil"/>
              <w:bottom w:val="nil"/>
              <w:right w:val="nil"/>
            </w:tcBorders>
            <w:shd w:val="clear" w:color="auto" w:fill="auto"/>
            <w:noWrap/>
            <w:vAlign w:val="bottom"/>
            <w:hideMark/>
          </w:tcPr>
          <w:p w14:paraId="453599A6" w14:textId="77777777" w:rsidR="00585C26" w:rsidRPr="00986F85" w:rsidRDefault="00585C26" w:rsidP="00585C26">
            <w:pPr>
              <w:suppressAutoHyphens w:val="0"/>
              <w:spacing w:after="0" w:line="240" w:lineRule="auto"/>
              <w:rPr>
                <w:rFonts w:eastAsia="Times New Roman" w:cs="Arial"/>
                <w:sz w:val="20"/>
                <w:szCs w:val="20"/>
                <w:lang w:val="en-US" w:eastAsia="en-US"/>
              </w:rPr>
            </w:pPr>
          </w:p>
        </w:tc>
        <w:tc>
          <w:tcPr>
            <w:tcW w:w="994" w:type="dxa"/>
            <w:tcBorders>
              <w:top w:val="nil"/>
              <w:left w:val="nil"/>
              <w:bottom w:val="nil"/>
              <w:right w:val="nil"/>
            </w:tcBorders>
            <w:shd w:val="clear" w:color="auto" w:fill="auto"/>
            <w:noWrap/>
            <w:vAlign w:val="bottom"/>
            <w:hideMark/>
          </w:tcPr>
          <w:p w14:paraId="34545B82"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(0.144)</w:t>
            </w:r>
          </w:p>
        </w:tc>
        <w:tc>
          <w:tcPr>
            <w:tcW w:w="1057" w:type="dxa"/>
            <w:tcBorders>
              <w:top w:val="nil"/>
              <w:left w:val="nil"/>
              <w:bottom w:val="nil"/>
              <w:right w:val="nil"/>
            </w:tcBorders>
            <w:shd w:val="clear" w:color="auto" w:fill="auto"/>
            <w:noWrap/>
            <w:vAlign w:val="bottom"/>
            <w:hideMark/>
          </w:tcPr>
          <w:p w14:paraId="23475AC7"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(0.149)</w:t>
            </w:r>
          </w:p>
        </w:tc>
        <w:tc>
          <w:tcPr>
            <w:tcW w:w="1057" w:type="dxa"/>
            <w:tcBorders>
              <w:top w:val="nil"/>
              <w:left w:val="nil"/>
              <w:bottom w:val="nil"/>
              <w:right w:val="nil"/>
            </w:tcBorders>
            <w:shd w:val="clear" w:color="auto" w:fill="auto"/>
            <w:noWrap/>
            <w:vAlign w:val="bottom"/>
            <w:hideMark/>
          </w:tcPr>
          <w:p w14:paraId="037241E3"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(0.149)</w:t>
            </w:r>
          </w:p>
        </w:tc>
        <w:tc>
          <w:tcPr>
            <w:tcW w:w="1059" w:type="dxa"/>
            <w:tcBorders>
              <w:top w:val="nil"/>
              <w:left w:val="nil"/>
              <w:bottom w:val="nil"/>
              <w:right w:val="nil"/>
            </w:tcBorders>
            <w:shd w:val="clear" w:color="auto" w:fill="auto"/>
            <w:noWrap/>
            <w:vAlign w:val="bottom"/>
            <w:hideMark/>
          </w:tcPr>
          <w:p w14:paraId="515660C7"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(0.150)</w:t>
            </w:r>
          </w:p>
        </w:tc>
        <w:tc>
          <w:tcPr>
            <w:tcW w:w="1059" w:type="dxa"/>
            <w:tcBorders>
              <w:top w:val="nil"/>
              <w:left w:val="nil"/>
              <w:bottom w:val="nil"/>
              <w:right w:val="nil"/>
            </w:tcBorders>
            <w:shd w:val="clear" w:color="auto" w:fill="auto"/>
            <w:noWrap/>
            <w:vAlign w:val="bottom"/>
            <w:hideMark/>
          </w:tcPr>
          <w:p w14:paraId="79CB9EC9"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(0.249)</w:t>
            </w:r>
          </w:p>
        </w:tc>
        <w:tc>
          <w:tcPr>
            <w:tcW w:w="1014" w:type="dxa"/>
            <w:tcBorders>
              <w:top w:val="nil"/>
              <w:left w:val="nil"/>
              <w:bottom w:val="nil"/>
              <w:right w:val="nil"/>
            </w:tcBorders>
            <w:shd w:val="clear" w:color="auto" w:fill="auto"/>
            <w:noWrap/>
            <w:vAlign w:val="bottom"/>
            <w:hideMark/>
          </w:tcPr>
          <w:p w14:paraId="139785D3"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(0.227)</w:t>
            </w:r>
          </w:p>
        </w:tc>
        <w:tc>
          <w:tcPr>
            <w:tcW w:w="1139" w:type="dxa"/>
            <w:tcBorders>
              <w:top w:val="nil"/>
              <w:left w:val="nil"/>
              <w:bottom w:val="nil"/>
              <w:right w:val="nil"/>
            </w:tcBorders>
            <w:shd w:val="clear" w:color="auto" w:fill="auto"/>
            <w:noWrap/>
            <w:vAlign w:val="bottom"/>
            <w:hideMark/>
          </w:tcPr>
          <w:p w14:paraId="36F5AC6C"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r w:rsidRPr="00986F85">
              <w:rPr>
                <w:rFonts w:eastAsia="Times New Roman" w:cs="Arial"/>
                <w:sz w:val="20"/>
                <w:szCs w:val="20"/>
                <w:lang w:val="en-US" w:eastAsia="en-US"/>
              </w:rPr>
              <w:t>(0.674)</w:t>
            </w:r>
          </w:p>
        </w:tc>
      </w:tr>
      <w:tr w:rsidR="00585C26" w:rsidRPr="00986F85" w14:paraId="03FEF357" w14:textId="77777777" w:rsidTr="00585C26">
        <w:trPr>
          <w:trHeight w:val="240"/>
        </w:trPr>
        <w:tc>
          <w:tcPr>
            <w:tcW w:w="3441" w:type="dxa"/>
            <w:tcBorders>
              <w:top w:val="nil"/>
              <w:left w:val="nil"/>
              <w:bottom w:val="nil"/>
              <w:right w:val="nil"/>
            </w:tcBorders>
            <w:shd w:val="clear" w:color="auto" w:fill="auto"/>
            <w:noWrap/>
            <w:vAlign w:val="bottom"/>
            <w:hideMark/>
          </w:tcPr>
          <w:p w14:paraId="1ADB493B" w14:textId="77777777" w:rsidR="00585C26" w:rsidRPr="00986F85" w:rsidRDefault="00585C26" w:rsidP="00585C26">
            <w:pPr>
              <w:suppressAutoHyphens w:val="0"/>
              <w:spacing w:after="0" w:line="240" w:lineRule="auto"/>
              <w:rPr>
                <w:rFonts w:eastAsia="Times New Roman" w:cs="Arial"/>
                <w:sz w:val="20"/>
                <w:szCs w:val="20"/>
                <w:lang w:val="en-US" w:eastAsia="en-US"/>
              </w:rPr>
            </w:pPr>
          </w:p>
        </w:tc>
        <w:tc>
          <w:tcPr>
            <w:tcW w:w="994" w:type="dxa"/>
            <w:tcBorders>
              <w:top w:val="nil"/>
              <w:left w:val="nil"/>
              <w:bottom w:val="nil"/>
              <w:right w:val="nil"/>
            </w:tcBorders>
            <w:shd w:val="clear" w:color="auto" w:fill="auto"/>
            <w:noWrap/>
            <w:vAlign w:val="bottom"/>
            <w:hideMark/>
          </w:tcPr>
          <w:p w14:paraId="69950C63"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16091566"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7" w:type="dxa"/>
            <w:tcBorders>
              <w:top w:val="nil"/>
              <w:left w:val="nil"/>
              <w:bottom w:val="nil"/>
              <w:right w:val="nil"/>
            </w:tcBorders>
            <w:shd w:val="clear" w:color="auto" w:fill="auto"/>
            <w:noWrap/>
            <w:vAlign w:val="bottom"/>
            <w:hideMark/>
          </w:tcPr>
          <w:p w14:paraId="75869EF3"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9" w:type="dxa"/>
            <w:tcBorders>
              <w:top w:val="nil"/>
              <w:left w:val="nil"/>
              <w:bottom w:val="nil"/>
              <w:right w:val="nil"/>
            </w:tcBorders>
            <w:shd w:val="clear" w:color="auto" w:fill="auto"/>
            <w:noWrap/>
            <w:vAlign w:val="bottom"/>
            <w:hideMark/>
          </w:tcPr>
          <w:p w14:paraId="488CD99F"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59" w:type="dxa"/>
            <w:tcBorders>
              <w:top w:val="nil"/>
              <w:left w:val="nil"/>
              <w:bottom w:val="nil"/>
              <w:right w:val="nil"/>
            </w:tcBorders>
            <w:shd w:val="clear" w:color="auto" w:fill="auto"/>
            <w:noWrap/>
            <w:vAlign w:val="bottom"/>
            <w:hideMark/>
          </w:tcPr>
          <w:p w14:paraId="5E8580A7"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014" w:type="dxa"/>
            <w:tcBorders>
              <w:top w:val="nil"/>
              <w:left w:val="nil"/>
              <w:bottom w:val="nil"/>
              <w:right w:val="nil"/>
            </w:tcBorders>
            <w:shd w:val="clear" w:color="auto" w:fill="auto"/>
            <w:noWrap/>
            <w:vAlign w:val="bottom"/>
            <w:hideMark/>
          </w:tcPr>
          <w:p w14:paraId="42A562FB"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c>
          <w:tcPr>
            <w:tcW w:w="1139" w:type="dxa"/>
            <w:tcBorders>
              <w:top w:val="nil"/>
              <w:left w:val="nil"/>
              <w:bottom w:val="nil"/>
              <w:right w:val="nil"/>
            </w:tcBorders>
            <w:shd w:val="clear" w:color="auto" w:fill="auto"/>
            <w:noWrap/>
            <w:vAlign w:val="bottom"/>
            <w:hideMark/>
          </w:tcPr>
          <w:p w14:paraId="5DD308A1" w14:textId="77777777" w:rsidR="00585C26" w:rsidRPr="00986F85" w:rsidRDefault="00585C26" w:rsidP="00585C26">
            <w:pPr>
              <w:suppressAutoHyphens w:val="0"/>
              <w:spacing w:after="0" w:line="240" w:lineRule="auto"/>
              <w:jc w:val="center"/>
              <w:rPr>
                <w:rFonts w:eastAsia="Times New Roman" w:cs="Arial"/>
                <w:sz w:val="20"/>
                <w:szCs w:val="20"/>
                <w:lang w:val="en-US" w:eastAsia="en-US"/>
              </w:rPr>
            </w:pPr>
          </w:p>
        </w:tc>
      </w:tr>
      <w:tr w:rsidR="00585C26" w:rsidRPr="00986F85" w14:paraId="3F7E21E3" w14:textId="77777777" w:rsidTr="00585C26">
        <w:trPr>
          <w:trHeight w:val="240"/>
        </w:trPr>
        <w:tc>
          <w:tcPr>
            <w:tcW w:w="3441" w:type="dxa"/>
            <w:tcBorders>
              <w:top w:val="nil"/>
              <w:left w:val="nil"/>
              <w:bottom w:val="single" w:sz="4" w:space="0" w:color="auto"/>
              <w:right w:val="nil"/>
            </w:tcBorders>
            <w:shd w:val="clear" w:color="auto" w:fill="auto"/>
            <w:noWrap/>
            <w:vAlign w:val="bottom"/>
            <w:hideMark/>
          </w:tcPr>
          <w:p w14:paraId="66CA04D4" w14:textId="77777777" w:rsidR="00585C26" w:rsidRPr="00986F85" w:rsidRDefault="00585C26" w:rsidP="00585C26">
            <w:pPr>
              <w:suppressAutoHyphens w:val="0"/>
              <w:spacing w:after="0" w:line="240" w:lineRule="auto"/>
              <w:rPr>
                <w:rFonts w:eastAsia="Times New Roman" w:cs="Arial"/>
                <w:i/>
                <w:sz w:val="20"/>
                <w:szCs w:val="20"/>
                <w:lang w:val="en-US" w:eastAsia="en-US"/>
              </w:rPr>
            </w:pPr>
            <w:r w:rsidRPr="00986F85">
              <w:rPr>
                <w:rFonts w:eastAsia="Times New Roman" w:cs="Arial"/>
                <w:i/>
                <w:sz w:val="20"/>
                <w:szCs w:val="20"/>
                <w:lang w:val="en-US" w:eastAsia="en-US"/>
              </w:rPr>
              <w:t>Minta elemszáma</w:t>
            </w:r>
          </w:p>
        </w:tc>
        <w:tc>
          <w:tcPr>
            <w:tcW w:w="994" w:type="dxa"/>
            <w:tcBorders>
              <w:top w:val="nil"/>
              <w:left w:val="nil"/>
              <w:bottom w:val="single" w:sz="4" w:space="0" w:color="auto"/>
              <w:right w:val="nil"/>
            </w:tcBorders>
            <w:shd w:val="clear" w:color="auto" w:fill="auto"/>
            <w:noWrap/>
            <w:vAlign w:val="bottom"/>
            <w:hideMark/>
          </w:tcPr>
          <w:p w14:paraId="6F282A01" w14:textId="77777777" w:rsidR="00585C26" w:rsidRPr="00986F85" w:rsidRDefault="00585C26" w:rsidP="00585C26">
            <w:pPr>
              <w:suppressAutoHyphens w:val="0"/>
              <w:spacing w:after="0" w:line="240" w:lineRule="auto"/>
              <w:jc w:val="center"/>
              <w:rPr>
                <w:rFonts w:eastAsia="Times New Roman" w:cs="Arial"/>
                <w:i/>
                <w:sz w:val="20"/>
                <w:szCs w:val="20"/>
                <w:lang w:val="en-US" w:eastAsia="en-US"/>
              </w:rPr>
            </w:pPr>
            <w:r w:rsidRPr="00986F85">
              <w:rPr>
                <w:rFonts w:eastAsia="Times New Roman" w:cs="Arial"/>
                <w:i/>
                <w:sz w:val="20"/>
                <w:szCs w:val="20"/>
                <w:lang w:val="en-US" w:eastAsia="en-US"/>
              </w:rPr>
              <w:t>28,498</w:t>
            </w:r>
          </w:p>
        </w:tc>
        <w:tc>
          <w:tcPr>
            <w:tcW w:w="1057" w:type="dxa"/>
            <w:tcBorders>
              <w:top w:val="nil"/>
              <w:left w:val="nil"/>
              <w:bottom w:val="single" w:sz="4" w:space="0" w:color="auto"/>
              <w:right w:val="nil"/>
            </w:tcBorders>
            <w:shd w:val="clear" w:color="auto" w:fill="auto"/>
            <w:noWrap/>
            <w:vAlign w:val="bottom"/>
            <w:hideMark/>
          </w:tcPr>
          <w:p w14:paraId="72E06544" w14:textId="77777777" w:rsidR="00585C26" w:rsidRPr="00986F85" w:rsidRDefault="00585C26" w:rsidP="00585C26">
            <w:pPr>
              <w:suppressAutoHyphens w:val="0"/>
              <w:spacing w:after="0" w:line="240" w:lineRule="auto"/>
              <w:jc w:val="center"/>
              <w:rPr>
                <w:rFonts w:eastAsia="Times New Roman" w:cs="Arial"/>
                <w:i/>
                <w:sz w:val="20"/>
                <w:szCs w:val="20"/>
                <w:lang w:val="en-US" w:eastAsia="en-US"/>
              </w:rPr>
            </w:pPr>
            <w:r w:rsidRPr="00986F85">
              <w:rPr>
                <w:rFonts w:eastAsia="Times New Roman" w:cs="Arial"/>
                <w:i/>
                <w:sz w:val="20"/>
                <w:szCs w:val="20"/>
                <w:lang w:val="en-US" w:eastAsia="en-US"/>
              </w:rPr>
              <w:t>28,308</w:t>
            </w:r>
          </w:p>
        </w:tc>
        <w:tc>
          <w:tcPr>
            <w:tcW w:w="1057" w:type="dxa"/>
            <w:tcBorders>
              <w:top w:val="nil"/>
              <w:left w:val="nil"/>
              <w:bottom w:val="single" w:sz="4" w:space="0" w:color="auto"/>
              <w:right w:val="nil"/>
            </w:tcBorders>
            <w:shd w:val="clear" w:color="auto" w:fill="auto"/>
            <w:noWrap/>
            <w:vAlign w:val="bottom"/>
            <w:hideMark/>
          </w:tcPr>
          <w:p w14:paraId="2599DA1D" w14:textId="77777777" w:rsidR="00585C26" w:rsidRPr="00986F85" w:rsidRDefault="00585C26" w:rsidP="00585C26">
            <w:pPr>
              <w:suppressAutoHyphens w:val="0"/>
              <w:spacing w:after="0" w:line="240" w:lineRule="auto"/>
              <w:jc w:val="center"/>
              <w:rPr>
                <w:rFonts w:eastAsia="Times New Roman" w:cs="Arial"/>
                <w:i/>
                <w:sz w:val="20"/>
                <w:szCs w:val="20"/>
                <w:lang w:val="en-US" w:eastAsia="en-US"/>
              </w:rPr>
            </w:pPr>
            <w:r w:rsidRPr="00986F85">
              <w:rPr>
                <w:rFonts w:eastAsia="Times New Roman" w:cs="Arial"/>
                <w:i/>
                <w:sz w:val="20"/>
                <w:szCs w:val="20"/>
                <w:lang w:val="en-US" w:eastAsia="en-US"/>
              </w:rPr>
              <w:t>28,308</w:t>
            </w:r>
          </w:p>
        </w:tc>
        <w:tc>
          <w:tcPr>
            <w:tcW w:w="1059" w:type="dxa"/>
            <w:tcBorders>
              <w:top w:val="nil"/>
              <w:left w:val="nil"/>
              <w:bottom w:val="single" w:sz="4" w:space="0" w:color="auto"/>
              <w:right w:val="nil"/>
            </w:tcBorders>
            <w:shd w:val="clear" w:color="auto" w:fill="auto"/>
            <w:noWrap/>
            <w:vAlign w:val="bottom"/>
            <w:hideMark/>
          </w:tcPr>
          <w:p w14:paraId="1A51607B" w14:textId="77777777" w:rsidR="00585C26" w:rsidRPr="00986F85" w:rsidRDefault="00585C26" w:rsidP="00585C26">
            <w:pPr>
              <w:suppressAutoHyphens w:val="0"/>
              <w:spacing w:after="0" w:line="240" w:lineRule="auto"/>
              <w:jc w:val="center"/>
              <w:rPr>
                <w:rFonts w:eastAsia="Times New Roman" w:cs="Arial"/>
                <w:i/>
                <w:sz w:val="20"/>
                <w:szCs w:val="20"/>
                <w:lang w:val="en-US" w:eastAsia="en-US"/>
              </w:rPr>
            </w:pPr>
            <w:r w:rsidRPr="00986F85">
              <w:rPr>
                <w:rFonts w:eastAsia="Times New Roman" w:cs="Arial"/>
                <w:i/>
                <w:sz w:val="20"/>
                <w:szCs w:val="20"/>
                <w:lang w:val="en-US" w:eastAsia="en-US"/>
              </w:rPr>
              <w:t>28,308</w:t>
            </w:r>
          </w:p>
        </w:tc>
        <w:tc>
          <w:tcPr>
            <w:tcW w:w="1059" w:type="dxa"/>
            <w:tcBorders>
              <w:top w:val="nil"/>
              <w:left w:val="nil"/>
              <w:bottom w:val="single" w:sz="4" w:space="0" w:color="auto"/>
              <w:right w:val="nil"/>
            </w:tcBorders>
            <w:shd w:val="clear" w:color="auto" w:fill="auto"/>
            <w:noWrap/>
            <w:vAlign w:val="bottom"/>
            <w:hideMark/>
          </w:tcPr>
          <w:p w14:paraId="3EEF0F46" w14:textId="77777777" w:rsidR="00585C26" w:rsidRPr="00986F85" w:rsidRDefault="00585C26" w:rsidP="00585C26">
            <w:pPr>
              <w:suppressAutoHyphens w:val="0"/>
              <w:spacing w:after="0" w:line="240" w:lineRule="auto"/>
              <w:jc w:val="center"/>
              <w:rPr>
                <w:rFonts w:eastAsia="Times New Roman" w:cs="Arial"/>
                <w:i/>
                <w:sz w:val="20"/>
                <w:szCs w:val="20"/>
                <w:lang w:val="en-US" w:eastAsia="en-US"/>
              </w:rPr>
            </w:pPr>
            <w:r w:rsidRPr="00986F85">
              <w:rPr>
                <w:rFonts w:eastAsia="Times New Roman" w:cs="Arial"/>
                <w:i/>
                <w:sz w:val="20"/>
                <w:szCs w:val="20"/>
                <w:lang w:val="en-US" w:eastAsia="en-US"/>
              </w:rPr>
              <w:t>27,331</w:t>
            </w:r>
          </w:p>
        </w:tc>
        <w:tc>
          <w:tcPr>
            <w:tcW w:w="1014" w:type="dxa"/>
            <w:tcBorders>
              <w:top w:val="nil"/>
              <w:left w:val="nil"/>
              <w:bottom w:val="single" w:sz="4" w:space="0" w:color="auto"/>
              <w:right w:val="nil"/>
            </w:tcBorders>
            <w:shd w:val="clear" w:color="auto" w:fill="auto"/>
            <w:noWrap/>
            <w:vAlign w:val="bottom"/>
            <w:hideMark/>
          </w:tcPr>
          <w:p w14:paraId="7429B9EE" w14:textId="77777777" w:rsidR="00585C26" w:rsidRPr="00986F85" w:rsidRDefault="00585C26" w:rsidP="00585C26">
            <w:pPr>
              <w:suppressAutoHyphens w:val="0"/>
              <w:spacing w:after="0" w:line="240" w:lineRule="auto"/>
              <w:jc w:val="center"/>
              <w:rPr>
                <w:rFonts w:eastAsia="Times New Roman" w:cs="Arial"/>
                <w:i/>
                <w:sz w:val="20"/>
                <w:szCs w:val="20"/>
                <w:lang w:val="en-US" w:eastAsia="en-US"/>
              </w:rPr>
            </w:pPr>
            <w:r w:rsidRPr="00986F85">
              <w:rPr>
                <w:rFonts w:eastAsia="Times New Roman" w:cs="Arial"/>
                <w:i/>
                <w:sz w:val="20"/>
                <w:szCs w:val="20"/>
                <w:lang w:val="en-US" w:eastAsia="en-US"/>
              </w:rPr>
              <w:t>27,331</w:t>
            </w:r>
          </w:p>
        </w:tc>
        <w:tc>
          <w:tcPr>
            <w:tcW w:w="1139" w:type="dxa"/>
            <w:tcBorders>
              <w:top w:val="nil"/>
              <w:left w:val="nil"/>
              <w:bottom w:val="single" w:sz="4" w:space="0" w:color="auto"/>
              <w:right w:val="nil"/>
            </w:tcBorders>
            <w:shd w:val="clear" w:color="auto" w:fill="auto"/>
            <w:noWrap/>
            <w:vAlign w:val="bottom"/>
            <w:hideMark/>
          </w:tcPr>
          <w:p w14:paraId="7FCEE6ED" w14:textId="77777777" w:rsidR="00585C26" w:rsidRPr="00986F85" w:rsidRDefault="00585C26" w:rsidP="00585C26">
            <w:pPr>
              <w:suppressAutoHyphens w:val="0"/>
              <w:spacing w:after="0" w:line="240" w:lineRule="auto"/>
              <w:jc w:val="center"/>
              <w:rPr>
                <w:rFonts w:eastAsia="Times New Roman" w:cs="Arial"/>
                <w:i/>
                <w:sz w:val="20"/>
                <w:szCs w:val="20"/>
                <w:lang w:val="en-US" w:eastAsia="en-US"/>
              </w:rPr>
            </w:pPr>
            <w:r w:rsidRPr="00986F85">
              <w:rPr>
                <w:rFonts w:eastAsia="Times New Roman" w:cs="Arial"/>
                <w:i/>
                <w:sz w:val="20"/>
                <w:szCs w:val="20"/>
                <w:lang w:val="en-US" w:eastAsia="en-US"/>
              </w:rPr>
              <w:t>5,142</w:t>
            </w:r>
          </w:p>
        </w:tc>
      </w:tr>
      <w:tr w:rsidR="00585C26" w:rsidRPr="00986F85" w14:paraId="6C8FE4D3" w14:textId="77777777" w:rsidTr="00585C26">
        <w:trPr>
          <w:trHeight w:val="240"/>
        </w:trPr>
        <w:tc>
          <w:tcPr>
            <w:tcW w:w="3441" w:type="dxa"/>
            <w:tcBorders>
              <w:top w:val="nil"/>
              <w:left w:val="nil"/>
              <w:bottom w:val="nil"/>
              <w:right w:val="nil"/>
            </w:tcBorders>
            <w:shd w:val="clear" w:color="auto" w:fill="auto"/>
            <w:noWrap/>
            <w:vAlign w:val="bottom"/>
            <w:hideMark/>
          </w:tcPr>
          <w:p w14:paraId="64E6CAD1" w14:textId="77777777" w:rsidR="00585C26" w:rsidRPr="00986F85" w:rsidRDefault="00585C26" w:rsidP="00585C26">
            <w:pPr>
              <w:suppressAutoHyphens w:val="0"/>
              <w:spacing w:after="0" w:line="240" w:lineRule="auto"/>
              <w:rPr>
                <w:rFonts w:eastAsia="Times New Roman" w:cs="Arial"/>
                <w:i/>
                <w:sz w:val="20"/>
                <w:szCs w:val="20"/>
                <w:lang w:val="en-US" w:eastAsia="en-US"/>
              </w:rPr>
            </w:pPr>
            <w:r w:rsidRPr="00986F85">
              <w:rPr>
                <w:rFonts w:eastAsia="Times New Roman" w:cs="Arial"/>
                <w:i/>
                <w:sz w:val="20"/>
                <w:szCs w:val="20"/>
                <w:lang w:val="en-US" w:eastAsia="en-US"/>
              </w:rPr>
              <w:t>Standard hibák zárójelben.</w:t>
            </w:r>
          </w:p>
        </w:tc>
        <w:tc>
          <w:tcPr>
            <w:tcW w:w="994" w:type="dxa"/>
            <w:tcBorders>
              <w:top w:val="nil"/>
              <w:left w:val="nil"/>
              <w:bottom w:val="nil"/>
              <w:right w:val="nil"/>
            </w:tcBorders>
            <w:shd w:val="clear" w:color="auto" w:fill="auto"/>
            <w:noWrap/>
            <w:vAlign w:val="bottom"/>
            <w:hideMark/>
          </w:tcPr>
          <w:p w14:paraId="04FFAD77" w14:textId="77777777" w:rsidR="00585C26" w:rsidRPr="00986F85" w:rsidRDefault="00585C26" w:rsidP="00585C26">
            <w:pPr>
              <w:suppressAutoHyphens w:val="0"/>
              <w:spacing w:after="0" w:line="240" w:lineRule="auto"/>
              <w:rPr>
                <w:rFonts w:eastAsia="Times New Roman" w:cs="Arial"/>
                <w:i/>
                <w:sz w:val="20"/>
                <w:szCs w:val="20"/>
                <w:lang w:val="en-US" w:eastAsia="en-US"/>
              </w:rPr>
            </w:pPr>
          </w:p>
        </w:tc>
        <w:tc>
          <w:tcPr>
            <w:tcW w:w="1057" w:type="dxa"/>
            <w:tcBorders>
              <w:top w:val="nil"/>
              <w:left w:val="nil"/>
              <w:bottom w:val="nil"/>
              <w:right w:val="nil"/>
            </w:tcBorders>
            <w:shd w:val="clear" w:color="auto" w:fill="auto"/>
            <w:noWrap/>
            <w:vAlign w:val="bottom"/>
            <w:hideMark/>
          </w:tcPr>
          <w:p w14:paraId="5FAE532B" w14:textId="77777777" w:rsidR="00585C26" w:rsidRPr="00986F85" w:rsidRDefault="00585C26" w:rsidP="00585C26">
            <w:pPr>
              <w:suppressAutoHyphens w:val="0"/>
              <w:spacing w:after="0" w:line="240" w:lineRule="auto"/>
              <w:rPr>
                <w:rFonts w:eastAsia="Times New Roman" w:cs="Arial"/>
                <w:i/>
                <w:sz w:val="20"/>
                <w:szCs w:val="20"/>
                <w:lang w:val="en-US" w:eastAsia="en-US"/>
              </w:rPr>
            </w:pPr>
          </w:p>
        </w:tc>
        <w:tc>
          <w:tcPr>
            <w:tcW w:w="1057" w:type="dxa"/>
            <w:tcBorders>
              <w:top w:val="nil"/>
              <w:left w:val="nil"/>
              <w:bottom w:val="nil"/>
              <w:right w:val="nil"/>
            </w:tcBorders>
            <w:shd w:val="clear" w:color="auto" w:fill="auto"/>
            <w:noWrap/>
            <w:vAlign w:val="bottom"/>
            <w:hideMark/>
          </w:tcPr>
          <w:p w14:paraId="3DB98784" w14:textId="77777777" w:rsidR="00585C26" w:rsidRPr="00986F85" w:rsidRDefault="00585C26" w:rsidP="00585C26">
            <w:pPr>
              <w:suppressAutoHyphens w:val="0"/>
              <w:spacing w:after="0" w:line="240" w:lineRule="auto"/>
              <w:rPr>
                <w:rFonts w:eastAsia="Times New Roman" w:cs="Arial"/>
                <w:i/>
                <w:sz w:val="20"/>
                <w:szCs w:val="20"/>
                <w:lang w:val="en-US" w:eastAsia="en-US"/>
              </w:rPr>
            </w:pPr>
          </w:p>
        </w:tc>
        <w:tc>
          <w:tcPr>
            <w:tcW w:w="1059" w:type="dxa"/>
            <w:tcBorders>
              <w:top w:val="nil"/>
              <w:left w:val="nil"/>
              <w:bottom w:val="nil"/>
              <w:right w:val="nil"/>
            </w:tcBorders>
            <w:shd w:val="clear" w:color="auto" w:fill="auto"/>
            <w:noWrap/>
            <w:vAlign w:val="bottom"/>
            <w:hideMark/>
          </w:tcPr>
          <w:p w14:paraId="1190A634" w14:textId="77777777" w:rsidR="00585C26" w:rsidRPr="00986F85" w:rsidRDefault="00585C26" w:rsidP="00585C26">
            <w:pPr>
              <w:suppressAutoHyphens w:val="0"/>
              <w:spacing w:after="0" w:line="240" w:lineRule="auto"/>
              <w:rPr>
                <w:rFonts w:eastAsia="Times New Roman" w:cs="Arial"/>
                <w:i/>
                <w:sz w:val="20"/>
                <w:szCs w:val="20"/>
                <w:lang w:val="en-US" w:eastAsia="en-US"/>
              </w:rPr>
            </w:pPr>
          </w:p>
        </w:tc>
        <w:tc>
          <w:tcPr>
            <w:tcW w:w="1059" w:type="dxa"/>
            <w:tcBorders>
              <w:top w:val="nil"/>
              <w:left w:val="nil"/>
              <w:bottom w:val="nil"/>
              <w:right w:val="nil"/>
            </w:tcBorders>
            <w:shd w:val="clear" w:color="auto" w:fill="auto"/>
            <w:noWrap/>
            <w:vAlign w:val="bottom"/>
            <w:hideMark/>
          </w:tcPr>
          <w:p w14:paraId="7544C4CC" w14:textId="77777777" w:rsidR="00585C26" w:rsidRPr="00986F85" w:rsidRDefault="00585C26" w:rsidP="00585C26">
            <w:pPr>
              <w:suppressAutoHyphens w:val="0"/>
              <w:spacing w:after="0" w:line="240" w:lineRule="auto"/>
              <w:rPr>
                <w:rFonts w:eastAsia="Times New Roman" w:cs="Arial"/>
                <w:i/>
                <w:sz w:val="20"/>
                <w:szCs w:val="20"/>
                <w:lang w:val="en-US" w:eastAsia="en-US"/>
              </w:rPr>
            </w:pPr>
          </w:p>
        </w:tc>
        <w:tc>
          <w:tcPr>
            <w:tcW w:w="1014" w:type="dxa"/>
            <w:tcBorders>
              <w:top w:val="nil"/>
              <w:left w:val="nil"/>
              <w:bottom w:val="nil"/>
              <w:right w:val="nil"/>
            </w:tcBorders>
            <w:shd w:val="clear" w:color="auto" w:fill="auto"/>
            <w:noWrap/>
            <w:vAlign w:val="bottom"/>
            <w:hideMark/>
          </w:tcPr>
          <w:p w14:paraId="6A3EB0E1" w14:textId="77777777" w:rsidR="00585C26" w:rsidRPr="00986F85" w:rsidRDefault="00585C26" w:rsidP="00585C26">
            <w:pPr>
              <w:suppressAutoHyphens w:val="0"/>
              <w:spacing w:after="0" w:line="240" w:lineRule="auto"/>
              <w:rPr>
                <w:rFonts w:eastAsia="Times New Roman" w:cs="Arial"/>
                <w:i/>
                <w:sz w:val="20"/>
                <w:szCs w:val="20"/>
                <w:lang w:val="en-US" w:eastAsia="en-US"/>
              </w:rPr>
            </w:pPr>
          </w:p>
        </w:tc>
        <w:tc>
          <w:tcPr>
            <w:tcW w:w="1139" w:type="dxa"/>
            <w:tcBorders>
              <w:top w:val="nil"/>
              <w:left w:val="nil"/>
              <w:bottom w:val="nil"/>
              <w:right w:val="nil"/>
            </w:tcBorders>
            <w:shd w:val="clear" w:color="auto" w:fill="auto"/>
            <w:noWrap/>
            <w:vAlign w:val="bottom"/>
            <w:hideMark/>
          </w:tcPr>
          <w:p w14:paraId="0214A1CD" w14:textId="77777777" w:rsidR="00585C26" w:rsidRPr="00986F85" w:rsidRDefault="00585C26" w:rsidP="00585C26">
            <w:pPr>
              <w:suppressAutoHyphens w:val="0"/>
              <w:spacing w:after="0" w:line="240" w:lineRule="auto"/>
              <w:rPr>
                <w:rFonts w:eastAsia="Times New Roman" w:cs="Arial"/>
                <w:i/>
                <w:sz w:val="20"/>
                <w:szCs w:val="20"/>
                <w:lang w:val="en-US" w:eastAsia="en-US"/>
              </w:rPr>
            </w:pPr>
          </w:p>
        </w:tc>
      </w:tr>
      <w:tr w:rsidR="00585C26" w:rsidRPr="00986F85" w14:paraId="343E3677" w14:textId="77777777" w:rsidTr="00585C26">
        <w:trPr>
          <w:trHeight w:val="240"/>
        </w:trPr>
        <w:tc>
          <w:tcPr>
            <w:tcW w:w="3441" w:type="dxa"/>
            <w:tcBorders>
              <w:top w:val="nil"/>
              <w:left w:val="nil"/>
              <w:bottom w:val="nil"/>
              <w:right w:val="nil"/>
            </w:tcBorders>
            <w:shd w:val="clear" w:color="auto" w:fill="auto"/>
            <w:noWrap/>
            <w:vAlign w:val="bottom"/>
            <w:hideMark/>
          </w:tcPr>
          <w:p w14:paraId="674A6B10" w14:textId="77777777" w:rsidR="00585C26" w:rsidRPr="00986F85" w:rsidRDefault="00585C26" w:rsidP="00585C26">
            <w:pPr>
              <w:suppressAutoHyphens w:val="0"/>
              <w:spacing w:after="0" w:line="240" w:lineRule="auto"/>
              <w:rPr>
                <w:rFonts w:eastAsia="Times New Roman" w:cs="Arial"/>
                <w:i/>
                <w:sz w:val="20"/>
                <w:szCs w:val="20"/>
                <w:lang w:val="en-US" w:eastAsia="en-US"/>
              </w:rPr>
            </w:pPr>
            <w:r w:rsidRPr="00986F85">
              <w:rPr>
                <w:rFonts w:eastAsia="Times New Roman" w:cs="Arial"/>
                <w:i/>
                <w:sz w:val="20"/>
                <w:szCs w:val="20"/>
                <w:lang w:val="en-US" w:eastAsia="en-US"/>
              </w:rPr>
              <w:t>*** p&lt;0.01, ** p&lt;0.05, * p&lt;0.1</w:t>
            </w:r>
          </w:p>
        </w:tc>
        <w:tc>
          <w:tcPr>
            <w:tcW w:w="994" w:type="dxa"/>
            <w:tcBorders>
              <w:top w:val="nil"/>
              <w:left w:val="nil"/>
              <w:bottom w:val="nil"/>
              <w:right w:val="nil"/>
            </w:tcBorders>
            <w:shd w:val="clear" w:color="auto" w:fill="auto"/>
            <w:noWrap/>
            <w:vAlign w:val="bottom"/>
            <w:hideMark/>
          </w:tcPr>
          <w:p w14:paraId="2CFA31AF" w14:textId="77777777" w:rsidR="00585C26" w:rsidRPr="00986F85" w:rsidRDefault="00585C26" w:rsidP="00585C26">
            <w:pPr>
              <w:suppressAutoHyphens w:val="0"/>
              <w:spacing w:after="0" w:line="240" w:lineRule="auto"/>
              <w:rPr>
                <w:rFonts w:eastAsia="Times New Roman" w:cs="Arial"/>
                <w:i/>
                <w:sz w:val="20"/>
                <w:szCs w:val="20"/>
                <w:lang w:val="en-US" w:eastAsia="en-US"/>
              </w:rPr>
            </w:pPr>
          </w:p>
        </w:tc>
        <w:tc>
          <w:tcPr>
            <w:tcW w:w="1057" w:type="dxa"/>
            <w:tcBorders>
              <w:top w:val="nil"/>
              <w:left w:val="nil"/>
              <w:bottom w:val="nil"/>
              <w:right w:val="nil"/>
            </w:tcBorders>
            <w:shd w:val="clear" w:color="auto" w:fill="auto"/>
            <w:noWrap/>
            <w:vAlign w:val="bottom"/>
            <w:hideMark/>
          </w:tcPr>
          <w:p w14:paraId="1550DD7E" w14:textId="77777777" w:rsidR="00585C26" w:rsidRPr="00986F85" w:rsidRDefault="00585C26" w:rsidP="00585C26">
            <w:pPr>
              <w:suppressAutoHyphens w:val="0"/>
              <w:spacing w:after="0" w:line="240" w:lineRule="auto"/>
              <w:rPr>
                <w:rFonts w:eastAsia="Times New Roman" w:cs="Arial"/>
                <w:i/>
                <w:sz w:val="20"/>
                <w:szCs w:val="20"/>
                <w:lang w:val="en-US" w:eastAsia="en-US"/>
              </w:rPr>
            </w:pPr>
          </w:p>
        </w:tc>
        <w:tc>
          <w:tcPr>
            <w:tcW w:w="1057" w:type="dxa"/>
            <w:tcBorders>
              <w:top w:val="nil"/>
              <w:left w:val="nil"/>
              <w:bottom w:val="nil"/>
              <w:right w:val="nil"/>
            </w:tcBorders>
            <w:shd w:val="clear" w:color="auto" w:fill="auto"/>
            <w:noWrap/>
            <w:vAlign w:val="bottom"/>
            <w:hideMark/>
          </w:tcPr>
          <w:p w14:paraId="5A4DF939" w14:textId="77777777" w:rsidR="00585C26" w:rsidRPr="00986F85" w:rsidRDefault="00585C26" w:rsidP="00585C26">
            <w:pPr>
              <w:suppressAutoHyphens w:val="0"/>
              <w:spacing w:after="0" w:line="240" w:lineRule="auto"/>
              <w:rPr>
                <w:rFonts w:eastAsia="Times New Roman" w:cs="Arial"/>
                <w:i/>
                <w:sz w:val="20"/>
                <w:szCs w:val="20"/>
                <w:lang w:val="en-US" w:eastAsia="en-US"/>
              </w:rPr>
            </w:pPr>
          </w:p>
        </w:tc>
        <w:tc>
          <w:tcPr>
            <w:tcW w:w="1059" w:type="dxa"/>
            <w:tcBorders>
              <w:top w:val="nil"/>
              <w:left w:val="nil"/>
              <w:bottom w:val="nil"/>
              <w:right w:val="nil"/>
            </w:tcBorders>
            <w:shd w:val="clear" w:color="auto" w:fill="auto"/>
            <w:noWrap/>
            <w:vAlign w:val="bottom"/>
            <w:hideMark/>
          </w:tcPr>
          <w:p w14:paraId="7C5EE05C" w14:textId="77777777" w:rsidR="00585C26" w:rsidRPr="00986F85" w:rsidRDefault="00585C26" w:rsidP="00585C26">
            <w:pPr>
              <w:suppressAutoHyphens w:val="0"/>
              <w:spacing w:after="0" w:line="240" w:lineRule="auto"/>
              <w:rPr>
                <w:rFonts w:eastAsia="Times New Roman" w:cs="Arial"/>
                <w:i/>
                <w:sz w:val="20"/>
                <w:szCs w:val="20"/>
                <w:lang w:val="en-US" w:eastAsia="en-US"/>
              </w:rPr>
            </w:pPr>
          </w:p>
        </w:tc>
        <w:tc>
          <w:tcPr>
            <w:tcW w:w="1059" w:type="dxa"/>
            <w:tcBorders>
              <w:top w:val="nil"/>
              <w:left w:val="nil"/>
              <w:bottom w:val="nil"/>
              <w:right w:val="nil"/>
            </w:tcBorders>
            <w:shd w:val="clear" w:color="auto" w:fill="auto"/>
            <w:noWrap/>
            <w:vAlign w:val="bottom"/>
            <w:hideMark/>
          </w:tcPr>
          <w:p w14:paraId="5ED235C3" w14:textId="77777777" w:rsidR="00585C26" w:rsidRPr="00986F85" w:rsidRDefault="00585C26" w:rsidP="00585C26">
            <w:pPr>
              <w:suppressAutoHyphens w:val="0"/>
              <w:spacing w:after="0" w:line="240" w:lineRule="auto"/>
              <w:rPr>
                <w:rFonts w:eastAsia="Times New Roman" w:cs="Arial"/>
                <w:i/>
                <w:sz w:val="20"/>
                <w:szCs w:val="20"/>
                <w:lang w:val="en-US" w:eastAsia="en-US"/>
              </w:rPr>
            </w:pPr>
          </w:p>
        </w:tc>
        <w:tc>
          <w:tcPr>
            <w:tcW w:w="1014" w:type="dxa"/>
            <w:tcBorders>
              <w:top w:val="nil"/>
              <w:left w:val="nil"/>
              <w:bottom w:val="nil"/>
              <w:right w:val="nil"/>
            </w:tcBorders>
            <w:shd w:val="clear" w:color="auto" w:fill="auto"/>
            <w:noWrap/>
            <w:vAlign w:val="bottom"/>
            <w:hideMark/>
          </w:tcPr>
          <w:p w14:paraId="41655BEC" w14:textId="77777777" w:rsidR="00585C26" w:rsidRPr="00986F85" w:rsidRDefault="00585C26" w:rsidP="00585C26">
            <w:pPr>
              <w:suppressAutoHyphens w:val="0"/>
              <w:spacing w:after="0" w:line="240" w:lineRule="auto"/>
              <w:rPr>
                <w:rFonts w:eastAsia="Times New Roman" w:cs="Arial"/>
                <w:i/>
                <w:sz w:val="20"/>
                <w:szCs w:val="20"/>
                <w:lang w:val="en-US" w:eastAsia="en-US"/>
              </w:rPr>
            </w:pPr>
          </w:p>
        </w:tc>
        <w:tc>
          <w:tcPr>
            <w:tcW w:w="1139" w:type="dxa"/>
            <w:tcBorders>
              <w:top w:val="nil"/>
              <w:left w:val="nil"/>
              <w:bottom w:val="nil"/>
              <w:right w:val="nil"/>
            </w:tcBorders>
            <w:shd w:val="clear" w:color="auto" w:fill="auto"/>
            <w:noWrap/>
            <w:vAlign w:val="bottom"/>
            <w:hideMark/>
          </w:tcPr>
          <w:p w14:paraId="68843DA8" w14:textId="77777777" w:rsidR="00585C26" w:rsidRPr="00986F85" w:rsidRDefault="00585C26" w:rsidP="00585C26">
            <w:pPr>
              <w:suppressAutoHyphens w:val="0"/>
              <w:spacing w:after="0" w:line="240" w:lineRule="auto"/>
              <w:rPr>
                <w:rFonts w:eastAsia="Times New Roman" w:cs="Arial"/>
                <w:i/>
                <w:sz w:val="20"/>
                <w:szCs w:val="20"/>
                <w:lang w:val="en-US" w:eastAsia="en-US"/>
              </w:rPr>
            </w:pPr>
          </w:p>
        </w:tc>
      </w:tr>
      <w:tr w:rsidR="00585C26" w:rsidRPr="00986F85" w14:paraId="7079118C" w14:textId="77777777" w:rsidTr="00585C26">
        <w:trPr>
          <w:trHeight w:val="240"/>
        </w:trPr>
        <w:tc>
          <w:tcPr>
            <w:tcW w:w="3441" w:type="dxa"/>
            <w:tcBorders>
              <w:top w:val="nil"/>
              <w:left w:val="nil"/>
              <w:bottom w:val="nil"/>
              <w:right w:val="nil"/>
            </w:tcBorders>
            <w:shd w:val="clear" w:color="auto" w:fill="auto"/>
            <w:noWrap/>
            <w:vAlign w:val="bottom"/>
            <w:hideMark/>
          </w:tcPr>
          <w:p w14:paraId="51BC444D" w14:textId="77777777" w:rsidR="00585C26" w:rsidRPr="00986F85" w:rsidRDefault="00585C26" w:rsidP="00585C26">
            <w:pPr>
              <w:suppressAutoHyphens w:val="0"/>
              <w:spacing w:after="0" w:line="240" w:lineRule="auto"/>
              <w:rPr>
                <w:rFonts w:eastAsia="Times New Roman" w:cs="Arial"/>
                <w:i/>
                <w:sz w:val="20"/>
                <w:szCs w:val="20"/>
                <w:lang w:val="en-US" w:eastAsia="en-US"/>
              </w:rPr>
            </w:pPr>
            <w:r w:rsidRPr="00986F85">
              <w:rPr>
                <w:rFonts w:eastAsia="Times New Roman" w:cs="Arial"/>
                <w:i/>
                <w:sz w:val="20"/>
                <w:szCs w:val="20"/>
                <w:lang w:val="en-US" w:eastAsia="en-US"/>
              </w:rPr>
              <w:t>McFadden Adjusted R2</w:t>
            </w:r>
          </w:p>
        </w:tc>
        <w:tc>
          <w:tcPr>
            <w:tcW w:w="994" w:type="dxa"/>
            <w:tcBorders>
              <w:top w:val="nil"/>
              <w:left w:val="nil"/>
              <w:bottom w:val="nil"/>
              <w:right w:val="nil"/>
            </w:tcBorders>
            <w:shd w:val="clear" w:color="auto" w:fill="auto"/>
            <w:noWrap/>
            <w:vAlign w:val="bottom"/>
            <w:hideMark/>
          </w:tcPr>
          <w:p w14:paraId="3E952C58" w14:textId="77777777" w:rsidR="00585C26" w:rsidRPr="00986F85" w:rsidRDefault="00585C26" w:rsidP="00585C26">
            <w:pPr>
              <w:suppressAutoHyphens w:val="0"/>
              <w:spacing w:after="0" w:line="240" w:lineRule="auto"/>
              <w:jc w:val="right"/>
              <w:rPr>
                <w:rFonts w:eastAsia="Times New Roman" w:cs="Arial"/>
                <w:i/>
                <w:sz w:val="20"/>
                <w:szCs w:val="20"/>
                <w:lang w:val="en-US" w:eastAsia="en-US"/>
              </w:rPr>
            </w:pPr>
            <w:r w:rsidRPr="00986F85">
              <w:rPr>
                <w:rFonts w:eastAsia="Times New Roman" w:cs="Arial"/>
                <w:i/>
                <w:sz w:val="20"/>
                <w:szCs w:val="20"/>
                <w:lang w:val="en-US" w:eastAsia="en-US"/>
              </w:rPr>
              <w:t>0.039</w:t>
            </w:r>
          </w:p>
        </w:tc>
        <w:tc>
          <w:tcPr>
            <w:tcW w:w="1057" w:type="dxa"/>
            <w:tcBorders>
              <w:top w:val="nil"/>
              <w:left w:val="nil"/>
              <w:bottom w:val="nil"/>
              <w:right w:val="nil"/>
            </w:tcBorders>
            <w:shd w:val="clear" w:color="auto" w:fill="auto"/>
            <w:noWrap/>
            <w:vAlign w:val="bottom"/>
            <w:hideMark/>
          </w:tcPr>
          <w:p w14:paraId="7BD2F4CC" w14:textId="77777777" w:rsidR="00585C26" w:rsidRPr="00986F85" w:rsidRDefault="00585C26" w:rsidP="00585C26">
            <w:pPr>
              <w:suppressAutoHyphens w:val="0"/>
              <w:spacing w:after="0" w:line="240" w:lineRule="auto"/>
              <w:jc w:val="right"/>
              <w:rPr>
                <w:rFonts w:eastAsia="Times New Roman" w:cs="Arial"/>
                <w:i/>
                <w:sz w:val="20"/>
                <w:szCs w:val="20"/>
                <w:lang w:val="en-US" w:eastAsia="en-US"/>
              </w:rPr>
            </w:pPr>
            <w:r w:rsidRPr="00986F85">
              <w:rPr>
                <w:rFonts w:eastAsia="Times New Roman" w:cs="Arial"/>
                <w:i/>
                <w:sz w:val="20"/>
                <w:szCs w:val="20"/>
                <w:lang w:val="en-US" w:eastAsia="en-US"/>
              </w:rPr>
              <w:t>0.084</w:t>
            </w:r>
          </w:p>
        </w:tc>
        <w:tc>
          <w:tcPr>
            <w:tcW w:w="1057" w:type="dxa"/>
            <w:tcBorders>
              <w:top w:val="nil"/>
              <w:left w:val="nil"/>
              <w:bottom w:val="nil"/>
              <w:right w:val="nil"/>
            </w:tcBorders>
            <w:shd w:val="clear" w:color="auto" w:fill="auto"/>
            <w:noWrap/>
            <w:vAlign w:val="bottom"/>
            <w:hideMark/>
          </w:tcPr>
          <w:p w14:paraId="6706253A" w14:textId="77777777" w:rsidR="00585C26" w:rsidRPr="00986F85" w:rsidRDefault="00585C26" w:rsidP="00585C26">
            <w:pPr>
              <w:suppressAutoHyphens w:val="0"/>
              <w:spacing w:after="0" w:line="240" w:lineRule="auto"/>
              <w:jc w:val="right"/>
              <w:rPr>
                <w:rFonts w:eastAsia="Times New Roman" w:cs="Arial"/>
                <w:i/>
                <w:sz w:val="20"/>
                <w:szCs w:val="20"/>
                <w:lang w:val="en-US" w:eastAsia="en-US"/>
              </w:rPr>
            </w:pPr>
            <w:r w:rsidRPr="00986F85">
              <w:rPr>
                <w:rFonts w:eastAsia="Times New Roman" w:cs="Arial"/>
                <w:i/>
                <w:sz w:val="20"/>
                <w:szCs w:val="20"/>
                <w:lang w:val="en-US" w:eastAsia="en-US"/>
              </w:rPr>
              <w:t>0.084</w:t>
            </w:r>
          </w:p>
        </w:tc>
        <w:tc>
          <w:tcPr>
            <w:tcW w:w="1059" w:type="dxa"/>
            <w:tcBorders>
              <w:top w:val="nil"/>
              <w:left w:val="nil"/>
              <w:bottom w:val="nil"/>
              <w:right w:val="nil"/>
            </w:tcBorders>
            <w:shd w:val="clear" w:color="auto" w:fill="auto"/>
            <w:noWrap/>
            <w:vAlign w:val="bottom"/>
            <w:hideMark/>
          </w:tcPr>
          <w:p w14:paraId="71CF0A4B" w14:textId="77777777" w:rsidR="00585C26" w:rsidRPr="00986F85" w:rsidRDefault="00585C26" w:rsidP="00585C26">
            <w:pPr>
              <w:suppressAutoHyphens w:val="0"/>
              <w:spacing w:after="0" w:line="240" w:lineRule="auto"/>
              <w:jc w:val="right"/>
              <w:rPr>
                <w:rFonts w:eastAsia="Times New Roman" w:cs="Arial"/>
                <w:i/>
                <w:sz w:val="20"/>
                <w:szCs w:val="20"/>
                <w:lang w:val="en-US" w:eastAsia="en-US"/>
              </w:rPr>
            </w:pPr>
            <w:r w:rsidRPr="00986F85">
              <w:rPr>
                <w:rFonts w:eastAsia="Times New Roman" w:cs="Arial"/>
                <w:i/>
                <w:sz w:val="20"/>
                <w:szCs w:val="20"/>
                <w:lang w:val="en-US" w:eastAsia="en-US"/>
              </w:rPr>
              <w:t>0.085</w:t>
            </w:r>
          </w:p>
        </w:tc>
        <w:tc>
          <w:tcPr>
            <w:tcW w:w="1059" w:type="dxa"/>
            <w:tcBorders>
              <w:top w:val="nil"/>
              <w:left w:val="nil"/>
              <w:bottom w:val="nil"/>
              <w:right w:val="nil"/>
            </w:tcBorders>
            <w:shd w:val="clear" w:color="auto" w:fill="auto"/>
            <w:noWrap/>
            <w:vAlign w:val="bottom"/>
            <w:hideMark/>
          </w:tcPr>
          <w:p w14:paraId="2ECAD27D" w14:textId="77777777" w:rsidR="00585C26" w:rsidRPr="00986F85" w:rsidRDefault="00585C26" w:rsidP="00585C26">
            <w:pPr>
              <w:suppressAutoHyphens w:val="0"/>
              <w:spacing w:after="0" w:line="240" w:lineRule="auto"/>
              <w:jc w:val="right"/>
              <w:rPr>
                <w:rFonts w:eastAsia="Times New Roman" w:cs="Arial"/>
                <w:i/>
                <w:sz w:val="20"/>
                <w:szCs w:val="20"/>
                <w:lang w:val="en-US" w:eastAsia="en-US"/>
              </w:rPr>
            </w:pPr>
            <w:r w:rsidRPr="00986F85">
              <w:rPr>
                <w:rFonts w:eastAsia="Times New Roman" w:cs="Arial"/>
                <w:i/>
                <w:sz w:val="20"/>
                <w:szCs w:val="20"/>
                <w:lang w:val="en-US" w:eastAsia="en-US"/>
              </w:rPr>
              <w:t>0.131</w:t>
            </w:r>
          </w:p>
        </w:tc>
        <w:tc>
          <w:tcPr>
            <w:tcW w:w="1014" w:type="dxa"/>
            <w:tcBorders>
              <w:top w:val="nil"/>
              <w:left w:val="nil"/>
              <w:bottom w:val="nil"/>
              <w:right w:val="nil"/>
            </w:tcBorders>
            <w:shd w:val="clear" w:color="auto" w:fill="auto"/>
            <w:noWrap/>
            <w:vAlign w:val="bottom"/>
            <w:hideMark/>
          </w:tcPr>
          <w:p w14:paraId="35F9C6F9" w14:textId="77777777" w:rsidR="00585C26" w:rsidRPr="00986F85" w:rsidRDefault="00585C26" w:rsidP="00585C26">
            <w:pPr>
              <w:suppressAutoHyphens w:val="0"/>
              <w:spacing w:after="0" w:line="240" w:lineRule="auto"/>
              <w:jc w:val="right"/>
              <w:rPr>
                <w:rFonts w:eastAsia="Times New Roman" w:cs="Arial"/>
                <w:i/>
                <w:sz w:val="20"/>
                <w:szCs w:val="20"/>
                <w:lang w:val="en-US" w:eastAsia="en-US"/>
              </w:rPr>
            </w:pPr>
            <w:r w:rsidRPr="00986F85">
              <w:rPr>
                <w:rFonts w:eastAsia="Times New Roman" w:cs="Arial"/>
                <w:i/>
                <w:sz w:val="20"/>
                <w:szCs w:val="20"/>
                <w:lang w:val="en-US" w:eastAsia="en-US"/>
              </w:rPr>
              <w:t>0.126</w:t>
            </w:r>
          </w:p>
        </w:tc>
        <w:tc>
          <w:tcPr>
            <w:tcW w:w="1139" w:type="dxa"/>
            <w:tcBorders>
              <w:top w:val="nil"/>
              <w:left w:val="nil"/>
              <w:bottom w:val="nil"/>
              <w:right w:val="nil"/>
            </w:tcBorders>
            <w:shd w:val="clear" w:color="auto" w:fill="auto"/>
            <w:noWrap/>
            <w:vAlign w:val="bottom"/>
            <w:hideMark/>
          </w:tcPr>
          <w:p w14:paraId="4A5315D3" w14:textId="77777777" w:rsidR="00585C26" w:rsidRPr="00986F85" w:rsidRDefault="00585C26" w:rsidP="00585C26">
            <w:pPr>
              <w:suppressAutoHyphens w:val="0"/>
              <w:spacing w:after="0" w:line="240" w:lineRule="auto"/>
              <w:jc w:val="right"/>
              <w:rPr>
                <w:rFonts w:eastAsia="Times New Roman" w:cs="Arial"/>
                <w:i/>
                <w:sz w:val="20"/>
                <w:szCs w:val="20"/>
                <w:lang w:val="en-US" w:eastAsia="en-US"/>
              </w:rPr>
            </w:pPr>
            <w:r w:rsidRPr="00986F85">
              <w:rPr>
                <w:rFonts w:eastAsia="Times New Roman" w:cs="Arial"/>
                <w:i/>
                <w:sz w:val="20"/>
                <w:szCs w:val="20"/>
                <w:lang w:val="en-US" w:eastAsia="en-US"/>
              </w:rPr>
              <w:t>0.109</w:t>
            </w:r>
          </w:p>
        </w:tc>
      </w:tr>
      <w:tr w:rsidR="00585C26" w:rsidRPr="00986F85" w14:paraId="675EACF5" w14:textId="77777777" w:rsidTr="00585C26">
        <w:trPr>
          <w:trHeight w:val="240"/>
        </w:trPr>
        <w:tc>
          <w:tcPr>
            <w:tcW w:w="3441" w:type="dxa"/>
            <w:tcBorders>
              <w:top w:val="nil"/>
              <w:left w:val="nil"/>
              <w:bottom w:val="nil"/>
              <w:right w:val="nil"/>
            </w:tcBorders>
            <w:shd w:val="clear" w:color="auto" w:fill="auto"/>
            <w:noWrap/>
            <w:vAlign w:val="bottom"/>
            <w:hideMark/>
          </w:tcPr>
          <w:p w14:paraId="6FA31627" w14:textId="77777777" w:rsidR="00585C26" w:rsidRPr="00986F85" w:rsidRDefault="00585C26" w:rsidP="00585C26">
            <w:pPr>
              <w:suppressAutoHyphens w:val="0"/>
              <w:spacing w:after="0" w:line="240" w:lineRule="auto"/>
              <w:rPr>
                <w:rFonts w:eastAsia="Times New Roman" w:cs="Arial"/>
                <w:i/>
                <w:sz w:val="20"/>
                <w:szCs w:val="20"/>
                <w:lang w:val="en-US" w:eastAsia="en-US"/>
              </w:rPr>
            </w:pPr>
            <w:r w:rsidRPr="00986F85">
              <w:rPr>
                <w:rFonts w:eastAsia="Times New Roman" w:cs="Arial"/>
                <w:i/>
                <w:sz w:val="20"/>
                <w:szCs w:val="20"/>
                <w:lang w:val="en-US" w:eastAsia="en-US"/>
              </w:rPr>
              <w:t>Cragg-Uhler R2</w:t>
            </w:r>
          </w:p>
        </w:tc>
        <w:tc>
          <w:tcPr>
            <w:tcW w:w="994" w:type="dxa"/>
            <w:tcBorders>
              <w:top w:val="nil"/>
              <w:left w:val="nil"/>
              <w:bottom w:val="nil"/>
              <w:right w:val="nil"/>
            </w:tcBorders>
            <w:shd w:val="clear" w:color="auto" w:fill="auto"/>
            <w:noWrap/>
            <w:vAlign w:val="bottom"/>
            <w:hideMark/>
          </w:tcPr>
          <w:p w14:paraId="5E95BE64" w14:textId="77777777" w:rsidR="00585C26" w:rsidRPr="00986F85" w:rsidRDefault="00585C26" w:rsidP="00585C26">
            <w:pPr>
              <w:suppressAutoHyphens w:val="0"/>
              <w:spacing w:after="0" w:line="240" w:lineRule="auto"/>
              <w:jc w:val="right"/>
              <w:rPr>
                <w:rFonts w:eastAsia="Times New Roman" w:cs="Arial"/>
                <w:i/>
                <w:sz w:val="20"/>
                <w:szCs w:val="20"/>
                <w:lang w:val="en-US" w:eastAsia="en-US"/>
              </w:rPr>
            </w:pPr>
            <w:r w:rsidRPr="00986F85">
              <w:rPr>
                <w:rFonts w:eastAsia="Times New Roman" w:cs="Arial"/>
                <w:i/>
                <w:sz w:val="20"/>
                <w:szCs w:val="20"/>
                <w:lang w:val="en-US" w:eastAsia="en-US"/>
              </w:rPr>
              <w:t>0.054</w:t>
            </w:r>
          </w:p>
        </w:tc>
        <w:tc>
          <w:tcPr>
            <w:tcW w:w="1057" w:type="dxa"/>
            <w:tcBorders>
              <w:top w:val="nil"/>
              <w:left w:val="nil"/>
              <w:bottom w:val="nil"/>
              <w:right w:val="nil"/>
            </w:tcBorders>
            <w:shd w:val="clear" w:color="auto" w:fill="auto"/>
            <w:noWrap/>
            <w:vAlign w:val="bottom"/>
            <w:hideMark/>
          </w:tcPr>
          <w:p w14:paraId="31B5F5A5" w14:textId="77777777" w:rsidR="00585C26" w:rsidRPr="00986F85" w:rsidRDefault="00585C26" w:rsidP="00585C26">
            <w:pPr>
              <w:suppressAutoHyphens w:val="0"/>
              <w:spacing w:after="0" w:line="240" w:lineRule="auto"/>
              <w:jc w:val="right"/>
              <w:rPr>
                <w:rFonts w:eastAsia="Times New Roman" w:cs="Arial"/>
                <w:i/>
                <w:sz w:val="20"/>
                <w:szCs w:val="20"/>
                <w:lang w:val="en-US" w:eastAsia="en-US"/>
              </w:rPr>
            </w:pPr>
            <w:r w:rsidRPr="00986F85">
              <w:rPr>
                <w:rFonts w:eastAsia="Times New Roman" w:cs="Arial"/>
                <w:i/>
                <w:sz w:val="20"/>
                <w:szCs w:val="20"/>
                <w:lang w:val="en-US" w:eastAsia="en-US"/>
              </w:rPr>
              <w:t>0.11</w:t>
            </w:r>
          </w:p>
        </w:tc>
        <w:tc>
          <w:tcPr>
            <w:tcW w:w="1057" w:type="dxa"/>
            <w:tcBorders>
              <w:top w:val="nil"/>
              <w:left w:val="nil"/>
              <w:bottom w:val="nil"/>
              <w:right w:val="nil"/>
            </w:tcBorders>
            <w:shd w:val="clear" w:color="auto" w:fill="auto"/>
            <w:noWrap/>
            <w:vAlign w:val="bottom"/>
            <w:hideMark/>
          </w:tcPr>
          <w:p w14:paraId="2C9D8353" w14:textId="77777777" w:rsidR="00585C26" w:rsidRPr="00986F85" w:rsidRDefault="00585C26" w:rsidP="00585C26">
            <w:pPr>
              <w:suppressAutoHyphens w:val="0"/>
              <w:spacing w:after="0" w:line="240" w:lineRule="auto"/>
              <w:jc w:val="right"/>
              <w:rPr>
                <w:rFonts w:eastAsia="Times New Roman" w:cs="Arial"/>
                <w:i/>
                <w:sz w:val="20"/>
                <w:szCs w:val="20"/>
                <w:lang w:val="en-US" w:eastAsia="en-US"/>
              </w:rPr>
            </w:pPr>
            <w:r w:rsidRPr="00986F85">
              <w:rPr>
                <w:rFonts w:eastAsia="Times New Roman" w:cs="Arial"/>
                <w:i/>
                <w:sz w:val="20"/>
                <w:szCs w:val="20"/>
                <w:lang w:val="en-US" w:eastAsia="en-US"/>
              </w:rPr>
              <w:t>0.111</w:t>
            </w:r>
          </w:p>
        </w:tc>
        <w:tc>
          <w:tcPr>
            <w:tcW w:w="1059" w:type="dxa"/>
            <w:tcBorders>
              <w:top w:val="nil"/>
              <w:left w:val="nil"/>
              <w:bottom w:val="nil"/>
              <w:right w:val="nil"/>
            </w:tcBorders>
            <w:shd w:val="clear" w:color="auto" w:fill="auto"/>
            <w:noWrap/>
            <w:vAlign w:val="bottom"/>
            <w:hideMark/>
          </w:tcPr>
          <w:p w14:paraId="31C3CC76" w14:textId="77777777" w:rsidR="00585C26" w:rsidRPr="00986F85" w:rsidRDefault="00585C26" w:rsidP="00585C26">
            <w:pPr>
              <w:suppressAutoHyphens w:val="0"/>
              <w:spacing w:after="0" w:line="240" w:lineRule="auto"/>
              <w:jc w:val="right"/>
              <w:rPr>
                <w:rFonts w:eastAsia="Times New Roman" w:cs="Arial"/>
                <w:i/>
                <w:sz w:val="20"/>
                <w:szCs w:val="20"/>
                <w:lang w:val="en-US" w:eastAsia="en-US"/>
              </w:rPr>
            </w:pPr>
            <w:r w:rsidRPr="00986F85">
              <w:rPr>
                <w:rFonts w:eastAsia="Times New Roman" w:cs="Arial"/>
                <w:i/>
                <w:sz w:val="20"/>
                <w:szCs w:val="20"/>
                <w:lang w:val="en-US" w:eastAsia="en-US"/>
              </w:rPr>
              <w:t>0.111</w:t>
            </w:r>
          </w:p>
        </w:tc>
        <w:tc>
          <w:tcPr>
            <w:tcW w:w="1059" w:type="dxa"/>
            <w:tcBorders>
              <w:top w:val="nil"/>
              <w:left w:val="nil"/>
              <w:bottom w:val="nil"/>
              <w:right w:val="nil"/>
            </w:tcBorders>
            <w:shd w:val="clear" w:color="auto" w:fill="auto"/>
            <w:noWrap/>
            <w:vAlign w:val="bottom"/>
            <w:hideMark/>
          </w:tcPr>
          <w:p w14:paraId="3F87A562" w14:textId="77777777" w:rsidR="00585C26" w:rsidRPr="00986F85" w:rsidRDefault="00585C26" w:rsidP="00585C26">
            <w:pPr>
              <w:suppressAutoHyphens w:val="0"/>
              <w:spacing w:after="0" w:line="240" w:lineRule="auto"/>
              <w:jc w:val="right"/>
              <w:rPr>
                <w:rFonts w:eastAsia="Times New Roman" w:cs="Arial"/>
                <w:i/>
                <w:sz w:val="20"/>
                <w:szCs w:val="20"/>
                <w:lang w:val="en-US" w:eastAsia="en-US"/>
              </w:rPr>
            </w:pPr>
            <w:r w:rsidRPr="00986F85">
              <w:rPr>
                <w:rFonts w:eastAsia="Times New Roman" w:cs="Arial"/>
                <w:i/>
                <w:sz w:val="20"/>
                <w:szCs w:val="20"/>
                <w:lang w:val="en-US" w:eastAsia="en-US"/>
              </w:rPr>
              <w:t>0.166</w:t>
            </w:r>
          </w:p>
        </w:tc>
        <w:tc>
          <w:tcPr>
            <w:tcW w:w="1014" w:type="dxa"/>
            <w:tcBorders>
              <w:top w:val="nil"/>
              <w:left w:val="nil"/>
              <w:bottom w:val="nil"/>
              <w:right w:val="nil"/>
            </w:tcBorders>
            <w:shd w:val="clear" w:color="auto" w:fill="auto"/>
            <w:noWrap/>
            <w:vAlign w:val="bottom"/>
            <w:hideMark/>
          </w:tcPr>
          <w:p w14:paraId="51E06443" w14:textId="77777777" w:rsidR="00585C26" w:rsidRPr="00986F85" w:rsidRDefault="00585C26" w:rsidP="00585C26">
            <w:pPr>
              <w:suppressAutoHyphens w:val="0"/>
              <w:spacing w:after="0" w:line="240" w:lineRule="auto"/>
              <w:jc w:val="right"/>
              <w:rPr>
                <w:rFonts w:eastAsia="Times New Roman" w:cs="Arial"/>
                <w:i/>
                <w:sz w:val="20"/>
                <w:szCs w:val="20"/>
                <w:lang w:val="en-US" w:eastAsia="en-US"/>
              </w:rPr>
            </w:pPr>
            <w:r w:rsidRPr="00986F85">
              <w:rPr>
                <w:rFonts w:eastAsia="Times New Roman" w:cs="Arial"/>
                <w:i/>
                <w:sz w:val="20"/>
                <w:szCs w:val="20"/>
                <w:lang w:val="en-US" w:eastAsia="en-US"/>
              </w:rPr>
              <w:t>0.158</w:t>
            </w:r>
          </w:p>
        </w:tc>
        <w:tc>
          <w:tcPr>
            <w:tcW w:w="1139" w:type="dxa"/>
            <w:tcBorders>
              <w:top w:val="nil"/>
              <w:left w:val="nil"/>
              <w:bottom w:val="nil"/>
              <w:right w:val="nil"/>
            </w:tcBorders>
            <w:shd w:val="clear" w:color="auto" w:fill="auto"/>
            <w:noWrap/>
            <w:vAlign w:val="bottom"/>
            <w:hideMark/>
          </w:tcPr>
          <w:p w14:paraId="28733901" w14:textId="77777777" w:rsidR="00585C26" w:rsidRPr="00986F85" w:rsidRDefault="00585C26" w:rsidP="00585C26">
            <w:pPr>
              <w:suppressAutoHyphens w:val="0"/>
              <w:spacing w:after="0" w:line="240" w:lineRule="auto"/>
              <w:jc w:val="right"/>
              <w:rPr>
                <w:rFonts w:eastAsia="Times New Roman" w:cs="Arial"/>
                <w:i/>
                <w:sz w:val="20"/>
                <w:szCs w:val="20"/>
                <w:lang w:val="en-US" w:eastAsia="en-US"/>
              </w:rPr>
            </w:pPr>
            <w:r w:rsidRPr="00986F85">
              <w:rPr>
                <w:rFonts w:eastAsia="Times New Roman" w:cs="Arial"/>
                <w:i/>
                <w:sz w:val="20"/>
                <w:szCs w:val="20"/>
                <w:lang w:val="en-US" w:eastAsia="en-US"/>
              </w:rPr>
              <w:t>0.174</w:t>
            </w:r>
          </w:p>
        </w:tc>
      </w:tr>
    </w:tbl>
    <w:p w14:paraId="361E2BCA" w14:textId="77777777" w:rsidR="009D6B9A" w:rsidRPr="00986F85" w:rsidRDefault="009D6B9A" w:rsidP="00B04415">
      <w:pPr>
        <w:spacing w:after="0" w:line="360" w:lineRule="auto"/>
        <w:jc w:val="both"/>
        <w:rPr>
          <w:rFonts w:cs="Times New Roman"/>
          <w:b/>
          <w:szCs w:val="24"/>
        </w:rPr>
      </w:pPr>
    </w:p>
    <w:p w14:paraId="3E82B6BB" w14:textId="77777777" w:rsidR="00585C26" w:rsidRPr="00986F85" w:rsidRDefault="00585C26" w:rsidP="00B04415">
      <w:pPr>
        <w:spacing w:after="0" w:line="360" w:lineRule="auto"/>
        <w:jc w:val="both"/>
        <w:rPr>
          <w:rFonts w:cs="Times New Roman"/>
          <w:i/>
          <w:szCs w:val="24"/>
        </w:rPr>
      </w:pPr>
      <w:r w:rsidRPr="00986F85">
        <w:rPr>
          <w:rFonts w:cs="Times New Roman"/>
          <w:i/>
          <w:szCs w:val="24"/>
        </w:rPr>
        <w:t>Minta: 5 fő feletti létszámmal rendelkező, EMIR és NAV adatbázisban szereplő cégek</w:t>
      </w:r>
    </w:p>
    <w:p w14:paraId="37A8EF50" w14:textId="77777777" w:rsidR="009D6B9A" w:rsidRPr="00986F85" w:rsidRDefault="009D6B9A" w:rsidP="00B04415">
      <w:pPr>
        <w:spacing w:after="0" w:line="360" w:lineRule="auto"/>
        <w:jc w:val="both"/>
        <w:rPr>
          <w:rFonts w:cs="Times New Roman"/>
          <w:b/>
          <w:szCs w:val="24"/>
        </w:rPr>
      </w:pPr>
    </w:p>
    <w:p w14:paraId="66F19F8F" w14:textId="77777777" w:rsidR="00585C26" w:rsidRPr="00986F85" w:rsidRDefault="00585C26" w:rsidP="00B04415">
      <w:pPr>
        <w:spacing w:after="0" w:line="360" w:lineRule="auto"/>
        <w:jc w:val="both"/>
        <w:outlineLvl w:val="0"/>
        <w:rPr>
          <w:rFonts w:cs="Times New Roman"/>
          <w:b/>
          <w:bCs/>
          <w:szCs w:val="24"/>
        </w:rPr>
      </w:pPr>
    </w:p>
    <w:p w14:paraId="5E83266F" w14:textId="77777777" w:rsidR="0070639F" w:rsidRPr="00986F85" w:rsidRDefault="0070639F" w:rsidP="00B04415">
      <w:pPr>
        <w:spacing w:after="0" w:line="360" w:lineRule="auto"/>
        <w:jc w:val="both"/>
        <w:outlineLvl w:val="0"/>
        <w:rPr>
          <w:rFonts w:cs="Times New Roman"/>
          <w:b/>
          <w:bCs/>
          <w:szCs w:val="24"/>
        </w:rPr>
        <w:sectPr w:rsidR="0070639F" w:rsidRPr="00986F85" w:rsidSect="0070639F">
          <w:pgSz w:w="16838" w:h="11906" w:orient="landscape"/>
          <w:pgMar w:top="1417" w:right="1417" w:bottom="1417" w:left="1417" w:header="720" w:footer="720" w:gutter="0"/>
          <w:cols w:space="720"/>
          <w:docGrid w:linePitch="360"/>
        </w:sectPr>
      </w:pPr>
    </w:p>
    <w:p w14:paraId="68666955" w14:textId="77777777" w:rsidR="0070639F" w:rsidRPr="00986F85" w:rsidRDefault="0070639F" w:rsidP="00B04415">
      <w:pPr>
        <w:spacing w:after="0" w:line="360" w:lineRule="auto"/>
        <w:jc w:val="both"/>
        <w:outlineLvl w:val="0"/>
        <w:rPr>
          <w:rFonts w:cs="Times New Roman"/>
          <w:b/>
          <w:bCs/>
          <w:szCs w:val="24"/>
        </w:rPr>
      </w:pPr>
    </w:p>
    <w:p w14:paraId="3BE3C921" w14:textId="77777777" w:rsidR="0070639F" w:rsidRPr="00986F85" w:rsidRDefault="0070639F" w:rsidP="00B04415">
      <w:pPr>
        <w:spacing w:after="0" w:line="360" w:lineRule="auto"/>
        <w:jc w:val="both"/>
        <w:outlineLvl w:val="0"/>
        <w:rPr>
          <w:rFonts w:cs="Times New Roman"/>
          <w:b/>
          <w:bCs/>
          <w:szCs w:val="24"/>
        </w:rPr>
      </w:pPr>
    </w:p>
    <w:p w14:paraId="2CA7DC5E" w14:textId="77777777" w:rsidR="0070639F" w:rsidRPr="00986F85" w:rsidRDefault="0070639F" w:rsidP="00B04415">
      <w:pPr>
        <w:spacing w:after="0" w:line="360" w:lineRule="auto"/>
        <w:jc w:val="both"/>
        <w:outlineLvl w:val="0"/>
        <w:rPr>
          <w:rFonts w:cs="Times New Roman"/>
          <w:b/>
          <w:bCs/>
          <w:szCs w:val="24"/>
        </w:rPr>
      </w:pPr>
    </w:p>
    <w:p w14:paraId="3EBDD2C6" w14:textId="77777777" w:rsidR="005D761A" w:rsidRPr="00986F85" w:rsidRDefault="001671C7" w:rsidP="00294E6D">
      <w:pPr>
        <w:pStyle w:val="Cmsor2"/>
        <w:spacing w:before="0" w:after="0" w:line="360" w:lineRule="auto"/>
        <w:jc w:val="both"/>
        <w:rPr>
          <w:rFonts w:ascii="Myriad Pro" w:hAnsi="Myriad Pro"/>
          <w:szCs w:val="24"/>
        </w:rPr>
      </w:pPr>
      <w:bookmarkStart w:id="65" w:name="_Toc230854331"/>
      <w:r w:rsidRPr="00986F85">
        <w:rPr>
          <w:rFonts w:ascii="Myriad Pro" w:hAnsi="Myriad Pro"/>
          <w:szCs w:val="24"/>
        </w:rPr>
        <w:t xml:space="preserve">II. </w:t>
      </w:r>
      <w:r w:rsidR="005D761A" w:rsidRPr="00986F85">
        <w:rPr>
          <w:rFonts w:ascii="Myriad Pro" w:hAnsi="Myriad Pro"/>
          <w:szCs w:val="24"/>
        </w:rPr>
        <w:t>LEÍRÓ STATISZTIKÁK</w:t>
      </w:r>
      <w:bookmarkEnd w:id="65"/>
      <w:r w:rsidR="005D761A" w:rsidRPr="00986F85">
        <w:rPr>
          <w:rFonts w:ascii="Myriad Pro" w:hAnsi="Myriad Pro"/>
          <w:szCs w:val="24"/>
        </w:rPr>
        <w:t xml:space="preserve"> </w:t>
      </w:r>
    </w:p>
    <w:p w14:paraId="134BBA7E" w14:textId="77777777" w:rsidR="00294E6D" w:rsidRPr="00986F85" w:rsidRDefault="00294E6D" w:rsidP="00294E6D">
      <w:pPr>
        <w:pStyle w:val="Szvegtrzs"/>
      </w:pPr>
    </w:p>
    <w:p w14:paraId="5B3E2EF7" w14:textId="77777777" w:rsidR="005D761A" w:rsidRPr="00986F85" w:rsidRDefault="005D761A" w:rsidP="00B04415">
      <w:pPr>
        <w:spacing w:after="0" w:line="360" w:lineRule="auto"/>
        <w:jc w:val="both"/>
        <w:outlineLvl w:val="0"/>
        <w:rPr>
          <w:rFonts w:cs="Times New Roman"/>
          <w:b/>
          <w:bCs/>
          <w:szCs w:val="24"/>
        </w:rPr>
      </w:pPr>
      <w:r w:rsidRPr="00986F85">
        <w:rPr>
          <w:rFonts w:cs="Times New Roman"/>
          <w:b/>
          <w:bCs/>
          <w:szCs w:val="24"/>
        </w:rPr>
        <w:t>1. táblázat: Vizsgált konstrukciók előre haladása és fő jellemzői</w:t>
      </w:r>
    </w:p>
    <w:tbl>
      <w:tblPr>
        <w:tblW w:w="9087" w:type="dxa"/>
        <w:tblInd w:w="93" w:type="dxa"/>
        <w:tblLayout w:type="fixed"/>
        <w:tblLook w:val="04A0" w:firstRow="1" w:lastRow="0" w:firstColumn="1" w:lastColumn="0" w:noHBand="0" w:noVBand="1"/>
      </w:tblPr>
      <w:tblGrid>
        <w:gridCol w:w="1716"/>
        <w:gridCol w:w="709"/>
        <w:gridCol w:w="851"/>
        <w:gridCol w:w="708"/>
        <w:gridCol w:w="1276"/>
        <w:gridCol w:w="851"/>
        <w:gridCol w:w="850"/>
        <w:gridCol w:w="851"/>
        <w:gridCol w:w="1275"/>
      </w:tblGrid>
      <w:tr w:rsidR="00E26F51" w:rsidRPr="00986F85" w14:paraId="73DFE8EC" w14:textId="77777777" w:rsidTr="00E26F51">
        <w:trPr>
          <w:trHeight w:val="560"/>
        </w:trPr>
        <w:tc>
          <w:tcPr>
            <w:tcW w:w="1716" w:type="dxa"/>
            <w:tcBorders>
              <w:top w:val="single" w:sz="4" w:space="0" w:color="auto"/>
              <w:left w:val="single" w:sz="4" w:space="0" w:color="auto"/>
              <w:bottom w:val="single" w:sz="4" w:space="0" w:color="auto"/>
              <w:right w:val="single" w:sz="4" w:space="0" w:color="auto"/>
            </w:tcBorders>
            <w:shd w:val="clear" w:color="auto" w:fill="B10000"/>
            <w:vAlign w:val="center"/>
            <w:hideMark/>
          </w:tcPr>
          <w:p w14:paraId="7B9CA699" w14:textId="77777777" w:rsidR="005D761A" w:rsidRPr="00986F85" w:rsidRDefault="005D761A" w:rsidP="005D761A">
            <w:pPr>
              <w:suppressAutoHyphens w:val="0"/>
              <w:spacing w:after="0" w:line="240" w:lineRule="auto"/>
              <w:rPr>
                <w:rFonts w:eastAsia="Times New Roman" w:cs="Times New Roman"/>
                <w:b/>
                <w:bCs/>
                <w:color w:val="FFFFFF"/>
                <w:sz w:val="22"/>
                <w:lang w:eastAsia="en-US"/>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B10000"/>
            <w:vAlign w:val="center"/>
            <w:hideMark/>
          </w:tcPr>
          <w:p w14:paraId="43B038DD" w14:textId="77777777" w:rsidR="005D761A" w:rsidRPr="00986F85" w:rsidRDefault="005D761A" w:rsidP="005D761A">
            <w:pPr>
              <w:suppressAutoHyphens w:val="0"/>
              <w:spacing w:after="0" w:line="240" w:lineRule="auto"/>
              <w:jc w:val="center"/>
              <w:rPr>
                <w:rFonts w:eastAsia="Times New Roman" w:cs="Times New Roman"/>
                <w:b/>
                <w:bCs/>
                <w:color w:val="FFFFFF"/>
                <w:sz w:val="22"/>
                <w:lang w:val="en-US" w:eastAsia="en-US"/>
              </w:rPr>
            </w:pPr>
            <w:r w:rsidRPr="00986F85">
              <w:rPr>
                <w:rFonts w:eastAsia="Times New Roman" w:cs="Times New Roman"/>
                <w:b/>
                <w:bCs/>
                <w:color w:val="FFFFFF"/>
                <w:sz w:val="22"/>
                <w:lang w:val="en-US" w:eastAsia="en-US"/>
              </w:rPr>
              <w:t xml:space="preserve">Nyertes cégek száma </w:t>
            </w:r>
          </w:p>
          <w:p w14:paraId="5A8244BC" w14:textId="77777777" w:rsidR="005D761A" w:rsidRPr="00986F85" w:rsidRDefault="005D761A" w:rsidP="005D761A">
            <w:pPr>
              <w:suppressAutoHyphens w:val="0"/>
              <w:spacing w:after="0" w:line="240" w:lineRule="auto"/>
              <w:jc w:val="center"/>
              <w:rPr>
                <w:rFonts w:eastAsia="Times New Roman" w:cs="Times New Roman"/>
                <w:b/>
                <w:bCs/>
                <w:color w:val="FFFFFF"/>
                <w:sz w:val="22"/>
                <w:lang w:val="en-US" w:eastAsia="en-US"/>
              </w:rPr>
            </w:pPr>
            <w:r w:rsidRPr="00986F85">
              <w:rPr>
                <w:rFonts w:eastAsia="Times New Roman" w:cs="Times New Roman"/>
                <w:b/>
                <w:bCs/>
                <w:color w:val="FFFFFF"/>
                <w:sz w:val="22"/>
                <w:lang w:val="en-US" w:eastAsia="en-US"/>
              </w:rPr>
              <w:t>(db)</w:t>
            </w:r>
          </w:p>
        </w:tc>
        <w:tc>
          <w:tcPr>
            <w:tcW w:w="1984" w:type="dxa"/>
            <w:gridSpan w:val="2"/>
            <w:tcBorders>
              <w:top w:val="single" w:sz="4" w:space="0" w:color="auto"/>
              <w:left w:val="single" w:sz="4" w:space="0" w:color="auto"/>
              <w:bottom w:val="single" w:sz="4" w:space="0" w:color="auto"/>
              <w:right w:val="single" w:sz="4" w:space="0" w:color="auto"/>
            </w:tcBorders>
            <w:shd w:val="clear" w:color="auto" w:fill="B10000"/>
            <w:vAlign w:val="center"/>
            <w:hideMark/>
          </w:tcPr>
          <w:p w14:paraId="5293C0F4" w14:textId="77777777" w:rsidR="005D761A" w:rsidRPr="00986F85" w:rsidRDefault="005D761A" w:rsidP="005D761A">
            <w:pPr>
              <w:suppressAutoHyphens w:val="0"/>
              <w:spacing w:after="0" w:line="240" w:lineRule="auto"/>
              <w:jc w:val="center"/>
              <w:rPr>
                <w:rFonts w:eastAsia="Times New Roman" w:cs="Times New Roman"/>
                <w:b/>
                <w:bCs/>
                <w:color w:val="FFFFFF"/>
                <w:sz w:val="22"/>
                <w:lang w:val="en-US" w:eastAsia="en-US"/>
              </w:rPr>
            </w:pPr>
            <w:r w:rsidRPr="00986F85">
              <w:rPr>
                <w:rFonts w:eastAsia="Times New Roman" w:cs="Times New Roman"/>
                <w:b/>
                <w:bCs/>
                <w:color w:val="FFFFFF"/>
                <w:sz w:val="22"/>
                <w:lang w:val="en-US" w:eastAsia="en-US"/>
              </w:rPr>
              <w:t>Nyertes pályázatok száma</w:t>
            </w:r>
          </w:p>
          <w:p w14:paraId="095E369F" w14:textId="77777777" w:rsidR="005D761A" w:rsidRPr="00986F85" w:rsidRDefault="005D761A" w:rsidP="005D761A">
            <w:pPr>
              <w:suppressAutoHyphens w:val="0"/>
              <w:spacing w:after="0" w:line="240" w:lineRule="auto"/>
              <w:jc w:val="center"/>
              <w:rPr>
                <w:rFonts w:eastAsia="Times New Roman" w:cs="Times New Roman"/>
                <w:b/>
                <w:bCs/>
                <w:color w:val="FFFFFF"/>
                <w:sz w:val="22"/>
                <w:lang w:val="en-US" w:eastAsia="en-US"/>
              </w:rPr>
            </w:pPr>
            <w:r w:rsidRPr="00986F85">
              <w:rPr>
                <w:rFonts w:eastAsia="Times New Roman" w:cs="Times New Roman"/>
                <w:b/>
                <w:bCs/>
                <w:color w:val="FFFFFF"/>
                <w:sz w:val="22"/>
                <w:lang w:val="en-US" w:eastAsia="en-US"/>
              </w:rPr>
              <w:t>(db)</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10000"/>
            <w:vAlign w:val="center"/>
            <w:hideMark/>
          </w:tcPr>
          <w:p w14:paraId="7E622D67" w14:textId="77777777" w:rsidR="005D761A" w:rsidRPr="00986F85" w:rsidRDefault="005D761A" w:rsidP="005D761A">
            <w:pPr>
              <w:suppressAutoHyphens w:val="0"/>
              <w:spacing w:after="0" w:line="240" w:lineRule="auto"/>
              <w:jc w:val="center"/>
              <w:rPr>
                <w:rFonts w:eastAsia="Times New Roman" w:cs="Times New Roman"/>
                <w:b/>
                <w:bCs/>
                <w:color w:val="FFFFFF"/>
                <w:sz w:val="22"/>
                <w:lang w:val="en-US" w:eastAsia="en-US"/>
              </w:rPr>
            </w:pPr>
            <w:r w:rsidRPr="00986F85">
              <w:rPr>
                <w:rFonts w:eastAsia="Times New Roman" w:cs="Times New Roman"/>
                <w:b/>
                <w:bCs/>
                <w:color w:val="FFFFFF"/>
                <w:sz w:val="22"/>
                <w:lang w:val="en-US" w:eastAsia="en-US"/>
              </w:rPr>
              <w:t>Megítélt támogatási összeg (mill Ft)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B10000"/>
            <w:vAlign w:val="center"/>
            <w:hideMark/>
          </w:tcPr>
          <w:p w14:paraId="1774B8BD" w14:textId="77777777" w:rsidR="005D761A" w:rsidRPr="00986F85" w:rsidRDefault="005D761A" w:rsidP="005D761A">
            <w:pPr>
              <w:suppressAutoHyphens w:val="0"/>
              <w:spacing w:after="0" w:line="240" w:lineRule="auto"/>
              <w:jc w:val="center"/>
              <w:rPr>
                <w:rFonts w:eastAsia="Times New Roman" w:cs="Times New Roman"/>
                <w:b/>
                <w:bCs/>
                <w:color w:val="FFFFFF"/>
                <w:sz w:val="22"/>
                <w:lang w:val="en-US" w:eastAsia="en-US"/>
              </w:rPr>
            </w:pPr>
            <w:r w:rsidRPr="00986F85">
              <w:rPr>
                <w:rFonts w:eastAsia="Times New Roman" w:cs="Times New Roman"/>
                <w:b/>
                <w:bCs/>
                <w:color w:val="FFFFFF"/>
                <w:sz w:val="22"/>
                <w:lang w:val="en-US" w:eastAsia="en-US"/>
              </w:rPr>
              <w:t>Kifizetett támogatási összeg  (mill Ft)</w:t>
            </w:r>
          </w:p>
        </w:tc>
      </w:tr>
      <w:tr w:rsidR="00E26F51" w:rsidRPr="00986F85" w14:paraId="3572BF6D" w14:textId="77777777" w:rsidTr="00E26F51">
        <w:trPr>
          <w:trHeight w:val="280"/>
        </w:trPr>
        <w:tc>
          <w:tcPr>
            <w:tcW w:w="1716" w:type="dxa"/>
            <w:tcBorders>
              <w:top w:val="single" w:sz="4" w:space="0" w:color="auto"/>
              <w:left w:val="nil"/>
              <w:bottom w:val="nil"/>
              <w:right w:val="nil"/>
            </w:tcBorders>
            <w:shd w:val="clear" w:color="auto" w:fill="auto"/>
            <w:noWrap/>
            <w:vAlign w:val="bottom"/>
            <w:hideMark/>
          </w:tcPr>
          <w:p w14:paraId="6FF7A3C3" w14:textId="77777777" w:rsidR="005D761A" w:rsidRPr="00986F85" w:rsidRDefault="005D761A" w:rsidP="005D761A">
            <w:pPr>
              <w:suppressAutoHyphens w:val="0"/>
              <w:spacing w:after="0" w:line="240" w:lineRule="auto"/>
              <w:rPr>
                <w:rFonts w:eastAsia="Times New Roman" w:cs="Times New Roman"/>
                <w:b/>
                <w:bCs/>
                <w:color w:val="000000"/>
                <w:sz w:val="22"/>
                <w:lang w:val="en-US" w:eastAsia="en-US"/>
              </w:rPr>
            </w:pPr>
          </w:p>
        </w:tc>
        <w:tc>
          <w:tcPr>
            <w:tcW w:w="709" w:type="dxa"/>
            <w:tcBorders>
              <w:top w:val="single" w:sz="4" w:space="0" w:color="auto"/>
              <w:left w:val="nil"/>
              <w:bottom w:val="nil"/>
              <w:right w:val="nil"/>
            </w:tcBorders>
            <w:shd w:val="clear" w:color="auto" w:fill="auto"/>
            <w:noWrap/>
            <w:vAlign w:val="bottom"/>
            <w:hideMark/>
          </w:tcPr>
          <w:p w14:paraId="0A525DC3" w14:textId="77777777" w:rsidR="005D761A" w:rsidRPr="00986F85" w:rsidRDefault="005D761A" w:rsidP="005D761A">
            <w:pPr>
              <w:suppressAutoHyphens w:val="0"/>
              <w:spacing w:after="0" w:line="240" w:lineRule="auto"/>
              <w:jc w:val="right"/>
              <w:rPr>
                <w:rFonts w:eastAsia="Times New Roman" w:cs="Times New Roman"/>
                <w:b/>
                <w:bCs/>
                <w:color w:val="000000"/>
                <w:sz w:val="22"/>
                <w:lang w:val="en-US" w:eastAsia="en-US"/>
              </w:rPr>
            </w:pPr>
            <w:r w:rsidRPr="00986F85">
              <w:rPr>
                <w:rFonts w:eastAsia="Times New Roman" w:cs="Times New Roman"/>
                <w:b/>
                <w:bCs/>
                <w:color w:val="000000"/>
                <w:sz w:val="22"/>
                <w:lang w:val="en-US" w:eastAsia="en-US"/>
              </w:rPr>
              <w:t>2009</w:t>
            </w:r>
          </w:p>
        </w:tc>
        <w:tc>
          <w:tcPr>
            <w:tcW w:w="851" w:type="dxa"/>
            <w:tcBorders>
              <w:top w:val="single" w:sz="4" w:space="0" w:color="auto"/>
              <w:left w:val="nil"/>
              <w:bottom w:val="nil"/>
              <w:right w:val="nil"/>
            </w:tcBorders>
            <w:shd w:val="clear" w:color="auto" w:fill="auto"/>
            <w:noWrap/>
            <w:vAlign w:val="bottom"/>
            <w:hideMark/>
          </w:tcPr>
          <w:p w14:paraId="14E3C74D" w14:textId="77777777" w:rsidR="005D761A" w:rsidRPr="00986F85" w:rsidRDefault="005D761A" w:rsidP="005D761A">
            <w:pPr>
              <w:suppressAutoHyphens w:val="0"/>
              <w:spacing w:after="0" w:line="240" w:lineRule="auto"/>
              <w:jc w:val="right"/>
              <w:rPr>
                <w:rFonts w:eastAsia="Times New Roman" w:cs="Times New Roman"/>
                <w:b/>
                <w:bCs/>
                <w:color w:val="000000"/>
                <w:sz w:val="22"/>
                <w:lang w:val="en-US" w:eastAsia="en-US"/>
              </w:rPr>
            </w:pPr>
            <w:r w:rsidRPr="00986F85">
              <w:rPr>
                <w:rFonts w:eastAsia="Times New Roman" w:cs="Times New Roman"/>
                <w:b/>
                <w:bCs/>
                <w:color w:val="000000"/>
                <w:sz w:val="22"/>
                <w:lang w:val="en-US" w:eastAsia="en-US"/>
              </w:rPr>
              <w:t>2011</w:t>
            </w:r>
          </w:p>
        </w:tc>
        <w:tc>
          <w:tcPr>
            <w:tcW w:w="708" w:type="dxa"/>
            <w:tcBorders>
              <w:top w:val="single" w:sz="4" w:space="0" w:color="auto"/>
              <w:left w:val="nil"/>
              <w:bottom w:val="nil"/>
              <w:right w:val="nil"/>
            </w:tcBorders>
            <w:shd w:val="clear" w:color="auto" w:fill="auto"/>
            <w:noWrap/>
            <w:vAlign w:val="bottom"/>
            <w:hideMark/>
          </w:tcPr>
          <w:p w14:paraId="01619710" w14:textId="77777777" w:rsidR="005D761A" w:rsidRPr="00986F85" w:rsidRDefault="005D761A" w:rsidP="005D761A">
            <w:pPr>
              <w:suppressAutoHyphens w:val="0"/>
              <w:spacing w:after="0" w:line="240" w:lineRule="auto"/>
              <w:jc w:val="right"/>
              <w:rPr>
                <w:rFonts w:eastAsia="Times New Roman" w:cs="Times New Roman"/>
                <w:b/>
                <w:bCs/>
                <w:color w:val="000000"/>
                <w:sz w:val="22"/>
                <w:lang w:val="en-US" w:eastAsia="en-US"/>
              </w:rPr>
            </w:pPr>
            <w:r w:rsidRPr="00986F85">
              <w:rPr>
                <w:rFonts w:eastAsia="Times New Roman" w:cs="Times New Roman"/>
                <w:b/>
                <w:bCs/>
                <w:color w:val="000000"/>
                <w:sz w:val="22"/>
                <w:lang w:val="en-US" w:eastAsia="en-US"/>
              </w:rPr>
              <w:t>2009</w:t>
            </w:r>
          </w:p>
        </w:tc>
        <w:tc>
          <w:tcPr>
            <w:tcW w:w="1276" w:type="dxa"/>
            <w:tcBorders>
              <w:top w:val="single" w:sz="4" w:space="0" w:color="auto"/>
              <w:left w:val="nil"/>
              <w:bottom w:val="nil"/>
              <w:right w:val="nil"/>
            </w:tcBorders>
            <w:shd w:val="clear" w:color="auto" w:fill="auto"/>
            <w:noWrap/>
            <w:vAlign w:val="bottom"/>
            <w:hideMark/>
          </w:tcPr>
          <w:p w14:paraId="17ECFC3C" w14:textId="77777777" w:rsidR="005D761A" w:rsidRPr="00986F85" w:rsidRDefault="005D761A" w:rsidP="005D761A">
            <w:pPr>
              <w:suppressAutoHyphens w:val="0"/>
              <w:spacing w:after="0" w:line="240" w:lineRule="auto"/>
              <w:jc w:val="right"/>
              <w:rPr>
                <w:rFonts w:eastAsia="Times New Roman" w:cs="Times New Roman"/>
                <w:b/>
                <w:bCs/>
                <w:color w:val="000000"/>
                <w:sz w:val="22"/>
                <w:lang w:val="en-US" w:eastAsia="en-US"/>
              </w:rPr>
            </w:pPr>
            <w:r w:rsidRPr="00986F85">
              <w:rPr>
                <w:rFonts w:eastAsia="Times New Roman" w:cs="Times New Roman"/>
                <w:b/>
                <w:bCs/>
                <w:color w:val="000000"/>
                <w:sz w:val="22"/>
                <w:lang w:val="en-US" w:eastAsia="en-US"/>
              </w:rPr>
              <w:t>2011</w:t>
            </w:r>
          </w:p>
        </w:tc>
        <w:tc>
          <w:tcPr>
            <w:tcW w:w="851" w:type="dxa"/>
            <w:tcBorders>
              <w:top w:val="single" w:sz="4" w:space="0" w:color="auto"/>
              <w:left w:val="nil"/>
              <w:bottom w:val="nil"/>
              <w:right w:val="nil"/>
            </w:tcBorders>
            <w:shd w:val="clear" w:color="auto" w:fill="auto"/>
            <w:noWrap/>
            <w:vAlign w:val="bottom"/>
            <w:hideMark/>
          </w:tcPr>
          <w:p w14:paraId="79953ED8" w14:textId="77777777" w:rsidR="005D761A" w:rsidRPr="00986F85" w:rsidRDefault="005D761A" w:rsidP="005D761A">
            <w:pPr>
              <w:suppressAutoHyphens w:val="0"/>
              <w:spacing w:after="0" w:line="240" w:lineRule="auto"/>
              <w:jc w:val="right"/>
              <w:rPr>
                <w:rFonts w:eastAsia="Times New Roman" w:cs="Times New Roman"/>
                <w:b/>
                <w:bCs/>
                <w:color w:val="000000"/>
                <w:sz w:val="22"/>
                <w:lang w:val="en-US" w:eastAsia="en-US"/>
              </w:rPr>
            </w:pPr>
            <w:r w:rsidRPr="00986F85">
              <w:rPr>
                <w:rFonts w:eastAsia="Times New Roman" w:cs="Times New Roman"/>
                <w:b/>
                <w:bCs/>
                <w:color w:val="000000"/>
                <w:sz w:val="22"/>
                <w:lang w:val="en-US" w:eastAsia="en-US"/>
              </w:rPr>
              <w:t>2009</w:t>
            </w:r>
          </w:p>
        </w:tc>
        <w:tc>
          <w:tcPr>
            <w:tcW w:w="850" w:type="dxa"/>
            <w:tcBorders>
              <w:top w:val="single" w:sz="4" w:space="0" w:color="auto"/>
              <w:left w:val="nil"/>
              <w:bottom w:val="nil"/>
              <w:right w:val="nil"/>
            </w:tcBorders>
            <w:shd w:val="clear" w:color="auto" w:fill="auto"/>
            <w:noWrap/>
            <w:vAlign w:val="bottom"/>
            <w:hideMark/>
          </w:tcPr>
          <w:p w14:paraId="6D98E0E2" w14:textId="77777777" w:rsidR="005D761A" w:rsidRPr="00986F85" w:rsidRDefault="005D761A" w:rsidP="005D761A">
            <w:pPr>
              <w:suppressAutoHyphens w:val="0"/>
              <w:spacing w:after="0" w:line="240" w:lineRule="auto"/>
              <w:jc w:val="right"/>
              <w:rPr>
                <w:rFonts w:eastAsia="Times New Roman" w:cs="Times New Roman"/>
                <w:b/>
                <w:bCs/>
                <w:color w:val="000000"/>
                <w:sz w:val="22"/>
                <w:lang w:val="en-US" w:eastAsia="en-US"/>
              </w:rPr>
            </w:pPr>
            <w:r w:rsidRPr="00986F85">
              <w:rPr>
                <w:rFonts w:eastAsia="Times New Roman" w:cs="Times New Roman"/>
                <w:b/>
                <w:bCs/>
                <w:color w:val="000000"/>
                <w:sz w:val="22"/>
                <w:lang w:val="en-US" w:eastAsia="en-US"/>
              </w:rPr>
              <w:t>2011</w:t>
            </w:r>
          </w:p>
        </w:tc>
        <w:tc>
          <w:tcPr>
            <w:tcW w:w="851" w:type="dxa"/>
            <w:tcBorders>
              <w:top w:val="single" w:sz="4" w:space="0" w:color="auto"/>
              <w:left w:val="nil"/>
              <w:bottom w:val="nil"/>
              <w:right w:val="nil"/>
            </w:tcBorders>
            <w:shd w:val="clear" w:color="auto" w:fill="auto"/>
            <w:noWrap/>
            <w:vAlign w:val="bottom"/>
            <w:hideMark/>
          </w:tcPr>
          <w:p w14:paraId="1CF842CD" w14:textId="77777777" w:rsidR="005D761A" w:rsidRPr="00986F85" w:rsidRDefault="005D761A" w:rsidP="005D761A">
            <w:pPr>
              <w:suppressAutoHyphens w:val="0"/>
              <w:spacing w:after="0" w:line="240" w:lineRule="auto"/>
              <w:jc w:val="right"/>
              <w:rPr>
                <w:rFonts w:eastAsia="Times New Roman" w:cs="Times New Roman"/>
                <w:b/>
                <w:bCs/>
                <w:color w:val="000000"/>
                <w:sz w:val="22"/>
                <w:lang w:val="en-US" w:eastAsia="en-US"/>
              </w:rPr>
            </w:pPr>
            <w:r w:rsidRPr="00986F85">
              <w:rPr>
                <w:rFonts w:eastAsia="Times New Roman" w:cs="Times New Roman"/>
                <w:b/>
                <w:bCs/>
                <w:color w:val="000000"/>
                <w:sz w:val="22"/>
                <w:lang w:val="en-US" w:eastAsia="en-US"/>
              </w:rPr>
              <w:t>2009</w:t>
            </w:r>
          </w:p>
        </w:tc>
        <w:tc>
          <w:tcPr>
            <w:tcW w:w="1275" w:type="dxa"/>
            <w:tcBorders>
              <w:top w:val="single" w:sz="4" w:space="0" w:color="auto"/>
              <w:left w:val="nil"/>
              <w:bottom w:val="nil"/>
              <w:right w:val="nil"/>
            </w:tcBorders>
            <w:shd w:val="clear" w:color="auto" w:fill="auto"/>
            <w:noWrap/>
            <w:vAlign w:val="bottom"/>
            <w:hideMark/>
          </w:tcPr>
          <w:p w14:paraId="7B278052" w14:textId="77777777" w:rsidR="005D761A" w:rsidRPr="00986F85" w:rsidRDefault="005D761A" w:rsidP="005D761A">
            <w:pPr>
              <w:suppressAutoHyphens w:val="0"/>
              <w:spacing w:after="0" w:line="240" w:lineRule="auto"/>
              <w:jc w:val="right"/>
              <w:rPr>
                <w:rFonts w:eastAsia="Times New Roman" w:cs="Times New Roman"/>
                <w:b/>
                <w:bCs/>
                <w:color w:val="000000"/>
                <w:sz w:val="22"/>
                <w:lang w:val="en-US" w:eastAsia="en-US"/>
              </w:rPr>
            </w:pPr>
            <w:r w:rsidRPr="00986F85">
              <w:rPr>
                <w:rFonts w:eastAsia="Times New Roman" w:cs="Times New Roman"/>
                <w:b/>
                <w:bCs/>
                <w:color w:val="000000"/>
                <w:sz w:val="22"/>
                <w:lang w:val="en-US" w:eastAsia="en-US"/>
              </w:rPr>
              <w:t>2011</w:t>
            </w:r>
          </w:p>
        </w:tc>
      </w:tr>
      <w:tr w:rsidR="00E26F51" w:rsidRPr="00986F85" w14:paraId="332ED42A" w14:textId="77777777" w:rsidTr="00E26F51">
        <w:trPr>
          <w:trHeight w:val="280"/>
        </w:trPr>
        <w:tc>
          <w:tcPr>
            <w:tcW w:w="1716" w:type="dxa"/>
            <w:tcBorders>
              <w:top w:val="nil"/>
              <w:left w:val="nil"/>
              <w:bottom w:val="nil"/>
              <w:right w:val="nil"/>
            </w:tcBorders>
            <w:shd w:val="clear" w:color="auto" w:fill="auto"/>
            <w:noWrap/>
            <w:vAlign w:val="bottom"/>
            <w:hideMark/>
          </w:tcPr>
          <w:p w14:paraId="0E269955" w14:textId="77777777" w:rsidR="005D761A" w:rsidRPr="00986F85" w:rsidRDefault="005D761A" w:rsidP="005D761A">
            <w:pPr>
              <w:suppressAutoHyphens w:val="0"/>
              <w:spacing w:after="0" w:line="240" w:lineRule="auto"/>
              <w:rPr>
                <w:rFonts w:eastAsia="Times New Roman" w:cs="Times New Roman"/>
                <w:b/>
                <w:color w:val="000000"/>
                <w:sz w:val="22"/>
                <w:lang w:val="en-US" w:eastAsia="en-US"/>
              </w:rPr>
            </w:pPr>
            <w:r w:rsidRPr="00986F85">
              <w:rPr>
                <w:rFonts w:eastAsia="Times New Roman" w:cs="Times New Roman"/>
                <w:b/>
                <w:color w:val="000000"/>
                <w:sz w:val="22"/>
                <w:lang w:val="en-US" w:eastAsia="en-US"/>
              </w:rPr>
              <w:t>GOP211 A</w:t>
            </w:r>
          </w:p>
        </w:tc>
        <w:tc>
          <w:tcPr>
            <w:tcW w:w="709" w:type="dxa"/>
            <w:tcBorders>
              <w:top w:val="nil"/>
              <w:left w:val="nil"/>
              <w:bottom w:val="nil"/>
              <w:right w:val="nil"/>
            </w:tcBorders>
            <w:shd w:val="clear" w:color="auto" w:fill="auto"/>
            <w:noWrap/>
            <w:vAlign w:val="bottom"/>
            <w:hideMark/>
          </w:tcPr>
          <w:p w14:paraId="79D51875" w14:textId="77777777" w:rsidR="005D761A" w:rsidRPr="00986F85" w:rsidRDefault="005D761A" w:rsidP="005D761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2490</w:t>
            </w:r>
          </w:p>
        </w:tc>
        <w:tc>
          <w:tcPr>
            <w:tcW w:w="851" w:type="dxa"/>
            <w:tcBorders>
              <w:top w:val="nil"/>
              <w:left w:val="nil"/>
              <w:bottom w:val="nil"/>
              <w:right w:val="nil"/>
            </w:tcBorders>
            <w:shd w:val="clear" w:color="auto" w:fill="auto"/>
            <w:noWrap/>
            <w:vAlign w:val="bottom"/>
            <w:hideMark/>
          </w:tcPr>
          <w:p w14:paraId="7F1844C0" w14:textId="77777777" w:rsidR="005D761A" w:rsidRPr="00986F85" w:rsidRDefault="005D761A" w:rsidP="005D761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4430</w:t>
            </w:r>
          </w:p>
        </w:tc>
        <w:tc>
          <w:tcPr>
            <w:tcW w:w="708" w:type="dxa"/>
            <w:tcBorders>
              <w:top w:val="nil"/>
              <w:left w:val="nil"/>
              <w:bottom w:val="nil"/>
              <w:right w:val="nil"/>
            </w:tcBorders>
            <w:shd w:val="clear" w:color="auto" w:fill="auto"/>
            <w:noWrap/>
            <w:vAlign w:val="bottom"/>
            <w:hideMark/>
          </w:tcPr>
          <w:p w14:paraId="61126A84" w14:textId="77777777" w:rsidR="005D761A" w:rsidRPr="00986F85" w:rsidRDefault="005D761A" w:rsidP="005D761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3019</w:t>
            </w:r>
          </w:p>
        </w:tc>
        <w:tc>
          <w:tcPr>
            <w:tcW w:w="1276" w:type="dxa"/>
            <w:tcBorders>
              <w:top w:val="nil"/>
              <w:left w:val="nil"/>
              <w:bottom w:val="nil"/>
              <w:right w:val="nil"/>
            </w:tcBorders>
            <w:shd w:val="clear" w:color="auto" w:fill="auto"/>
            <w:noWrap/>
            <w:vAlign w:val="bottom"/>
            <w:hideMark/>
          </w:tcPr>
          <w:p w14:paraId="1A8D3208" w14:textId="77777777" w:rsidR="005D761A" w:rsidRPr="00986F85" w:rsidRDefault="005D761A" w:rsidP="005D761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6254</w:t>
            </w:r>
          </w:p>
        </w:tc>
        <w:tc>
          <w:tcPr>
            <w:tcW w:w="851" w:type="dxa"/>
            <w:tcBorders>
              <w:top w:val="nil"/>
              <w:left w:val="nil"/>
              <w:bottom w:val="nil"/>
              <w:right w:val="nil"/>
            </w:tcBorders>
            <w:shd w:val="clear" w:color="auto" w:fill="auto"/>
            <w:noWrap/>
            <w:vAlign w:val="bottom"/>
            <w:hideMark/>
          </w:tcPr>
          <w:p w14:paraId="35C51BD9" w14:textId="77777777" w:rsidR="005D761A" w:rsidRPr="00986F85" w:rsidRDefault="005D761A" w:rsidP="005D761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39719</w:t>
            </w:r>
          </w:p>
        </w:tc>
        <w:tc>
          <w:tcPr>
            <w:tcW w:w="850" w:type="dxa"/>
            <w:tcBorders>
              <w:top w:val="nil"/>
              <w:left w:val="nil"/>
              <w:bottom w:val="nil"/>
              <w:right w:val="nil"/>
            </w:tcBorders>
            <w:shd w:val="clear" w:color="auto" w:fill="auto"/>
            <w:noWrap/>
            <w:vAlign w:val="bottom"/>
            <w:hideMark/>
          </w:tcPr>
          <w:p w14:paraId="65CA1D7C" w14:textId="77777777" w:rsidR="005D761A" w:rsidRPr="00986F85" w:rsidRDefault="005D761A" w:rsidP="005D761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79481</w:t>
            </w:r>
          </w:p>
        </w:tc>
        <w:tc>
          <w:tcPr>
            <w:tcW w:w="851" w:type="dxa"/>
            <w:tcBorders>
              <w:top w:val="nil"/>
              <w:left w:val="nil"/>
              <w:bottom w:val="nil"/>
              <w:right w:val="nil"/>
            </w:tcBorders>
            <w:shd w:val="clear" w:color="auto" w:fill="auto"/>
            <w:noWrap/>
            <w:vAlign w:val="bottom"/>
            <w:hideMark/>
          </w:tcPr>
          <w:p w14:paraId="15DA0D18" w14:textId="77777777" w:rsidR="005D761A" w:rsidRPr="00986F85" w:rsidRDefault="005D761A" w:rsidP="005D761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6733</w:t>
            </w:r>
          </w:p>
        </w:tc>
        <w:tc>
          <w:tcPr>
            <w:tcW w:w="1275" w:type="dxa"/>
            <w:tcBorders>
              <w:top w:val="nil"/>
              <w:left w:val="nil"/>
              <w:bottom w:val="nil"/>
              <w:right w:val="nil"/>
            </w:tcBorders>
            <w:shd w:val="clear" w:color="auto" w:fill="auto"/>
            <w:noWrap/>
            <w:vAlign w:val="bottom"/>
            <w:hideMark/>
          </w:tcPr>
          <w:p w14:paraId="69350C89" w14:textId="77777777" w:rsidR="005D761A" w:rsidRPr="00986F85" w:rsidRDefault="005D761A" w:rsidP="005D761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46396</w:t>
            </w:r>
          </w:p>
        </w:tc>
      </w:tr>
      <w:tr w:rsidR="00E26F51" w:rsidRPr="00986F85" w14:paraId="68C9CAAB" w14:textId="77777777" w:rsidTr="00E26F51">
        <w:trPr>
          <w:trHeight w:val="280"/>
        </w:trPr>
        <w:tc>
          <w:tcPr>
            <w:tcW w:w="1716" w:type="dxa"/>
            <w:tcBorders>
              <w:top w:val="nil"/>
              <w:left w:val="nil"/>
              <w:bottom w:val="nil"/>
              <w:right w:val="nil"/>
            </w:tcBorders>
            <w:shd w:val="clear" w:color="auto" w:fill="auto"/>
            <w:noWrap/>
            <w:vAlign w:val="bottom"/>
            <w:hideMark/>
          </w:tcPr>
          <w:p w14:paraId="268E146B" w14:textId="77777777" w:rsidR="005D761A" w:rsidRPr="00986F85" w:rsidRDefault="005D761A" w:rsidP="005D761A">
            <w:pPr>
              <w:suppressAutoHyphens w:val="0"/>
              <w:spacing w:after="0" w:line="240" w:lineRule="auto"/>
              <w:rPr>
                <w:rFonts w:eastAsia="Times New Roman" w:cs="Times New Roman"/>
                <w:b/>
                <w:color w:val="000000"/>
                <w:sz w:val="22"/>
                <w:lang w:val="en-US" w:eastAsia="en-US"/>
              </w:rPr>
            </w:pPr>
            <w:r w:rsidRPr="00986F85">
              <w:rPr>
                <w:rFonts w:eastAsia="Times New Roman" w:cs="Times New Roman"/>
                <w:b/>
                <w:color w:val="000000"/>
                <w:sz w:val="22"/>
                <w:lang w:val="en-US" w:eastAsia="en-US"/>
              </w:rPr>
              <w:t>GOP211 B és C</w:t>
            </w:r>
          </w:p>
        </w:tc>
        <w:tc>
          <w:tcPr>
            <w:tcW w:w="709" w:type="dxa"/>
            <w:tcBorders>
              <w:top w:val="nil"/>
              <w:left w:val="nil"/>
              <w:bottom w:val="nil"/>
              <w:right w:val="nil"/>
            </w:tcBorders>
            <w:shd w:val="clear" w:color="auto" w:fill="auto"/>
            <w:noWrap/>
            <w:vAlign w:val="bottom"/>
            <w:hideMark/>
          </w:tcPr>
          <w:p w14:paraId="33B21973" w14:textId="77777777" w:rsidR="005D761A" w:rsidRPr="00986F85" w:rsidRDefault="005D761A" w:rsidP="005D761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254</w:t>
            </w:r>
          </w:p>
        </w:tc>
        <w:tc>
          <w:tcPr>
            <w:tcW w:w="851" w:type="dxa"/>
            <w:tcBorders>
              <w:top w:val="nil"/>
              <w:left w:val="nil"/>
              <w:bottom w:val="nil"/>
              <w:right w:val="nil"/>
            </w:tcBorders>
            <w:shd w:val="clear" w:color="auto" w:fill="auto"/>
            <w:noWrap/>
            <w:vAlign w:val="bottom"/>
            <w:hideMark/>
          </w:tcPr>
          <w:p w14:paraId="52871CAE" w14:textId="77777777" w:rsidR="005D761A" w:rsidRPr="00986F85" w:rsidRDefault="005D761A" w:rsidP="005D761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357</w:t>
            </w:r>
          </w:p>
        </w:tc>
        <w:tc>
          <w:tcPr>
            <w:tcW w:w="708" w:type="dxa"/>
            <w:tcBorders>
              <w:top w:val="nil"/>
              <w:left w:val="nil"/>
              <w:bottom w:val="nil"/>
              <w:right w:val="nil"/>
            </w:tcBorders>
            <w:shd w:val="clear" w:color="auto" w:fill="auto"/>
            <w:noWrap/>
            <w:vAlign w:val="bottom"/>
            <w:hideMark/>
          </w:tcPr>
          <w:p w14:paraId="24641920" w14:textId="77777777" w:rsidR="005D761A" w:rsidRPr="00986F85" w:rsidRDefault="005D761A" w:rsidP="005D761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421</w:t>
            </w:r>
          </w:p>
        </w:tc>
        <w:tc>
          <w:tcPr>
            <w:tcW w:w="1276" w:type="dxa"/>
            <w:tcBorders>
              <w:top w:val="nil"/>
              <w:left w:val="nil"/>
              <w:bottom w:val="nil"/>
              <w:right w:val="nil"/>
            </w:tcBorders>
            <w:shd w:val="clear" w:color="auto" w:fill="auto"/>
            <w:noWrap/>
            <w:vAlign w:val="bottom"/>
            <w:hideMark/>
          </w:tcPr>
          <w:p w14:paraId="2F24B944" w14:textId="77777777" w:rsidR="005D761A" w:rsidRPr="00986F85" w:rsidRDefault="005D761A" w:rsidP="005D761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714</w:t>
            </w:r>
          </w:p>
        </w:tc>
        <w:tc>
          <w:tcPr>
            <w:tcW w:w="851" w:type="dxa"/>
            <w:tcBorders>
              <w:top w:val="nil"/>
              <w:left w:val="nil"/>
              <w:bottom w:val="nil"/>
              <w:right w:val="nil"/>
            </w:tcBorders>
            <w:shd w:val="clear" w:color="auto" w:fill="auto"/>
            <w:noWrap/>
            <w:vAlign w:val="bottom"/>
            <w:hideMark/>
          </w:tcPr>
          <w:p w14:paraId="2EE43AF9" w14:textId="77777777" w:rsidR="005D761A" w:rsidRPr="00986F85" w:rsidRDefault="005D761A" w:rsidP="005D761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28855</w:t>
            </w:r>
          </w:p>
        </w:tc>
        <w:tc>
          <w:tcPr>
            <w:tcW w:w="850" w:type="dxa"/>
            <w:tcBorders>
              <w:top w:val="nil"/>
              <w:left w:val="nil"/>
              <w:bottom w:val="nil"/>
              <w:right w:val="nil"/>
            </w:tcBorders>
            <w:shd w:val="clear" w:color="auto" w:fill="auto"/>
            <w:noWrap/>
            <w:vAlign w:val="bottom"/>
            <w:hideMark/>
          </w:tcPr>
          <w:p w14:paraId="04B73110" w14:textId="77777777" w:rsidR="005D761A" w:rsidRPr="00986F85" w:rsidRDefault="005D761A" w:rsidP="005D761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53523</w:t>
            </w:r>
          </w:p>
        </w:tc>
        <w:tc>
          <w:tcPr>
            <w:tcW w:w="851" w:type="dxa"/>
            <w:tcBorders>
              <w:top w:val="nil"/>
              <w:left w:val="nil"/>
              <w:bottom w:val="nil"/>
              <w:right w:val="nil"/>
            </w:tcBorders>
            <w:shd w:val="clear" w:color="auto" w:fill="auto"/>
            <w:noWrap/>
            <w:vAlign w:val="bottom"/>
            <w:hideMark/>
          </w:tcPr>
          <w:p w14:paraId="02E1D4AF" w14:textId="77777777" w:rsidR="005D761A" w:rsidRPr="00986F85" w:rsidRDefault="005D761A" w:rsidP="005D761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5902</w:t>
            </w:r>
          </w:p>
        </w:tc>
        <w:tc>
          <w:tcPr>
            <w:tcW w:w="1275" w:type="dxa"/>
            <w:tcBorders>
              <w:top w:val="nil"/>
              <w:left w:val="nil"/>
              <w:bottom w:val="nil"/>
              <w:right w:val="nil"/>
            </w:tcBorders>
            <w:shd w:val="clear" w:color="auto" w:fill="auto"/>
            <w:noWrap/>
            <w:vAlign w:val="bottom"/>
            <w:hideMark/>
          </w:tcPr>
          <w:p w14:paraId="2CA8F4F3" w14:textId="77777777" w:rsidR="005D761A" w:rsidRPr="00986F85" w:rsidRDefault="005D761A" w:rsidP="005D761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26968</w:t>
            </w:r>
          </w:p>
        </w:tc>
      </w:tr>
      <w:tr w:rsidR="00E26F51" w:rsidRPr="00986F85" w14:paraId="155D6B8D" w14:textId="77777777" w:rsidTr="00E26F51">
        <w:trPr>
          <w:trHeight w:val="280"/>
        </w:trPr>
        <w:tc>
          <w:tcPr>
            <w:tcW w:w="1716" w:type="dxa"/>
            <w:tcBorders>
              <w:top w:val="nil"/>
              <w:left w:val="nil"/>
              <w:bottom w:val="nil"/>
              <w:right w:val="nil"/>
            </w:tcBorders>
            <w:shd w:val="clear" w:color="auto" w:fill="auto"/>
            <w:noWrap/>
            <w:vAlign w:val="bottom"/>
            <w:hideMark/>
          </w:tcPr>
          <w:p w14:paraId="20710267" w14:textId="77777777" w:rsidR="005D761A" w:rsidRPr="00986F85" w:rsidRDefault="005D761A" w:rsidP="005D761A">
            <w:pPr>
              <w:suppressAutoHyphens w:val="0"/>
              <w:spacing w:after="0" w:line="240" w:lineRule="auto"/>
              <w:rPr>
                <w:rFonts w:eastAsia="Times New Roman" w:cs="Times New Roman"/>
                <w:b/>
                <w:color w:val="000000"/>
                <w:sz w:val="22"/>
                <w:lang w:val="en-US" w:eastAsia="en-US"/>
              </w:rPr>
            </w:pPr>
            <w:r w:rsidRPr="00986F85">
              <w:rPr>
                <w:rFonts w:eastAsia="Times New Roman" w:cs="Times New Roman"/>
                <w:b/>
                <w:color w:val="000000"/>
                <w:sz w:val="22"/>
                <w:lang w:val="en-US" w:eastAsia="en-US"/>
              </w:rPr>
              <w:t>KMOP</w:t>
            </w:r>
          </w:p>
        </w:tc>
        <w:tc>
          <w:tcPr>
            <w:tcW w:w="709" w:type="dxa"/>
            <w:tcBorders>
              <w:top w:val="nil"/>
              <w:left w:val="nil"/>
              <w:bottom w:val="nil"/>
              <w:right w:val="nil"/>
            </w:tcBorders>
            <w:shd w:val="clear" w:color="auto" w:fill="auto"/>
            <w:noWrap/>
            <w:vAlign w:val="bottom"/>
            <w:hideMark/>
          </w:tcPr>
          <w:p w14:paraId="2A75DBB2" w14:textId="77777777" w:rsidR="005D761A" w:rsidRPr="00986F85" w:rsidRDefault="005D761A" w:rsidP="005D761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675</w:t>
            </w:r>
          </w:p>
        </w:tc>
        <w:tc>
          <w:tcPr>
            <w:tcW w:w="851" w:type="dxa"/>
            <w:tcBorders>
              <w:top w:val="nil"/>
              <w:left w:val="nil"/>
              <w:bottom w:val="nil"/>
              <w:right w:val="nil"/>
            </w:tcBorders>
            <w:shd w:val="clear" w:color="auto" w:fill="auto"/>
            <w:noWrap/>
            <w:vAlign w:val="bottom"/>
            <w:hideMark/>
          </w:tcPr>
          <w:p w14:paraId="067A10F0" w14:textId="77777777" w:rsidR="005D761A" w:rsidRPr="00986F85" w:rsidRDefault="005D761A" w:rsidP="005D761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1885</w:t>
            </w:r>
          </w:p>
        </w:tc>
        <w:tc>
          <w:tcPr>
            <w:tcW w:w="708" w:type="dxa"/>
            <w:tcBorders>
              <w:top w:val="nil"/>
              <w:left w:val="nil"/>
              <w:bottom w:val="nil"/>
              <w:right w:val="nil"/>
            </w:tcBorders>
            <w:shd w:val="clear" w:color="auto" w:fill="auto"/>
            <w:noWrap/>
            <w:vAlign w:val="bottom"/>
            <w:hideMark/>
          </w:tcPr>
          <w:p w14:paraId="13E86F6D" w14:textId="77777777" w:rsidR="005D761A" w:rsidRPr="00986F85" w:rsidRDefault="005D761A" w:rsidP="005D761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846</w:t>
            </w:r>
          </w:p>
        </w:tc>
        <w:tc>
          <w:tcPr>
            <w:tcW w:w="1276" w:type="dxa"/>
            <w:tcBorders>
              <w:top w:val="nil"/>
              <w:left w:val="nil"/>
              <w:bottom w:val="nil"/>
              <w:right w:val="nil"/>
            </w:tcBorders>
            <w:shd w:val="clear" w:color="auto" w:fill="auto"/>
            <w:noWrap/>
            <w:vAlign w:val="bottom"/>
            <w:hideMark/>
          </w:tcPr>
          <w:p w14:paraId="570770D4" w14:textId="77777777" w:rsidR="005D761A" w:rsidRPr="00986F85" w:rsidRDefault="005D761A" w:rsidP="005D761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2403</w:t>
            </w:r>
          </w:p>
        </w:tc>
        <w:tc>
          <w:tcPr>
            <w:tcW w:w="851" w:type="dxa"/>
            <w:tcBorders>
              <w:top w:val="nil"/>
              <w:left w:val="nil"/>
              <w:bottom w:val="nil"/>
              <w:right w:val="nil"/>
            </w:tcBorders>
            <w:shd w:val="clear" w:color="auto" w:fill="auto"/>
            <w:noWrap/>
            <w:vAlign w:val="bottom"/>
            <w:hideMark/>
          </w:tcPr>
          <w:p w14:paraId="538052C0" w14:textId="77777777" w:rsidR="005D761A" w:rsidRPr="00986F85" w:rsidRDefault="005D761A" w:rsidP="005D761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10902</w:t>
            </w:r>
          </w:p>
        </w:tc>
        <w:tc>
          <w:tcPr>
            <w:tcW w:w="850" w:type="dxa"/>
            <w:tcBorders>
              <w:top w:val="nil"/>
              <w:left w:val="nil"/>
              <w:bottom w:val="nil"/>
              <w:right w:val="nil"/>
            </w:tcBorders>
            <w:shd w:val="clear" w:color="auto" w:fill="auto"/>
            <w:noWrap/>
            <w:vAlign w:val="bottom"/>
            <w:hideMark/>
          </w:tcPr>
          <w:p w14:paraId="7CF37281" w14:textId="77777777" w:rsidR="005D761A" w:rsidRPr="00986F85" w:rsidRDefault="005D761A" w:rsidP="005D761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29701</w:t>
            </w:r>
          </w:p>
        </w:tc>
        <w:tc>
          <w:tcPr>
            <w:tcW w:w="851" w:type="dxa"/>
            <w:tcBorders>
              <w:top w:val="nil"/>
              <w:left w:val="nil"/>
              <w:bottom w:val="nil"/>
              <w:right w:val="nil"/>
            </w:tcBorders>
            <w:shd w:val="clear" w:color="auto" w:fill="auto"/>
            <w:noWrap/>
            <w:vAlign w:val="bottom"/>
            <w:hideMark/>
          </w:tcPr>
          <w:p w14:paraId="227CA824" w14:textId="77777777" w:rsidR="005D761A" w:rsidRPr="00986F85" w:rsidRDefault="005D761A" w:rsidP="005D761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2616</w:t>
            </w:r>
          </w:p>
        </w:tc>
        <w:tc>
          <w:tcPr>
            <w:tcW w:w="1275" w:type="dxa"/>
            <w:tcBorders>
              <w:top w:val="nil"/>
              <w:left w:val="nil"/>
              <w:bottom w:val="nil"/>
              <w:right w:val="nil"/>
            </w:tcBorders>
            <w:shd w:val="clear" w:color="auto" w:fill="auto"/>
            <w:noWrap/>
            <w:vAlign w:val="bottom"/>
            <w:hideMark/>
          </w:tcPr>
          <w:p w14:paraId="234B2880" w14:textId="77777777" w:rsidR="005D761A" w:rsidRPr="00986F85" w:rsidRDefault="005D761A" w:rsidP="005D761A">
            <w:pPr>
              <w:suppressAutoHyphens w:val="0"/>
              <w:spacing w:after="0" w:line="240" w:lineRule="auto"/>
              <w:jc w:val="right"/>
              <w:rPr>
                <w:rFonts w:eastAsia="Times New Roman" w:cs="Times New Roman"/>
                <w:color w:val="000000"/>
                <w:sz w:val="22"/>
                <w:lang w:val="en-US" w:eastAsia="en-US"/>
              </w:rPr>
            </w:pPr>
            <w:r w:rsidRPr="00986F85">
              <w:rPr>
                <w:rFonts w:eastAsia="Times New Roman" w:cs="Times New Roman"/>
                <w:color w:val="000000"/>
                <w:sz w:val="22"/>
                <w:lang w:val="en-US" w:eastAsia="en-US"/>
              </w:rPr>
              <w:t>13742</w:t>
            </w:r>
          </w:p>
        </w:tc>
      </w:tr>
    </w:tbl>
    <w:p w14:paraId="3BF3CAC7" w14:textId="77777777" w:rsidR="005D761A" w:rsidRPr="00986F85" w:rsidRDefault="005D761A" w:rsidP="00B04415">
      <w:pPr>
        <w:spacing w:after="0" w:line="360" w:lineRule="auto"/>
        <w:jc w:val="both"/>
        <w:outlineLvl w:val="0"/>
        <w:rPr>
          <w:rFonts w:cs="Times New Roman"/>
          <w:b/>
          <w:bCs/>
          <w:szCs w:val="24"/>
        </w:rPr>
      </w:pPr>
    </w:p>
    <w:p w14:paraId="12B703DF" w14:textId="77777777" w:rsidR="00634ABA" w:rsidRPr="00986F85" w:rsidRDefault="00634ABA" w:rsidP="00294E6D">
      <w:pPr>
        <w:spacing w:after="0" w:line="360" w:lineRule="auto"/>
        <w:jc w:val="both"/>
        <w:outlineLvl w:val="0"/>
        <w:rPr>
          <w:rFonts w:cs="Times New Roman"/>
          <w:b/>
          <w:bCs/>
          <w:szCs w:val="24"/>
        </w:rPr>
        <w:sectPr w:rsidR="00634ABA" w:rsidRPr="00986F85" w:rsidSect="00E26F51">
          <w:headerReference w:type="even" r:id="rId35"/>
          <w:headerReference w:type="default" r:id="rId36"/>
          <w:footerReference w:type="even" r:id="rId37"/>
          <w:footerReference w:type="default" r:id="rId38"/>
          <w:headerReference w:type="first" r:id="rId39"/>
          <w:footerReference w:type="first" r:id="rId40"/>
          <w:pgSz w:w="11906" w:h="16838"/>
          <w:pgMar w:top="1418" w:right="1418" w:bottom="1418" w:left="1418" w:header="709" w:footer="709" w:gutter="0"/>
          <w:cols w:space="708"/>
          <w:docGrid w:linePitch="360"/>
        </w:sectPr>
      </w:pPr>
    </w:p>
    <w:p w14:paraId="121C31BF" w14:textId="77777777" w:rsidR="00294E6D" w:rsidRPr="00986F85" w:rsidRDefault="00634ABA" w:rsidP="00294E6D">
      <w:pPr>
        <w:spacing w:after="0" w:line="360" w:lineRule="auto"/>
        <w:jc w:val="both"/>
        <w:outlineLvl w:val="0"/>
        <w:rPr>
          <w:rFonts w:eastAsia="Times New Roman" w:cs="Times New Roman"/>
          <w:b/>
          <w:bCs/>
          <w:lang w:eastAsia="hu-HU"/>
        </w:rPr>
      </w:pPr>
      <w:r w:rsidRPr="00986F85">
        <w:rPr>
          <w:rFonts w:cs="Times New Roman"/>
          <w:b/>
          <w:bCs/>
          <w:szCs w:val="24"/>
        </w:rPr>
        <w:lastRenderedPageBreak/>
        <w:t>2</w:t>
      </w:r>
      <w:r w:rsidR="00294E6D" w:rsidRPr="00986F85">
        <w:rPr>
          <w:rFonts w:cs="Times New Roman"/>
          <w:b/>
          <w:bCs/>
          <w:szCs w:val="24"/>
        </w:rPr>
        <w:t xml:space="preserve">. táblázat: </w:t>
      </w:r>
      <w:r w:rsidRPr="00986F85">
        <w:rPr>
          <w:rFonts w:eastAsia="Times New Roman"/>
          <w:b/>
          <w:bCs/>
          <w:lang w:eastAsia="hu-HU"/>
        </w:rPr>
        <w:t>Főbb indikátorok változásának mediánja iparági bontásban (2009/2008)</w:t>
      </w:r>
    </w:p>
    <w:tbl>
      <w:tblPr>
        <w:tblW w:w="16951" w:type="dxa"/>
        <w:tblInd w:w="-781" w:type="dxa"/>
        <w:tblCellMar>
          <w:left w:w="70" w:type="dxa"/>
          <w:right w:w="70" w:type="dxa"/>
        </w:tblCellMar>
        <w:tblLook w:val="04A0" w:firstRow="1" w:lastRow="0" w:firstColumn="1" w:lastColumn="0" w:noHBand="0" w:noVBand="1"/>
      </w:tblPr>
      <w:tblGrid>
        <w:gridCol w:w="444"/>
        <w:gridCol w:w="1893"/>
        <w:gridCol w:w="683"/>
        <w:gridCol w:w="806"/>
        <w:gridCol w:w="710"/>
        <w:gridCol w:w="717"/>
        <w:gridCol w:w="806"/>
        <w:gridCol w:w="683"/>
        <w:gridCol w:w="683"/>
        <w:gridCol w:w="806"/>
        <w:gridCol w:w="683"/>
        <w:gridCol w:w="756"/>
        <w:gridCol w:w="690"/>
        <w:gridCol w:w="683"/>
        <w:gridCol w:w="806"/>
        <w:gridCol w:w="806"/>
        <w:gridCol w:w="683"/>
        <w:gridCol w:w="806"/>
        <w:gridCol w:w="683"/>
        <w:gridCol w:w="756"/>
        <w:gridCol w:w="683"/>
        <w:gridCol w:w="695"/>
      </w:tblGrid>
      <w:tr w:rsidR="00634ABA" w:rsidRPr="00986F85" w14:paraId="30FA267D" w14:textId="77777777" w:rsidTr="00634ABA">
        <w:trPr>
          <w:trHeight w:val="305"/>
        </w:trPr>
        <w:tc>
          <w:tcPr>
            <w:tcW w:w="16951" w:type="dxa"/>
            <w:gridSpan w:val="22"/>
            <w:tcBorders>
              <w:top w:val="nil"/>
              <w:left w:val="nil"/>
              <w:right w:val="nil"/>
            </w:tcBorders>
            <w:shd w:val="clear" w:color="000000" w:fill="B10000"/>
            <w:noWrap/>
            <w:vAlign w:val="bottom"/>
            <w:hideMark/>
          </w:tcPr>
          <w:p w14:paraId="5EAD148C" w14:textId="77777777" w:rsidR="00634ABA" w:rsidRPr="00986F85" w:rsidRDefault="00634ABA" w:rsidP="00476987">
            <w:pPr>
              <w:spacing w:after="0" w:line="240" w:lineRule="auto"/>
              <w:jc w:val="center"/>
              <w:rPr>
                <w:rFonts w:eastAsia="Times New Roman"/>
                <w:b/>
                <w:bCs/>
                <w:color w:val="FFFFFF"/>
                <w:lang w:eastAsia="hu-HU"/>
              </w:rPr>
            </w:pPr>
          </w:p>
        </w:tc>
      </w:tr>
      <w:tr w:rsidR="00634ABA" w:rsidRPr="00986F85" w14:paraId="6AB6DC4C" w14:textId="77777777" w:rsidTr="00634ABA">
        <w:trPr>
          <w:trHeight w:val="2820"/>
        </w:trPr>
        <w:tc>
          <w:tcPr>
            <w:tcW w:w="434" w:type="dxa"/>
            <w:tcBorders>
              <w:top w:val="nil"/>
              <w:left w:val="nil"/>
              <w:bottom w:val="nil"/>
              <w:right w:val="nil"/>
            </w:tcBorders>
            <w:shd w:val="clear" w:color="auto" w:fill="B10000"/>
            <w:noWrap/>
            <w:vAlign w:val="bottom"/>
            <w:hideMark/>
          </w:tcPr>
          <w:p w14:paraId="07A344E8" w14:textId="77777777" w:rsidR="00634ABA" w:rsidRPr="00986F85" w:rsidRDefault="00634ABA" w:rsidP="00476987">
            <w:pPr>
              <w:spacing w:after="0" w:line="240" w:lineRule="auto"/>
              <w:rPr>
                <w:rFonts w:eastAsia="Times New Roman"/>
                <w:color w:val="FFFFFF" w:themeColor="background1"/>
                <w:lang w:eastAsia="hu-HU"/>
              </w:rPr>
            </w:pPr>
          </w:p>
        </w:tc>
        <w:tc>
          <w:tcPr>
            <w:tcW w:w="1893" w:type="dxa"/>
            <w:tcBorders>
              <w:top w:val="nil"/>
              <w:left w:val="nil"/>
              <w:bottom w:val="nil"/>
              <w:right w:val="nil"/>
            </w:tcBorders>
            <w:shd w:val="clear" w:color="auto" w:fill="B10000"/>
            <w:noWrap/>
            <w:vAlign w:val="bottom"/>
            <w:hideMark/>
          </w:tcPr>
          <w:p w14:paraId="1D97344D" w14:textId="77777777" w:rsidR="00634ABA" w:rsidRPr="00986F85" w:rsidRDefault="00634ABA" w:rsidP="00476987">
            <w:pPr>
              <w:spacing w:after="0" w:line="240" w:lineRule="auto"/>
              <w:rPr>
                <w:rFonts w:eastAsia="Times New Roman"/>
                <w:color w:val="FFFFFF" w:themeColor="background1"/>
                <w:lang w:eastAsia="hu-HU"/>
              </w:rPr>
            </w:pPr>
          </w:p>
        </w:tc>
        <w:tc>
          <w:tcPr>
            <w:tcW w:w="683" w:type="dxa"/>
            <w:tcBorders>
              <w:top w:val="nil"/>
              <w:left w:val="nil"/>
              <w:bottom w:val="nil"/>
              <w:right w:val="nil"/>
            </w:tcBorders>
            <w:shd w:val="clear" w:color="auto" w:fill="B10000"/>
            <w:noWrap/>
            <w:textDirection w:val="btLr"/>
            <w:vAlign w:val="bottom"/>
            <w:hideMark/>
          </w:tcPr>
          <w:p w14:paraId="4CBE3468"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Adminisztratív és szolgáltatás</w:t>
            </w:r>
          </w:p>
        </w:tc>
        <w:tc>
          <w:tcPr>
            <w:tcW w:w="806" w:type="dxa"/>
            <w:tcBorders>
              <w:top w:val="nil"/>
              <w:left w:val="nil"/>
              <w:bottom w:val="nil"/>
              <w:right w:val="nil"/>
            </w:tcBorders>
            <w:shd w:val="clear" w:color="auto" w:fill="B10000"/>
            <w:noWrap/>
            <w:textDirection w:val="btLr"/>
            <w:vAlign w:val="bottom"/>
            <w:hideMark/>
          </w:tcPr>
          <w:p w14:paraId="37ED49BB"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Bányászat, kőfejtés</w:t>
            </w:r>
          </w:p>
        </w:tc>
        <w:tc>
          <w:tcPr>
            <w:tcW w:w="710" w:type="dxa"/>
            <w:tcBorders>
              <w:top w:val="nil"/>
              <w:left w:val="nil"/>
              <w:bottom w:val="nil"/>
              <w:right w:val="nil"/>
            </w:tcBorders>
            <w:shd w:val="clear" w:color="auto" w:fill="B10000"/>
            <w:noWrap/>
            <w:textDirection w:val="btLr"/>
            <w:vAlign w:val="bottom"/>
            <w:hideMark/>
          </w:tcPr>
          <w:p w14:paraId="25325D82"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Egyéb szolgáltatás</w:t>
            </w:r>
          </w:p>
        </w:tc>
        <w:tc>
          <w:tcPr>
            <w:tcW w:w="717" w:type="dxa"/>
            <w:tcBorders>
              <w:top w:val="nil"/>
              <w:left w:val="nil"/>
              <w:bottom w:val="nil"/>
              <w:right w:val="nil"/>
            </w:tcBorders>
            <w:shd w:val="clear" w:color="auto" w:fill="B10000"/>
            <w:noWrap/>
            <w:textDirection w:val="btLr"/>
            <w:vAlign w:val="bottom"/>
            <w:hideMark/>
          </w:tcPr>
          <w:p w14:paraId="1839FE26"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Epítőipar</w:t>
            </w:r>
          </w:p>
        </w:tc>
        <w:tc>
          <w:tcPr>
            <w:tcW w:w="806" w:type="dxa"/>
            <w:tcBorders>
              <w:top w:val="nil"/>
              <w:left w:val="nil"/>
              <w:bottom w:val="nil"/>
              <w:right w:val="nil"/>
            </w:tcBorders>
            <w:shd w:val="clear" w:color="auto" w:fill="B10000"/>
            <w:noWrap/>
            <w:textDirection w:val="btLr"/>
            <w:vAlign w:val="bottom"/>
            <w:hideMark/>
          </w:tcPr>
          <w:p w14:paraId="03D7BAF2"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Feldolgozóipar</w:t>
            </w:r>
          </w:p>
        </w:tc>
        <w:tc>
          <w:tcPr>
            <w:tcW w:w="683" w:type="dxa"/>
            <w:tcBorders>
              <w:top w:val="nil"/>
              <w:left w:val="nil"/>
              <w:bottom w:val="nil"/>
              <w:right w:val="nil"/>
            </w:tcBorders>
            <w:shd w:val="clear" w:color="auto" w:fill="B10000"/>
            <w:noWrap/>
            <w:textDirection w:val="btLr"/>
            <w:vAlign w:val="bottom"/>
            <w:hideMark/>
          </w:tcPr>
          <w:p w14:paraId="062B7FCE"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Humán-egészségügyi, szociális el.</w:t>
            </w:r>
          </w:p>
        </w:tc>
        <w:tc>
          <w:tcPr>
            <w:tcW w:w="683" w:type="dxa"/>
            <w:tcBorders>
              <w:top w:val="nil"/>
              <w:left w:val="nil"/>
              <w:bottom w:val="nil"/>
              <w:right w:val="nil"/>
            </w:tcBorders>
            <w:shd w:val="clear" w:color="auto" w:fill="B10000"/>
            <w:noWrap/>
            <w:textDirection w:val="btLr"/>
            <w:vAlign w:val="bottom"/>
            <w:hideMark/>
          </w:tcPr>
          <w:p w14:paraId="4DD2A38E"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Információ, kommunikáció</w:t>
            </w:r>
          </w:p>
        </w:tc>
        <w:tc>
          <w:tcPr>
            <w:tcW w:w="806" w:type="dxa"/>
            <w:tcBorders>
              <w:top w:val="nil"/>
              <w:left w:val="nil"/>
              <w:bottom w:val="nil"/>
              <w:right w:val="nil"/>
            </w:tcBorders>
            <w:shd w:val="clear" w:color="auto" w:fill="B10000"/>
            <w:noWrap/>
            <w:textDirection w:val="btLr"/>
            <w:vAlign w:val="bottom"/>
            <w:hideMark/>
          </w:tcPr>
          <w:p w14:paraId="24D94E63"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Ingatlanügyek</w:t>
            </w:r>
          </w:p>
        </w:tc>
        <w:tc>
          <w:tcPr>
            <w:tcW w:w="683" w:type="dxa"/>
            <w:tcBorders>
              <w:top w:val="nil"/>
              <w:left w:val="nil"/>
              <w:bottom w:val="nil"/>
              <w:right w:val="nil"/>
            </w:tcBorders>
            <w:shd w:val="clear" w:color="auto" w:fill="B10000"/>
            <w:noWrap/>
            <w:textDirection w:val="btLr"/>
            <w:vAlign w:val="bottom"/>
            <w:hideMark/>
          </w:tcPr>
          <w:p w14:paraId="3FA0F099"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Kereskedelem, gépjárműjavítás</w:t>
            </w:r>
          </w:p>
        </w:tc>
        <w:tc>
          <w:tcPr>
            <w:tcW w:w="756" w:type="dxa"/>
            <w:tcBorders>
              <w:top w:val="nil"/>
              <w:left w:val="nil"/>
              <w:bottom w:val="nil"/>
              <w:right w:val="nil"/>
            </w:tcBorders>
            <w:shd w:val="clear" w:color="auto" w:fill="B10000"/>
            <w:noWrap/>
            <w:textDirection w:val="btLr"/>
            <w:vAlign w:val="bottom"/>
            <w:hideMark/>
          </w:tcPr>
          <w:p w14:paraId="1C3B061C"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Közigazgatás, védelem</w:t>
            </w:r>
          </w:p>
        </w:tc>
        <w:tc>
          <w:tcPr>
            <w:tcW w:w="690" w:type="dxa"/>
            <w:tcBorders>
              <w:top w:val="nil"/>
              <w:left w:val="nil"/>
              <w:bottom w:val="nil"/>
              <w:right w:val="nil"/>
            </w:tcBorders>
            <w:shd w:val="clear" w:color="auto" w:fill="B10000"/>
            <w:noWrap/>
            <w:textDirection w:val="btLr"/>
            <w:vAlign w:val="bottom"/>
            <w:hideMark/>
          </w:tcPr>
          <w:p w14:paraId="1F662290"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Mezőgazdaság, erdőgazdaság, hal.</w:t>
            </w:r>
          </w:p>
        </w:tc>
        <w:tc>
          <w:tcPr>
            <w:tcW w:w="683" w:type="dxa"/>
            <w:tcBorders>
              <w:top w:val="nil"/>
              <w:left w:val="nil"/>
              <w:bottom w:val="nil"/>
              <w:right w:val="nil"/>
            </w:tcBorders>
            <w:shd w:val="clear" w:color="auto" w:fill="B10000"/>
            <w:noWrap/>
            <w:textDirection w:val="btLr"/>
            <w:vAlign w:val="bottom"/>
            <w:hideMark/>
          </w:tcPr>
          <w:p w14:paraId="2C489F3E"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Művészet, szórakoztatás</w:t>
            </w:r>
          </w:p>
        </w:tc>
        <w:tc>
          <w:tcPr>
            <w:tcW w:w="806" w:type="dxa"/>
            <w:tcBorders>
              <w:top w:val="nil"/>
              <w:left w:val="nil"/>
              <w:bottom w:val="nil"/>
              <w:right w:val="nil"/>
            </w:tcBorders>
            <w:shd w:val="clear" w:color="auto" w:fill="B10000"/>
            <w:noWrap/>
            <w:textDirection w:val="btLr"/>
            <w:vAlign w:val="bottom"/>
            <w:hideMark/>
          </w:tcPr>
          <w:p w14:paraId="7911D873"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Oktatás</w:t>
            </w:r>
          </w:p>
        </w:tc>
        <w:tc>
          <w:tcPr>
            <w:tcW w:w="806" w:type="dxa"/>
            <w:tcBorders>
              <w:top w:val="nil"/>
              <w:left w:val="nil"/>
              <w:bottom w:val="nil"/>
              <w:right w:val="nil"/>
            </w:tcBorders>
            <w:shd w:val="clear" w:color="auto" w:fill="B10000"/>
            <w:noWrap/>
            <w:textDirection w:val="btLr"/>
            <w:vAlign w:val="bottom"/>
            <w:hideMark/>
          </w:tcPr>
          <w:p w14:paraId="3CA9A632"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Pénzügyi, biztosítási tev.</w:t>
            </w:r>
          </w:p>
        </w:tc>
        <w:tc>
          <w:tcPr>
            <w:tcW w:w="683" w:type="dxa"/>
            <w:tcBorders>
              <w:top w:val="nil"/>
              <w:left w:val="nil"/>
              <w:bottom w:val="nil"/>
              <w:right w:val="nil"/>
            </w:tcBorders>
            <w:shd w:val="clear" w:color="auto" w:fill="B10000"/>
            <w:noWrap/>
            <w:textDirection w:val="btLr"/>
            <w:vAlign w:val="bottom"/>
            <w:hideMark/>
          </w:tcPr>
          <w:p w14:paraId="53598DBA"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Szakmai, tudományos, műszaki tev.</w:t>
            </w:r>
          </w:p>
        </w:tc>
        <w:tc>
          <w:tcPr>
            <w:tcW w:w="806" w:type="dxa"/>
            <w:tcBorders>
              <w:top w:val="nil"/>
              <w:left w:val="nil"/>
              <w:bottom w:val="nil"/>
              <w:right w:val="nil"/>
            </w:tcBorders>
            <w:shd w:val="clear" w:color="auto" w:fill="B10000"/>
            <w:noWrap/>
            <w:textDirection w:val="btLr"/>
            <w:vAlign w:val="bottom"/>
            <w:hideMark/>
          </w:tcPr>
          <w:p w14:paraId="2D9EEFF0"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Szálláshely-szolgáltatás, vendégl.</w:t>
            </w:r>
          </w:p>
        </w:tc>
        <w:tc>
          <w:tcPr>
            <w:tcW w:w="683" w:type="dxa"/>
            <w:tcBorders>
              <w:top w:val="nil"/>
              <w:left w:val="nil"/>
              <w:bottom w:val="nil"/>
              <w:right w:val="nil"/>
            </w:tcBorders>
            <w:shd w:val="clear" w:color="auto" w:fill="B10000"/>
            <w:noWrap/>
            <w:textDirection w:val="btLr"/>
            <w:vAlign w:val="bottom"/>
            <w:hideMark/>
          </w:tcPr>
          <w:p w14:paraId="45679C16"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Szállítás, raktározás</w:t>
            </w:r>
          </w:p>
        </w:tc>
        <w:tc>
          <w:tcPr>
            <w:tcW w:w="756" w:type="dxa"/>
            <w:tcBorders>
              <w:top w:val="nil"/>
              <w:left w:val="nil"/>
              <w:bottom w:val="nil"/>
              <w:right w:val="nil"/>
            </w:tcBorders>
            <w:shd w:val="clear" w:color="auto" w:fill="B10000"/>
            <w:noWrap/>
            <w:textDirection w:val="btLr"/>
            <w:vAlign w:val="bottom"/>
            <w:hideMark/>
          </w:tcPr>
          <w:p w14:paraId="32DBBFED"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Villamosenergia-, gáz-,gőzellátás</w:t>
            </w:r>
          </w:p>
        </w:tc>
        <w:tc>
          <w:tcPr>
            <w:tcW w:w="683" w:type="dxa"/>
            <w:tcBorders>
              <w:top w:val="nil"/>
              <w:left w:val="nil"/>
              <w:bottom w:val="nil"/>
              <w:right w:val="nil"/>
            </w:tcBorders>
            <w:shd w:val="clear" w:color="auto" w:fill="B10000"/>
            <w:noWrap/>
            <w:textDirection w:val="btLr"/>
            <w:vAlign w:val="bottom"/>
            <w:hideMark/>
          </w:tcPr>
          <w:p w14:paraId="335EA8F6"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Vízellátás; szennyvízgyűjtése</w:t>
            </w:r>
          </w:p>
        </w:tc>
        <w:tc>
          <w:tcPr>
            <w:tcW w:w="695" w:type="dxa"/>
            <w:tcBorders>
              <w:top w:val="nil"/>
              <w:left w:val="nil"/>
              <w:bottom w:val="nil"/>
              <w:right w:val="nil"/>
            </w:tcBorders>
            <w:shd w:val="clear" w:color="auto" w:fill="B10000"/>
            <w:noWrap/>
            <w:textDirection w:val="btLr"/>
            <w:vAlign w:val="bottom"/>
            <w:hideMark/>
          </w:tcPr>
          <w:p w14:paraId="5184B23E"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Országos átlag</w:t>
            </w:r>
          </w:p>
        </w:tc>
      </w:tr>
      <w:tr w:rsidR="00634ABA" w:rsidRPr="00986F85" w14:paraId="71918775" w14:textId="77777777" w:rsidTr="00634ABA">
        <w:trPr>
          <w:trHeight w:val="289"/>
        </w:trPr>
        <w:tc>
          <w:tcPr>
            <w:tcW w:w="434" w:type="dxa"/>
            <w:vMerge w:val="restart"/>
            <w:tcBorders>
              <w:top w:val="nil"/>
              <w:left w:val="nil"/>
              <w:bottom w:val="nil"/>
              <w:right w:val="nil"/>
            </w:tcBorders>
            <w:shd w:val="clear" w:color="auto" w:fill="auto"/>
            <w:noWrap/>
            <w:textDirection w:val="btLr"/>
            <w:vAlign w:val="bottom"/>
            <w:hideMark/>
          </w:tcPr>
          <w:p w14:paraId="042E3F68" w14:textId="77777777" w:rsidR="00634ABA" w:rsidRPr="00986F85" w:rsidRDefault="00634ABA" w:rsidP="00476987">
            <w:pPr>
              <w:spacing w:after="0" w:line="240" w:lineRule="auto"/>
              <w:jc w:val="center"/>
              <w:rPr>
                <w:rFonts w:eastAsia="Times New Roman"/>
                <w:b/>
                <w:color w:val="000000"/>
                <w:lang w:eastAsia="hu-HU"/>
              </w:rPr>
            </w:pPr>
            <w:r w:rsidRPr="00986F85">
              <w:rPr>
                <w:rFonts w:eastAsia="Times New Roman"/>
                <w:b/>
                <w:color w:val="000000"/>
                <w:lang w:eastAsia="hu-HU"/>
              </w:rPr>
              <w:t>Kontroll</w:t>
            </w:r>
          </w:p>
        </w:tc>
        <w:tc>
          <w:tcPr>
            <w:tcW w:w="1893" w:type="dxa"/>
            <w:tcBorders>
              <w:top w:val="nil"/>
              <w:left w:val="nil"/>
              <w:bottom w:val="nil"/>
              <w:right w:val="nil"/>
            </w:tcBorders>
            <w:shd w:val="clear" w:color="auto" w:fill="auto"/>
            <w:noWrap/>
            <w:vAlign w:val="bottom"/>
            <w:hideMark/>
          </w:tcPr>
          <w:p w14:paraId="7D432C8E"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Foglalkoztatottak száma (%)</w:t>
            </w:r>
          </w:p>
        </w:tc>
        <w:tc>
          <w:tcPr>
            <w:tcW w:w="683" w:type="dxa"/>
            <w:tcBorders>
              <w:top w:val="nil"/>
              <w:left w:val="nil"/>
              <w:bottom w:val="nil"/>
              <w:right w:val="nil"/>
            </w:tcBorders>
            <w:shd w:val="clear" w:color="auto" w:fill="auto"/>
            <w:noWrap/>
            <w:vAlign w:val="bottom"/>
            <w:hideMark/>
          </w:tcPr>
          <w:p w14:paraId="1511312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06" w:type="dxa"/>
            <w:tcBorders>
              <w:top w:val="nil"/>
              <w:left w:val="nil"/>
              <w:bottom w:val="nil"/>
              <w:right w:val="nil"/>
            </w:tcBorders>
            <w:shd w:val="clear" w:color="auto" w:fill="auto"/>
            <w:noWrap/>
            <w:vAlign w:val="bottom"/>
            <w:hideMark/>
          </w:tcPr>
          <w:p w14:paraId="4F96AE6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-1.8</w:t>
            </w:r>
          </w:p>
        </w:tc>
        <w:tc>
          <w:tcPr>
            <w:tcW w:w="710" w:type="dxa"/>
            <w:tcBorders>
              <w:top w:val="nil"/>
              <w:left w:val="nil"/>
              <w:bottom w:val="nil"/>
              <w:right w:val="nil"/>
            </w:tcBorders>
            <w:shd w:val="clear" w:color="auto" w:fill="auto"/>
            <w:noWrap/>
            <w:vAlign w:val="bottom"/>
            <w:hideMark/>
          </w:tcPr>
          <w:p w14:paraId="62ADA97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717" w:type="dxa"/>
            <w:tcBorders>
              <w:top w:val="nil"/>
              <w:left w:val="nil"/>
              <w:bottom w:val="nil"/>
              <w:right w:val="nil"/>
            </w:tcBorders>
            <w:shd w:val="clear" w:color="auto" w:fill="auto"/>
            <w:noWrap/>
            <w:vAlign w:val="bottom"/>
            <w:hideMark/>
          </w:tcPr>
          <w:p w14:paraId="3B4A2FD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-2.6</w:t>
            </w:r>
          </w:p>
        </w:tc>
        <w:tc>
          <w:tcPr>
            <w:tcW w:w="806" w:type="dxa"/>
            <w:tcBorders>
              <w:top w:val="nil"/>
              <w:left w:val="nil"/>
              <w:bottom w:val="nil"/>
              <w:right w:val="nil"/>
            </w:tcBorders>
            <w:shd w:val="clear" w:color="auto" w:fill="auto"/>
            <w:noWrap/>
            <w:vAlign w:val="bottom"/>
            <w:hideMark/>
          </w:tcPr>
          <w:p w14:paraId="281A122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-6.3</w:t>
            </w:r>
          </w:p>
        </w:tc>
        <w:tc>
          <w:tcPr>
            <w:tcW w:w="683" w:type="dxa"/>
            <w:tcBorders>
              <w:top w:val="nil"/>
              <w:left w:val="nil"/>
              <w:bottom w:val="nil"/>
              <w:right w:val="nil"/>
            </w:tcBorders>
            <w:shd w:val="clear" w:color="auto" w:fill="auto"/>
            <w:noWrap/>
            <w:vAlign w:val="bottom"/>
            <w:hideMark/>
          </w:tcPr>
          <w:p w14:paraId="0B36AA0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83" w:type="dxa"/>
            <w:tcBorders>
              <w:top w:val="nil"/>
              <w:left w:val="nil"/>
              <w:bottom w:val="nil"/>
              <w:right w:val="nil"/>
            </w:tcBorders>
            <w:shd w:val="clear" w:color="auto" w:fill="auto"/>
            <w:noWrap/>
            <w:vAlign w:val="bottom"/>
            <w:hideMark/>
          </w:tcPr>
          <w:p w14:paraId="4B26665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06" w:type="dxa"/>
            <w:tcBorders>
              <w:top w:val="nil"/>
              <w:left w:val="nil"/>
              <w:bottom w:val="nil"/>
              <w:right w:val="nil"/>
            </w:tcBorders>
            <w:shd w:val="clear" w:color="auto" w:fill="auto"/>
            <w:noWrap/>
            <w:vAlign w:val="bottom"/>
            <w:hideMark/>
          </w:tcPr>
          <w:p w14:paraId="1B30616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-6.3</w:t>
            </w:r>
          </w:p>
        </w:tc>
        <w:tc>
          <w:tcPr>
            <w:tcW w:w="683" w:type="dxa"/>
            <w:tcBorders>
              <w:top w:val="nil"/>
              <w:left w:val="nil"/>
              <w:bottom w:val="nil"/>
              <w:right w:val="nil"/>
            </w:tcBorders>
            <w:shd w:val="clear" w:color="auto" w:fill="auto"/>
            <w:noWrap/>
            <w:vAlign w:val="bottom"/>
            <w:hideMark/>
          </w:tcPr>
          <w:p w14:paraId="2A16ACA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756" w:type="dxa"/>
            <w:tcBorders>
              <w:top w:val="nil"/>
              <w:left w:val="nil"/>
              <w:bottom w:val="nil"/>
              <w:right w:val="nil"/>
            </w:tcBorders>
            <w:shd w:val="clear" w:color="auto" w:fill="auto"/>
            <w:noWrap/>
            <w:vAlign w:val="bottom"/>
            <w:hideMark/>
          </w:tcPr>
          <w:p w14:paraId="42EA478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-14.3</w:t>
            </w:r>
          </w:p>
        </w:tc>
        <w:tc>
          <w:tcPr>
            <w:tcW w:w="690" w:type="dxa"/>
            <w:tcBorders>
              <w:top w:val="nil"/>
              <w:left w:val="nil"/>
              <w:bottom w:val="nil"/>
              <w:right w:val="nil"/>
            </w:tcBorders>
            <w:shd w:val="clear" w:color="auto" w:fill="auto"/>
            <w:noWrap/>
            <w:vAlign w:val="bottom"/>
            <w:hideMark/>
          </w:tcPr>
          <w:p w14:paraId="30C6DD1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83" w:type="dxa"/>
            <w:tcBorders>
              <w:top w:val="nil"/>
              <w:left w:val="nil"/>
              <w:bottom w:val="nil"/>
              <w:right w:val="nil"/>
            </w:tcBorders>
            <w:shd w:val="clear" w:color="auto" w:fill="auto"/>
            <w:noWrap/>
            <w:vAlign w:val="bottom"/>
            <w:hideMark/>
          </w:tcPr>
          <w:p w14:paraId="581D578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06" w:type="dxa"/>
            <w:tcBorders>
              <w:top w:val="nil"/>
              <w:left w:val="nil"/>
              <w:bottom w:val="nil"/>
              <w:right w:val="nil"/>
            </w:tcBorders>
            <w:shd w:val="clear" w:color="auto" w:fill="auto"/>
            <w:noWrap/>
            <w:vAlign w:val="bottom"/>
            <w:hideMark/>
          </w:tcPr>
          <w:p w14:paraId="78B4E15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06" w:type="dxa"/>
            <w:tcBorders>
              <w:top w:val="nil"/>
              <w:left w:val="nil"/>
              <w:bottom w:val="nil"/>
              <w:right w:val="nil"/>
            </w:tcBorders>
            <w:shd w:val="clear" w:color="auto" w:fill="auto"/>
            <w:noWrap/>
            <w:vAlign w:val="bottom"/>
            <w:hideMark/>
          </w:tcPr>
          <w:p w14:paraId="4E36938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-1.1</w:t>
            </w:r>
          </w:p>
        </w:tc>
        <w:tc>
          <w:tcPr>
            <w:tcW w:w="683" w:type="dxa"/>
            <w:tcBorders>
              <w:top w:val="nil"/>
              <w:left w:val="nil"/>
              <w:bottom w:val="nil"/>
              <w:right w:val="nil"/>
            </w:tcBorders>
            <w:shd w:val="clear" w:color="auto" w:fill="auto"/>
            <w:noWrap/>
            <w:vAlign w:val="bottom"/>
            <w:hideMark/>
          </w:tcPr>
          <w:p w14:paraId="1EC5E3A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06" w:type="dxa"/>
            <w:tcBorders>
              <w:top w:val="nil"/>
              <w:left w:val="nil"/>
              <w:bottom w:val="nil"/>
              <w:right w:val="nil"/>
            </w:tcBorders>
            <w:shd w:val="clear" w:color="auto" w:fill="auto"/>
            <w:noWrap/>
            <w:vAlign w:val="bottom"/>
            <w:hideMark/>
          </w:tcPr>
          <w:p w14:paraId="28BA659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83" w:type="dxa"/>
            <w:tcBorders>
              <w:top w:val="nil"/>
              <w:left w:val="nil"/>
              <w:bottom w:val="nil"/>
              <w:right w:val="nil"/>
            </w:tcBorders>
            <w:shd w:val="clear" w:color="auto" w:fill="auto"/>
            <w:noWrap/>
            <w:vAlign w:val="bottom"/>
            <w:hideMark/>
          </w:tcPr>
          <w:p w14:paraId="11D7297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-4.1</w:t>
            </w:r>
          </w:p>
        </w:tc>
        <w:tc>
          <w:tcPr>
            <w:tcW w:w="756" w:type="dxa"/>
            <w:tcBorders>
              <w:top w:val="nil"/>
              <w:left w:val="nil"/>
              <w:bottom w:val="nil"/>
              <w:right w:val="nil"/>
            </w:tcBorders>
            <w:shd w:val="clear" w:color="auto" w:fill="auto"/>
            <w:noWrap/>
            <w:vAlign w:val="bottom"/>
            <w:hideMark/>
          </w:tcPr>
          <w:p w14:paraId="065F9AF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83" w:type="dxa"/>
            <w:tcBorders>
              <w:top w:val="nil"/>
              <w:left w:val="nil"/>
              <w:bottom w:val="nil"/>
              <w:right w:val="nil"/>
            </w:tcBorders>
            <w:shd w:val="clear" w:color="auto" w:fill="auto"/>
            <w:noWrap/>
            <w:vAlign w:val="bottom"/>
            <w:hideMark/>
          </w:tcPr>
          <w:p w14:paraId="1CC9E26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95" w:type="dxa"/>
            <w:tcBorders>
              <w:top w:val="nil"/>
              <w:left w:val="nil"/>
              <w:bottom w:val="nil"/>
              <w:right w:val="nil"/>
            </w:tcBorders>
            <w:shd w:val="clear" w:color="auto" w:fill="auto"/>
            <w:noWrap/>
            <w:vAlign w:val="bottom"/>
            <w:hideMark/>
          </w:tcPr>
          <w:p w14:paraId="07FF8B5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r>
      <w:tr w:rsidR="00634ABA" w:rsidRPr="00986F85" w14:paraId="62E4FA2A" w14:textId="77777777" w:rsidTr="00634ABA">
        <w:trPr>
          <w:trHeight w:val="289"/>
        </w:trPr>
        <w:tc>
          <w:tcPr>
            <w:tcW w:w="434" w:type="dxa"/>
            <w:vMerge/>
            <w:tcBorders>
              <w:top w:val="nil"/>
              <w:left w:val="nil"/>
              <w:bottom w:val="nil"/>
              <w:right w:val="nil"/>
            </w:tcBorders>
            <w:vAlign w:val="center"/>
            <w:hideMark/>
          </w:tcPr>
          <w:p w14:paraId="77068132" w14:textId="77777777" w:rsidR="00634ABA" w:rsidRPr="00986F85" w:rsidRDefault="00634ABA" w:rsidP="00476987">
            <w:pPr>
              <w:spacing w:after="0" w:line="240" w:lineRule="auto"/>
              <w:rPr>
                <w:rFonts w:eastAsia="Times New Roman"/>
                <w:color w:val="000000"/>
                <w:lang w:eastAsia="hu-HU"/>
              </w:rPr>
            </w:pPr>
          </w:p>
        </w:tc>
        <w:tc>
          <w:tcPr>
            <w:tcW w:w="1893" w:type="dxa"/>
            <w:tcBorders>
              <w:top w:val="nil"/>
              <w:left w:val="nil"/>
              <w:bottom w:val="nil"/>
              <w:right w:val="nil"/>
            </w:tcBorders>
            <w:shd w:val="clear" w:color="auto" w:fill="auto"/>
            <w:noWrap/>
            <w:vAlign w:val="bottom"/>
            <w:hideMark/>
          </w:tcPr>
          <w:p w14:paraId="4F97585E"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Nettó árbevétel (%)</w:t>
            </w:r>
          </w:p>
        </w:tc>
        <w:tc>
          <w:tcPr>
            <w:tcW w:w="683" w:type="dxa"/>
            <w:tcBorders>
              <w:top w:val="nil"/>
              <w:left w:val="nil"/>
              <w:bottom w:val="nil"/>
              <w:right w:val="nil"/>
            </w:tcBorders>
            <w:shd w:val="clear" w:color="auto" w:fill="auto"/>
            <w:noWrap/>
            <w:vAlign w:val="bottom"/>
            <w:hideMark/>
          </w:tcPr>
          <w:p w14:paraId="7C25FC1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-6.6</w:t>
            </w:r>
          </w:p>
        </w:tc>
        <w:tc>
          <w:tcPr>
            <w:tcW w:w="806" w:type="dxa"/>
            <w:tcBorders>
              <w:top w:val="nil"/>
              <w:left w:val="nil"/>
              <w:bottom w:val="nil"/>
              <w:right w:val="nil"/>
            </w:tcBorders>
            <w:shd w:val="clear" w:color="auto" w:fill="auto"/>
            <w:noWrap/>
            <w:vAlign w:val="bottom"/>
            <w:hideMark/>
          </w:tcPr>
          <w:p w14:paraId="584403E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-16.8</w:t>
            </w:r>
          </w:p>
        </w:tc>
        <w:tc>
          <w:tcPr>
            <w:tcW w:w="710" w:type="dxa"/>
            <w:tcBorders>
              <w:top w:val="nil"/>
              <w:left w:val="nil"/>
              <w:bottom w:val="nil"/>
              <w:right w:val="nil"/>
            </w:tcBorders>
            <w:shd w:val="clear" w:color="auto" w:fill="auto"/>
            <w:noWrap/>
            <w:vAlign w:val="bottom"/>
            <w:hideMark/>
          </w:tcPr>
          <w:p w14:paraId="4457565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-6.4</w:t>
            </w:r>
          </w:p>
        </w:tc>
        <w:tc>
          <w:tcPr>
            <w:tcW w:w="717" w:type="dxa"/>
            <w:tcBorders>
              <w:top w:val="nil"/>
              <w:left w:val="nil"/>
              <w:bottom w:val="nil"/>
              <w:right w:val="nil"/>
            </w:tcBorders>
            <w:shd w:val="clear" w:color="auto" w:fill="auto"/>
            <w:noWrap/>
            <w:vAlign w:val="bottom"/>
            <w:hideMark/>
          </w:tcPr>
          <w:p w14:paraId="6599219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-14.7</w:t>
            </w:r>
          </w:p>
        </w:tc>
        <w:tc>
          <w:tcPr>
            <w:tcW w:w="806" w:type="dxa"/>
            <w:tcBorders>
              <w:top w:val="nil"/>
              <w:left w:val="nil"/>
              <w:bottom w:val="nil"/>
              <w:right w:val="nil"/>
            </w:tcBorders>
            <w:shd w:val="clear" w:color="auto" w:fill="auto"/>
            <w:noWrap/>
            <w:vAlign w:val="bottom"/>
            <w:hideMark/>
          </w:tcPr>
          <w:p w14:paraId="3EABC9E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-13.9</w:t>
            </w:r>
          </w:p>
        </w:tc>
        <w:tc>
          <w:tcPr>
            <w:tcW w:w="683" w:type="dxa"/>
            <w:tcBorders>
              <w:top w:val="nil"/>
              <w:left w:val="nil"/>
              <w:bottom w:val="nil"/>
              <w:right w:val="nil"/>
            </w:tcBorders>
            <w:shd w:val="clear" w:color="auto" w:fill="auto"/>
            <w:noWrap/>
            <w:vAlign w:val="bottom"/>
            <w:hideMark/>
          </w:tcPr>
          <w:p w14:paraId="5F6E318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-0.2</w:t>
            </w:r>
          </w:p>
        </w:tc>
        <w:tc>
          <w:tcPr>
            <w:tcW w:w="683" w:type="dxa"/>
            <w:tcBorders>
              <w:top w:val="nil"/>
              <w:left w:val="nil"/>
              <w:bottom w:val="nil"/>
              <w:right w:val="nil"/>
            </w:tcBorders>
            <w:shd w:val="clear" w:color="auto" w:fill="auto"/>
            <w:noWrap/>
            <w:vAlign w:val="bottom"/>
            <w:hideMark/>
          </w:tcPr>
          <w:p w14:paraId="2170181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-8.2</w:t>
            </w:r>
          </w:p>
        </w:tc>
        <w:tc>
          <w:tcPr>
            <w:tcW w:w="806" w:type="dxa"/>
            <w:tcBorders>
              <w:top w:val="nil"/>
              <w:left w:val="nil"/>
              <w:bottom w:val="nil"/>
              <w:right w:val="nil"/>
            </w:tcBorders>
            <w:shd w:val="clear" w:color="auto" w:fill="auto"/>
            <w:noWrap/>
            <w:vAlign w:val="bottom"/>
            <w:hideMark/>
          </w:tcPr>
          <w:p w14:paraId="6458D55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-11.1</w:t>
            </w:r>
          </w:p>
        </w:tc>
        <w:tc>
          <w:tcPr>
            <w:tcW w:w="683" w:type="dxa"/>
            <w:tcBorders>
              <w:top w:val="nil"/>
              <w:left w:val="nil"/>
              <w:bottom w:val="nil"/>
              <w:right w:val="nil"/>
            </w:tcBorders>
            <w:shd w:val="clear" w:color="auto" w:fill="auto"/>
            <w:noWrap/>
            <w:vAlign w:val="bottom"/>
            <w:hideMark/>
          </w:tcPr>
          <w:p w14:paraId="3EFE34A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-12.1</w:t>
            </w:r>
          </w:p>
        </w:tc>
        <w:tc>
          <w:tcPr>
            <w:tcW w:w="756" w:type="dxa"/>
            <w:tcBorders>
              <w:top w:val="nil"/>
              <w:left w:val="nil"/>
              <w:bottom w:val="nil"/>
              <w:right w:val="nil"/>
            </w:tcBorders>
            <w:shd w:val="clear" w:color="auto" w:fill="auto"/>
            <w:noWrap/>
            <w:vAlign w:val="bottom"/>
            <w:hideMark/>
          </w:tcPr>
          <w:p w14:paraId="39373C7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-12.8</w:t>
            </w:r>
          </w:p>
        </w:tc>
        <w:tc>
          <w:tcPr>
            <w:tcW w:w="690" w:type="dxa"/>
            <w:tcBorders>
              <w:top w:val="nil"/>
              <w:left w:val="nil"/>
              <w:bottom w:val="nil"/>
              <w:right w:val="nil"/>
            </w:tcBorders>
            <w:shd w:val="clear" w:color="auto" w:fill="auto"/>
            <w:noWrap/>
            <w:vAlign w:val="bottom"/>
            <w:hideMark/>
          </w:tcPr>
          <w:p w14:paraId="171791D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-13.2</w:t>
            </w:r>
          </w:p>
        </w:tc>
        <w:tc>
          <w:tcPr>
            <w:tcW w:w="683" w:type="dxa"/>
            <w:tcBorders>
              <w:top w:val="nil"/>
              <w:left w:val="nil"/>
              <w:bottom w:val="nil"/>
              <w:right w:val="nil"/>
            </w:tcBorders>
            <w:shd w:val="clear" w:color="auto" w:fill="auto"/>
            <w:noWrap/>
            <w:vAlign w:val="bottom"/>
            <w:hideMark/>
          </w:tcPr>
          <w:p w14:paraId="7E430BE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-8.1</w:t>
            </w:r>
          </w:p>
        </w:tc>
        <w:tc>
          <w:tcPr>
            <w:tcW w:w="806" w:type="dxa"/>
            <w:tcBorders>
              <w:top w:val="nil"/>
              <w:left w:val="nil"/>
              <w:bottom w:val="nil"/>
              <w:right w:val="nil"/>
            </w:tcBorders>
            <w:shd w:val="clear" w:color="auto" w:fill="auto"/>
            <w:noWrap/>
            <w:vAlign w:val="bottom"/>
            <w:hideMark/>
          </w:tcPr>
          <w:p w14:paraId="6D2C36C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-7.3</w:t>
            </w:r>
          </w:p>
        </w:tc>
        <w:tc>
          <w:tcPr>
            <w:tcW w:w="806" w:type="dxa"/>
            <w:tcBorders>
              <w:top w:val="nil"/>
              <w:left w:val="nil"/>
              <w:bottom w:val="nil"/>
              <w:right w:val="nil"/>
            </w:tcBorders>
            <w:shd w:val="clear" w:color="auto" w:fill="auto"/>
            <w:noWrap/>
            <w:vAlign w:val="bottom"/>
            <w:hideMark/>
          </w:tcPr>
          <w:p w14:paraId="543DF0A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-2.1</w:t>
            </w:r>
          </w:p>
        </w:tc>
        <w:tc>
          <w:tcPr>
            <w:tcW w:w="683" w:type="dxa"/>
            <w:tcBorders>
              <w:top w:val="nil"/>
              <w:left w:val="nil"/>
              <w:bottom w:val="nil"/>
              <w:right w:val="nil"/>
            </w:tcBorders>
            <w:shd w:val="clear" w:color="auto" w:fill="auto"/>
            <w:noWrap/>
            <w:vAlign w:val="bottom"/>
            <w:hideMark/>
          </w:tcPr>
          <w:p w14:paraId="6746A68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-6.5</w:t>
            </w:r>
          </w:p>
        </w:tc>
        <w:tc>
          <w:tcPr>
            <w:tcW w:w="806" w:type="dxa"/>
            <w:tcBorders>
              <w:top w:val="nil"/>
              <w:left w:val="nil"/>
              <w:bottom w:val="nil"/>
              <w:right w:val="nil"/>
            </w:tcBorders>
            <w:shd w:val="clear" w:color="auto" w:fill="auto"/>
            <w:noWrap/>
            <w:vAlign w:val="bottom"/>
            <w:hideMark/>
          </w:tcPr>
          <w:p w14:paraId="1C6ED9F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-9.9</w:t>
            </w:r>
          </w:p>
        </w:tc>
        <w:tc>
          <w:tcPr>
            <w:tcW w:w="683" w:type="dxa"/>
            <w:tcBorders>
              <w:top w:val="nil"/>
              <w:left w:val="nil"/>
              <w:bottom w:val="nil"/>
              <w:right w:val="nil"/>
            </w:tcBorders>
            <w:shd w:val="clear" w:color="auto" w:fill="auto"/>
            <w:noWrap/>
            <w:vAlign w:val="bottom"/>
            <w:hideMark/>
          </w:tcPr>
          <w:p w14:paraId="63AD960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-12.1</w:t>
            </w:r>
          </w:p>
        </w:tc>
        <w:tc>
          <w:tcPr>
            <w:tcW w:w="756" w:type="dxa"/>
            <w:tcBorders>
              <w:top w:val="nil"/>
              <w:left w:val="nil"/>
              <w:bottom w:val="nil"/>
              <w:right w:val="nil"/>
            </w:tcBorders>
            <w:shd w:val="clear" w:color="auto" w:fill="auto"/>
            <w:noWrap/>
            <w:vAlign w:val="bottom"/>
            <w:hideMark/>
          </w:tcPr>
          <w:p w14:paraId="1562541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0.3</w:t>
            </w:r>
          </w:p>
        </w:tc>
        <w:tc>
          <w:tcPr>
            <w:tcW w:w="683" w:type="dxa"/>
            <w:tcBorders>
              <w:top w:val="nil"/>
              <w:left w:val="nil"/>
              <w:bottom w:val="nil"/>
              <w:right w:val="nil"/>
            </w:tcBorders>
            <w:shd w:val="clear" w:color="auto" w:fill="auto"/>
            <w:noWrap/>
            <w:vAlign w:val="bottom"/>
            <w:hideMark/>
          </w:tcPr>
          <w:p w14:paraId="7840578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3.1</w:t>
            </w:r>
          </w:p>
        </w:tc>
        <w:tc>
          <w:tcPr>
            <w:tcW w:w="695" w:type="dxa"/>
            <w:tcBorders>
              <w:top w:val="nil"/>
              <w:left w:val="nil"/>
              <w:bottom w:val="nil"/>
              <w:right w:val="nil"/>
            </w:tcBorders>
            <w:shd w:val="clear" w:color="auto" w:fill="auto"/>
            <w:noWrap/>
            <w:vAlign w:val="bottom"/>
            <w:hideMark/>
          </w:tcPr>
          <w:p w14:paraId="576BF00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-10.9</w:t>
            </w:r>
          </w:p>
        </w:tc>
      </w:tr>
      <w:tr w:rsidR="00634ABA" w:rsidRPr="00986F85" w14:paraId="731F612E" w14:textId="77777777" w:rsidTr="00634ABA">
        <w:trPr>
          <w:trHeight w:val="289"/>
        </w:trPr>
        <w:tc>
          <w:tcPr>
            <w:tcW w:w="434" w:type="dxa"/>
            <w:vMerge/>
            <w:tcBorders>
              <w:top w:val="nil"/>
              <w:left w:val="nil"/>
              <w:bottom w:val="nil"/>
              <w:right w:val="nil"/>
            </w:tcBorders>
            <w:vAlign w:val="center"/>
            <w:hideMark/>
          </w:tcPr>
          <w:p w14:paraId="055DF620" w14:textId="77777777" w:rsidR="00634ABA" w:rsidRPr="00986F85" w:rsidRDefault="00634ABA" w:rsidP="00476987">
            <w:pPr>
              <w:spacing w:after="0" w:line="240" w:lineRule="auto"/>
              <w:rPr>
                <w:rFonts w:eastAsia="Times New Roman"/>
                <w:color w:val="000000"/>
                <w:lang w:eastAsia="hu-HU"/>
              </w:rPr>
            </w:pPr>
          </w:p>
        </w:tc>
        <w:tc>
          <w:tcPr>
            <w:tcW w:w="1893" w:type="dxa"/>
            <w:tcBorders>
              <w:top w:val="nil"/>
              <w:left w:val="nil"/>
              <w:bottom w:val="nil"/>
              <w:right w:val="nil"/>
            </w:tcBorders>
            <w:shd w:val="clear" w:color="auto" w:fill="auto"/>
            <w:noWrap/>
            <w:vAlign w:val="bottom"/>
            <w:hideMark/>
          </w:tcPr>
          <w:p w14:paraId="00B7ED70"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Egy foglalkoztatottra eső árbevétel (%)</w:t>
            </w:r>
          </w:p>
        </w:tc>
        <w:tc>
          <w:tcPr>
            <w:tcW w:w="683" w:type="dxa"/>
            <w:tcBorders>
              <w:top w:val="nil"/>
              <w:left w:val="nil"/>
              <w:bottom w:val="nil"/>
              <w:right w:val="nil"/>
            </w:tcBorders>
            <w:shd w:val="clear" w:color="auto" w:fill="auto"/>
            <w:noWrap/>
            <w:vAlign w:val="bottom"/>
            <w:hideMark/>
          </w:tcPr>
          <w:p w14:paraId="2B1CA3E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-0.5</w:t>
            </w:r>
          </w:p>
        </w:tc>
        <w:tc>
          <w:tcPr>
            <w:tcW w:w="806" w:type="dxa"/>
            <w:tcBorders>
              <w:top w:val="nil"/>
              <w:left w:val="nil"/>
              <w:bottom w:val="nil"/>
              <w:right w:val="nil"/>
            </w:tcBorders>
            <w:shd w:val="clear" w:color="auto" w:fill="auto"/>
            <w:noWrap/>
            <w:vAlign w:val="bottom"/>
            <w:hideMark/>
          </w:tcPr>
          <w:p w14:paraId="04C9847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-10.5</w:t>
            </w:r>
          </w:p>
        </w:tc>
        <w:tc>
          <w:tcPr>
            <w:tcW w:w="710" w:type="dxa"/>
            <w:tcBorders>
              <w:top w:val="nil"/>
              <w:left w:val="nil"/>
              <w:bottom w:val="nil"/>
              <w:right w:val="nil"/>
            </w:tcBorders>
            <w:shd w:val="clear" w:color="auto" w:fill="auto"/>
            <w:noWrap/>
            <w:vAlign w:val="bottom"/>
            <w:hideMark/>
          </w:tcPr>
          <w:p w14:paraId="41EB34D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-0.6</w:t>
            </w:r>
          </w:p>
        </w:tc>
        <w:tc>
          <w:tcPr>
            <w:tcW w:w="717" w:type="dxa"/>
            <w:tcBorders>
              <w:top w:val="nil"/>
              <w:left w:val="nil"/>
              <w:bottom w:val="nil"/>
              <w:right w:val="nil"/>
            </w:tcBorders>
            <w:shd w:val="clear" w:color="auto" w:fill="auto"/>
            <w:noWrap/>
            <w:vAlign w:val="bottom"/>
            <w:hideMark/>
          </w:tcPr>
          <w:p w14:paraId="7755E98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-6.1</w:t>
            </w:r>
          </w:p>
        </w:tc>
        <w:tc>
          <w:tcPr>
            <w:tcW w:w="806" w:type="dxa"/>
            <w:tcBorders>
              <w:top w:val="nil"/>
              <w:left w:val="nil"/>
              <w:bottom w:val="nil"/>
              <w:right w:val="nil"/>
            </w:tcBorders>
            <w:shd w:val="clear" w:color="auto" w:fill="auto"/>
            <w:noWrap/>
            <w:vAlign w:val="bottom"/>
            <w:hideMark/>
          </w:tcPr>
          <w:p w14:paraId="35EC35E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-5.8</w:t>
            </w:r>
          </w:p>
        </w:tc>
        <w:tc>
          <w:tcPr>
            <w:tcW w:w="683" w:type="dxa"/>
            <w:tcBorders>
              <w:top w:val="nil"/>
              <w:left w:val="nil"/>
              <w:bottom w:val="nil"/>
              <w:right w:val="nil"/>
            </w:tcBorders>
            <w:shd w:val="clear" w:color="auto" w:fill="auto"/>
            <w:noWrap/>
            <w:vAlign w:val="bottom"/>
            <w:hideMark/>
          </w:tcPr>
          <w:p w14:paraId="41DDE8A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83" w:type="dxa"/>
            <w:tcBorders>
              <w:top w:val="nil"/>
              <w:left w:val="nil"/>
              <w:bottom w:val="nil"/>
              <w:right w:val="nil"/>
            </w:tcBorders>
            <w:shd w:val="clear" w:color="auto" w:fill="auto"/>
            <w:noWrap/>
            <w:vAlign w:val="bottom"/>
            <w:hideMark/>
          </w:tcPr>
          <w:p w14:paraId="7933AF9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-2.4</w:t>
            </w:r>
          </w:p>
        </w:tc>
        <w:tc>
          <w:tcPr>
            <w:tcW w:w="806" w:type="dxa"/>
            <w:tcBorders>
              <w:top w:val="nil"/>
              <w:left w:val="nil"/>
              <w:bottom w:val="nil"/>
              <w:right w:val="nil"/>
            </w:tcBorders>
            <w:shd w:val="clear" w:color="auto" w:fill="auto"/>
            <w:noWrap/>
            <w:vAlign w:val="bottom"/>
            <w:hideMark/>
          </w:tcPr>
          <w:p w14:paraId="4EE48BB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-1.7</w:t>
            </w:r>
          </w:p>
        </w:tc>
        <w:tc>
          <w:tcPr>
            <w:tcW w:w="683" w:type="dxa"/>
            <w:tcBorders>
              <w:top w:val="nil"/>
              <w:left w:val="nil"/>
              <w:bottom w:val="nil"/>
              <w:right w:val="nil"/>
            </w:tcBorders>
            <w:shd w:val="clear" w:color="auto" w:fill="auto"/>
            <w:noWrap/>
            <w:vAlign w:val="bottom"/>
            <w:hideMark/>
          </w:tcPr>
          <w:p w14:paraId="30D11DE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-7.7</w:t>
            </w:r>
          </w:p>
        </w:tc>
        <w:tc>
          <w:tcPr>
            <w:tcW w:w="756" w:type="dxa"/>
            <w:tcBorders>
              <w:top w:val="nil"/>
              <w:left w:val="nil"/>
              <w:bottom w:val="nil"/>
              <w:right w:val="nil"/>
            </w:tcBorders>
            <w:shd w:val="clear" w:color="auto" w:fill="auto"/>
            <w:noWrap/>
            <w:vAlign w:val="bottom"/>
            <w:hideMark/>
          </w:tcPr>
          <w:p w14:paraId="6174539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-7.5</w:t>
            </w:r>
          </w:p>
        </w:tc>
        <w:tc>
          <w:tcPr>
            <w:tcW w:w="690" w:type="dxa"/>
            <w:tcBorders>
              <w:top w:val="nil"/>
              <w:left w:val="nil"/>
              <w:bottom w:val="nil"/>
              <w:right w:val="nil"/>
            </w:tcBorders>
            <w:shd w:val="clear" w:color="auto" w:fill="auto"/>
            <w:noWrap/>
            <w:vAlign w:val="bottom"/>
            <w:hideMark/>
          </w:tcPr>
          <w:p w14:paraId="46B7EF0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-9.9</w:t>
            </w:r>
          </w:p>
        </w:tc>
        <w:tc>
          <w:tcPr>
            <w:tcW w:w="683" w:type="dxa"/>
            <w:tcBorders>
              <w:top w:val="nil"/>
              <w:left w:val="nil"/>
              <w:bottom w:val="nil"/>
              <w:right w:val="nil"/>
            </w:tcBorders>
            <w:shd w:val="clear" w:color="auto" w:fill="auto"/>
            <w:noWrap/>
            <w:vAlign w:val="bottom"/>
            <w:hideMark/>
          </w:tcPr>
          <w:p w14:paraId="195975E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-2.6</w:t>
            </w:r>
          </w:p>
        </w:tc>
        <w:tc>
          <w:tcPr>
            <w:tcW w:w="806" w:type="dxa"/>
            <w:tcBorders>
              <w:top w:val="nil"/>
              <w:left w:val="nil"/>
              <w:bottom w:val="nil"/>
              <w:right w:val="nil"/>
            </w:tcBorders>
            <w:shd w:val="clear" w:color="auto" w:fill="auto"/>
            <w:noWrap/>
            <w:vAlign w:val="bottom"/>
            <w:hideMark/>
          </w:tcPr>
          <w:p w14:paraId="180BCAC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-3.9</w:t>
            </w:r>
          </w:p>
        </w:tc>
        <w:tc>
          <w:tcPr>
            <w:tcW w:w="806" w:type="dxa"/>
            <w:tcBorders>
              <w:top w:val="nil"/>
              <w:left w:val="nil"/>
              <w:bottom w:val="nil"/>
              <w:right w:val="nil"/>
            </w:tcBorders>
            <w:shd w:val="clear" w:color="auto" w:fill="auto"/>
            <w:noWrap/>
            <w:vAlign w:val="bottom"/>
            <w:hideMark/>
          </w:tcPr>
          <w:p w14:paraId="176FC55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2.7</w:t>
            </w:r>
          </w:p>
        </w:tc>
        <w:tc>
          <w:tcPr>
            <w:tcW w:w="683" w:type="dxa"/>
            <w:tcBorders>
              <w:top w:val="nil"/>
              <w:left w:val="nil"/>
              <w:bottom w:val="nil"/>
              <w:right w:val="nil"/>
            </w:tcBorders>
            <w:shd w:val="clear" w:color="auto" w:fill="auto"/>
            <w:noWrap/>
            <w:vAlign w:val="bottom"/>
            <w:hideMark/>
          </w:tcPr>
          <w:p w14:paraId="35F223D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w:t>
            </w:r>
          </w:p>
        </w:tc>
        <w:tc>
          <w:tcPr>
            <w:tcW w:w="806" w:type="dxa"/>
            <w:tcBorders>
              <w:top w:val="nil"/>
              <w:left w:val="nil"/>
              <w:bottom w:val="nil"/>
              <w:right w:val="nil"/>
            </w:tcBorders>
            <w:shd w:val="clear" w:color="auto" w:fill="auto"/>
            <w:noWrap/>
            <w:vAlign w:val="bottom"/>
            <w:hideMark/>
          </w:tcPr>
          <w:p w14:paraId="2555163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-3.1</w:t>
            </w:r>
          </w:p>
        </w:tc>
        <w:tc>
          <w:tcPr>
            <w:tcW w:w="683" w:type="dxa"/>
            <w:tcBorders>
              <w:top w:val="nil"/>
              <w:left w:val="nil"/>
              <w:bottom w:val="nil"/>
              <w:right w:val="nil"/>
            </w:tcBorders>
            <w:shd w:val="clear" w:color="auto" w:fill="auto"/>
            <w:noWrap/>
            <w:vAlign w:val="bottom"/>
            <w:hideMark/>
          </w:tcPr>
          <w:p w14:paraId="4C43120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-5.5</w:t>
            </w:r>
          </w:p>
        </w:tc>
        <w:tc>
          <w:tcPr>
            <w:tcW w:w="756" w:type="dxa"/>
            <w:tcBorders>
              <w:top w:val="nil"/>
              <w:left w:val="nil"/>
              <w:bottom w:val="nil"/>
              <w:right w:val="nil"/>
            </w:tcBorders>
            <w:shd w:val="clear" w:color="auto" w:fill="auto"/>
            <w:noWrap/>
            <w:vAlign w:val="bottom"/>
            <w:hideMark/>
          </w:tcPr>
          <w:p w14:paraId="441777A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2.3</w:t>
            </w:r>
          </w:p>
        </w:tc>
        <w:tc>
          <w:tcPr>
            <w:tcW w:w="683" w:type="dxa"/>
            <w:tcBorders>
              <w:top w:val="nil"/>
              <w:left w:val="nil"/>
              <w:bottom w:val="nil"/>
              <w:right w:val="nil"/>
            </w:tcBorders>
            <w:shd w:val="clear" w:color="auto" w:fill="auto"/>
            <w:noWrap/>
            <w:vAlign w:val="bottom"/>
            <w:hideMark/>
          </w:tcPr>
          <w:p w14:paraId="535604B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3.9</w:t>
            </w:r>
          </w:p>
        </w:tc>
        <w:tc>
          <w:tcPr>
            <w:tcW w:w="695" w:type="dxa"/>
            <w:tcBorders>
              <w:top w:val="nil"/>
              <w:left w:val="nil"/>
              <w:bottom w:val="nil"/>
              <w:right w:val="nil"/>
            </w:tcBorders>
            <w:shd w:val="clear" w:color="auto" w:fill="auto"/>
            <w:noWrap/>
            <w:vAlign w:val="bottom"/>
            <w:hideMark/>
          </w:tcPr>
          <w:p w14:paraId="2600433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-5.2</w:t>
            </w:r>
          </w:p>
        </w:tc>
      </w:tr>
      <w:tr w:rsidR="00634ABA" w:rsidRPr="00986F85" w14:paraId="7F6B2F67" w14:textId="77777777" w:rsidTr="00634ABA">
        <w:trPr>
          <w:trHeight w:val="289"/>
        </w:trPr>
        <w:tc>
          <w:tcPr>
            <w:tcW w:w="434" w:type="dxa"/>
            <w:vMerge/>
            <w:tcBorders>
              <w:top w:val="nil"/>
              <w:left w:val="nil"/>
              <w:bottom w:val="nil"/>
              <w:right w:val="nil"/>
            </w:tcBorders>
            <w:vAlign w:val="center"/>
            <w:hideMark/>
          </w:tcPr>
          <w:p w14:paraId="15E01780" w14:textId="77777777" w:rsidR="00634ABA" w:rsidRPr="00986F85" w:rsidRDefault="00634ABA" w:rsidP="00476987">
            <w:pPr>
              <w:spacing w:after="0" w:line="240" w:lineRule="auto"/>
              <w:rPr>
                <w:rFonts w:eastAsia="Times New Roman"/>
                <w:color w:val="000000"/>
                <w:lang w:eastAsia="hu-HU"/>
              </w:rPr>
            </w:pPr>
          </w:p>
        </w:tc>
        <w:tc>
          <w:tcPr>
            <w:tcW w:w="1893" w:type="dxa"/>
            <w:tcBorders>
              <w:top w:val="nil"/>
              <w:left w:val="nil"/>
              <w:bottom w:val="nil"/>
              <w:right w:val="nil"/>
            </w:tcBorders>
            <w:shd w:val="clear" w:color="auto" w:fill="auto"/>
            <w:noWrap/>
            <w:vAlign w:val="bottom"/>
            <w:hideMark/>
          </w:tcPr>
          <w:p w14:paraId="50F251A8"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Tárgyi eszköz (%)</w:t>
            </w:r>
          </w:p>
        </w:tc>
        <w:tc>
          <w:tcPr>
            <w:tcW w:w="683" w:type="dxa"/>
            <w:tcBorders>
              <w:top w:val="nil"/>
              <w:left w:val="nil"/>
              <w:bottom w:val="nil"/>
              <w:right w:val="nil"/>
            </w:tcBorders>
            <w:shd w:val="clear" w:color="auto" w:fill="auto"/>
            <w:noWrap/>
            <w:vAlign w:val="bottom"/>
            <w:hideMark/>
          </w:tcPr>
          <w:p w14:paraId="7B3370C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-12.1</w:t>
            </w:r>
          </w:p>
        </w:tc>
        <w:tc>
          <w:tcPr>
            <w:tcW w:w="806" w:type="dxa"/>
            <w:tcBorders>
              <w:top w:val="nil"/>
              <w:left w:val="nil"/>
              <w:bottom w:val="nil"/>
              <w:right w:val="nil"/>
            </w:tcBorders>
            <w:shd w:val="clear" w:color="auto" w:fill="auto"/>
            <w:noWrap/>
            <w:vAlign w:val="bottom"/>
            <w:hideMark/>
          </w:tcPr>
          <w:p w14:paraId="7F7B28F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-9.1</w:t>
            </w:r>
          </w:p>
        </w:tc>
        <w:tc>
          <w:tcPr>
            <w:tcW w:w="710" w:type="dxa"/>
            <w:tcBorders>
              <w:top w:val="nil"/>
              <w:left w:val="nil"/>
              <w:bottom w:val="nil"/>
              <w:right w:val="nil"/>
            </w:tcBorders>
            <w:shd w:val="clear" w:color="auto" w:fill="auto"/>
            <w:noWrap/>
            <w:vAlign w:val="bottom"/>
            <w:hideMark/>
          </w:tcPr>
          <w:p w14:paraId="32E0348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-8.7</w:t>
            </w:r>
          </w:p>
        </w:tc>
        <w:tc>
          <w:tcPr>
            <w:tcW w:w="717" w:type="dxa"/>
            <w:tcBorders>
              <w:top w:val="nil"/>
              <w:left w:val="nil"/>
              <w:bottom w:val="nil"/>
              <w:right w:val="nil"/>
            </w:tcBorders>
            <w:shd w:val="clear" w:color="auto" w:fill="auto"/>
            <w:noWrap/>
            <w:vAlign w:val="bottom"/>
            <w:hideMark/>
          </w:tcPr>
          <w:p w14:paraId="5E4BBE9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-12.5</w:t>
            </w:r>
          </w:p>
        </w:tc>
        <w:tc>
          <w:tcPr>
            <w:tcW w:w="806" w:type="dxa"/>
            <w:tcBorders>
              <w:top w:val="nil"/>
              <w:left w:val="nil"/>
              <w:bottom w:val="nil"/>
              <w:right w:val="nil"/>
            </w:tcBorders>
            <w:shd w:val="clear" w:color="auto" w:fill="auto"/>
            <w:noWrap/>
            <w:vAlign w:val="bottom"/>
            <w:hideMark/>
          </w:tcPr>
          <w:p w14:paraId="1ADB6C6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-6.9</w:t>
            </w:r>
          </w:p>
        </w:tc>
        <w:tc>
          <w:tcPr>
            <w:tcW w:w="683" w:type="dxa"/>
            <w:tcBorders>
              <w:top w:val="nil"/>
              <w:left w:val="nil"/>
              <w:bottom w:val="nil"/>
              <w:right w:val="nil"/>
            </w:tcBorders>
            <w:shd w:val="clear" w:color="auto" w:fill="auto"/>
            <w:noWrap/>
            <w:vAlign w:val="bottom"/>
            <w:hideMark/>
          </w:tcPr>
          <w:p w14:paraId="6EDA016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-6.9</w:t>
            </w:r>
          </w:p>
        </w:tc>
        <w:tc>
          <w:tcPr>
            <w:tcW w:w="683" w:type="dxa"/>
            <w:tcBorders>
              <w:top w:val="nil"/>
              <w:left w:val="nil"/>
              <w:bottom w:val="nil"/>
              <w:right w:val="nil"/>
            </w:tcBorders>
            <w:shd w:val="clear" w:color="auto" w:fill="auto"/>
            <w:noWrap/>
            <w:vAlign w:val="bottom"/>
            <w:hideMark/>
          </w:tcPr>
          <w:p w14:paraId="3C73EA4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-10.1</w:t>
            </w:r>
          </w:p>
        </w:tc>
        <w:tc>
          <w:tcPr>
            <w:tcW w:w="806" w:type="dxa"/>
            <w:tcBorders>
              <w:top w:val="nil"/>
              <w:left w:val="nil"/>
              <w:bottom w:val="nil"/>
              <w:right w:val="nil"/>
            </w:tcBorders>
            <w:shd w:val="clear" w:color="auto" w:fill="auto"/>
            <w:noWrap/>
            <w:vAlign w:val="bottom"/>
            <w:hideMark/>
          </w:tcPr>
          <w:p w14:paraId="45EEE84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-4.9</w:t>
            </w:r>
          </w:p>
        </w:tc>
        <w:tc>
          <w:tcPr>
            <w:tcW w:w="683" w:type="dxa"/>
            <w:tcBorders>
              <w:top w:val="nil"/>
              <w:left w:val="nil"/>
              <w:bottom w:val="nil"/>
              <w:right w:val="nil"/>
            </w:tcBorders>
            <w:shd w:val="clear" w:color="auto" w:fill="auto"/>
            <w:noWrap/>
            <w:vAlign w:val="bottom"/>
            <w:hideMark/>
          </w:tcPr>
          <w:p w14:paraId="7951C0C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-6.6</w:t>
            </w:r>
          </w:p>
        </w:tc>
        <w:tc>
          <w:tcPr>
            <w:tcW w:w="756" w:type="dxa"/>
            <w:tcBorders>
              <w:top w:val="nil"/>
              <w:left w:val="nil"/>
              <w:bottom w:val="nil"/>
              <w:right w:val="nil"/>
            </w:tcBorders>
            <w:shd w:val="clear" w:color="auto" w:fill="auto"/>
            <w:noWrap/>
            <w:vAlign w:val="bottom"/>
            <w:hideMark/>
          </w:tcPr>
          <w:p w14:paraId="505CD1E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-8.1</w:t>
            </w:r>
          </w:p>
        </w:tc>
        <w:tc>
          <w:tcPr>
            <w:tcW w:w="690" w:type="dxa"/>
            <w:tcBorders>
              <w:top w:val="nil"/>
              <w:left w:val="nil"/>
              <w:bottom w:val="nil"/>
              <w:right w:val="nil"/>
            </w:tcBorders>
            <w:shd w:val="clear" w:color="auto" w:fill="auto"/>
            <w:noWrap/>
            <w:vAlign w:val="bottom"/>
            <w:hideMark/>
          </w:tcPr>
          <w:p w14:paraId="13EE704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-0.1</w:t>
            </w:r>
          </w:p>
        </w:tc>
        <w:tc>
          <w:tcPr>
            <w:tcW w:w="683" w:type="dxa"/>
            <w:tcBorders>
              <w:top w:val="nil"/>
              <w:left w:val="nil"/>
              <w:bottom w:val="nil"/>
              <w:right w:val="nil"/>
            </w:tcBorders>
            <w:shd w:val="clear" w:color="auto" w:fill="auto"/>
            <w:noWrap/>
            <w:vAlign w:val="bottom"/>
            <w:hideMark/>
          </w:tcPr>
          <w:p w14:paraId="3D552A7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-7.7</w:t>
            </w:r>
          </w:p>
        </w:tc>
        <w:tc>
          <w:tcPr>
            <w:tcW w:w="806" w:type="dxa"/>
            <w:tcBorders>
              <w:top w:val="nil"/>
              <w:left w:val="nil"/>
              <w:bottom w:val="nil"/>
              <w:right w:val="nil"/>
            </w:tcBorders>
            <w:shd w:val="clear" w:color="auto" w:fill="auto"/>
            <w:noWrap/>
            <w:vAlign w:val="bottom"/>
            <w:hideMark/>
          </w:tcPr>
          <w:p w14:paraId="074A90D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-6.7</w:t>
            </w:r>
          </w:p>
        </w:tc>
        <w:tc>
          <w:tcPr>
            <w:tcW w:w="806" w:type="dxa"/>
            <w:tcBorders>
              <w:top w:val="nil"/>
              <w:left w:val="nil"/>
              <w:bottom w:val="nil"/>
              <w:right w:val="nil"/>
            </w:tcBorders>
            <w:shd w:val="clear" w:color="auto" w:fill="auto"/>
            <w:noWrap/>
            <w:vAlign w:val="bottom"/>
            <w:hideMark/>
          </w:tcPr>
          <w:p w14:paraId="52A4374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-6.6</w:t>
            </w:r>
          </w:p>
        </w:tc>
        <w:tc>
          <w:tcPr>
            <w:tcW w:w="683" w:type="dxa"/>
            <w:tcBorders>
              <w:top w:val="nil"/>
              <w:left w:val="nil"/>
              <w:bottom w:val="nil"/>
              <w:right w:val="nil"/>
            </w:tcBorders>
            <w:shd w:val="clear" w:color="auto" w:fill="auto"/>
            <w:noWrap/>
            <w:vAlign w:val="bottom"/>
            <w:hideMark/>
          </w:tcPr>
          <w:p w14:paraId="00E9026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-9.7</w:t>
            </w:r>
          </w:p>
        </w:tc>
        <w:tc>
          <w:tcPr>
            <w:tcW w:w="806" w:type="dxa"/>
            <w:tcBorders>
              <w:top w:val="nil"/>
              <w:left w:val="nil"/>
              <w:bottom w:val="nil"/>
              <w:right w:val="nil"/>
            </w:tcBorders>
            <w:shd w:val="clear" w:color="auto" w:fill="auto"/>
            <w:noWrap/>
            <w:vAlign w:val="bottom"/>
            <w:hideMark/>
          </w:tcPr>
          <w:p w14:paraId="060DBC9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-5.3</w:t>
            </w:r>
          </w:p>
        </w:tc>
        <w:tc>
          <w:tcPr>
            <w:tcW w:w="683" w:type="dxa"/>
            <w:tcBorders>
              <w:top w:val="nil"/>
              <w:left w:val="nil"/>
              <w:bottom w:val="nil"/>
              <w:right w:val="nil"/>
            </w:tcBorders>
            <w:shd w:val="clear" w:color="auto" w:fill="auto"/>
            <w:noWrap/>
            <w:vAlign w:val="bottom"/>
            <w:hideMark/>
          </w:tcPr>
          <w:p w14:paraId="5809269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-11.3</w:t>
            </w:r>
          </w:p>
        </w:tc>
        <w:tc>
          <w:tcPr>
            <w:tcW w:w="756" w:type="dxa"/>
            <w:tcBorders>
              <w:top w:val="nil"/>
              <w:left w:val="nil"/>
              <w:bottom w:val="nil"/>
              <w:right w:val="nil"/>
            </w:tcBorders>
            <w:shd w:val="clear" w:color="auto" w:fill="auto"/>
            <w:noWrap/>
            <w:vAlign w:val="bottom"/>
            <w:hideMark/>
          </w:tcPr>
          <w:p w14:paraId="721AD24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-6.5</w:t>
            </w:r>
          </w:p>
        </w:tc>
        <w:tc>
          <w:tcPr>
            <w:tcW w:w="683" w:type="dxa"/>
            <w:tcBorders>
              <w:top w:val="nil"/>
              <w:left w:val="nil"/>
              <w:bottom w:val="nil"/>
              <w:right w:val="nil"/>
            </w:tcBorders>
            <w:shd w:val="clear" w:color="auto" w:fill="auto"/>
            <w:noWrap/>
            <w:vAlign w:val="bottom"/>
            <w:hideMark/>
          </w:tcPr>
          <w:p w14:paraId="0A027AD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-2.5</w:t>
            </w:r>
          </w:p>
        </w:tc>
        <w:tc>
          <w:tcPr>
            <w:tcW w:w="695" w:type="dxa"/>
            <w:tcBorders>
              <w:top w:val="nil"/>
              <w:left w:val="nil"/>
              <w:bottom w:val="nil"/>
              <w:right w:val="nil"/>
            </w:tcBorders>
            <w:shd w:val="clear" w:color="auto" w:fill="auto"/>
            <w:noWrap/>
            <w:vAlign w:val="bottom"/>
            <w:hideMark/>
          </w:tcPr>
          <w:p w14:paraId="1C302E4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-7.2</w:t>
            </w:r>
          </w:p>
        </w:tc>
      </w:tr>
      <w:tr w:rsidR="00634ABA" w:rsidRPr="00986F85" w14:paraId="776648E7" w14:textId="77777777" w:rsidTr="00634ABA">
        <w:trPr>
          <w:trHeight w:val="289"/>
        </w:trPr>
        <w:tc>
          <w:tcPr>
            <w:tcW w:w="434" w:type="dxa"/>
            <w:vMerge/>
            <w:tcBorders>
              <w:top w:val="nil"/>
              <w:left w:val="nil"/>
              <w:bottom w:val="nil"/>
              <w:right w:val="nil"/>
            </w:tcBorders>
            <w:vAlign w:val="center"/>
            <w:hideMark/>
          </w:tcPr>
          <w:p w14:paraId="4E0680AC" w14:textId="77777777" w:rsidR="00634ABA" w:rsidRPr="00986F85" w:rsidRDefault="00634ABA" w:rsidP="00476987">
            <w:pPr>
              <w:spacing w:after="0" w:line="240" w:lineRule="auto"/>
              <w:rPr>
                <w:rFonts w:eastAsia="Times New Roman"/>
                <w:color w:val="000000"/>
                <w:lang w:eastAsia="hu-HU"/>
              </w:rPr>
            </w:pPr>
          </w:p>
        </w:tc>
        <w:tc>
          <w:tcPr>
            <w:tcW w:w="1893" w:type="dxa"/>
            <w:tcBorders>
              <w:top w:val="nil"/>
              <w:left w:val="nil"/>
              <w:bottom w:val="nil"/>
              <w:right w:val="nil"/>
            </w:tcBorders>
            <w:shd w:val="clear" w:color="auto" w:fill="auto"/>
            <w:noWrap/>
            <w:vAlign w:val="bottom"/>
            <w:hideMark/>
          </w:tcPr>
          <w:p w14:paraId="6A8322DE"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Tőkeintenzitás (%)</w:t>
            </w:r>
          </w:p>
        </w:tc>
        <w:tc>
          <w:tcPr>
            <w:tcW w:w="683" w:type="dxa"/>
            <w:tcBorders>
              <w:top w:val="nil"/>
              <w:left w:val="nil"/>
              <w:bottom w:val="nil"/>
              <w:right w:val="nil"/>
            </w:tcBorders>
            <w:shd w:val="clear" w:color="auto" w:fill="auto"/>
            <w:noWrap/>
            <w:vAlign w:val="bottom"/>
            <w:hideMark/>
          </w:tcPr>
          <w:p w14:paraId="43DD9D6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-3.4</w:t>
            </w:r>
          </w:p>
        </w:tc>
        <w:tc>
          <w:tcPr>
            <w:tcW w:w="806" w:type="dxa"/>
            <w:tcBorders>
              <w:top w:val="nil"/>
              <w:left w:val="nil"/>
              <w:bottom w:val="nil"/>
              <w:right w:val="nil"/>
            </w:tcBorders>
            <w:shd w:val="clear" w:color="auto" w:fill="auto"/>
            <w:noWrap/>
            <w:vAlign w:val="bottom"/>
            <w:hideMark/>
          </w:tcPr>
          <w:p w14:paraId="27ED455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-6.4</w:t>
            </w:r>
          </w:p>
        </w:tc>
        <w:tc>
          <w:tcPr>
            <w:tcW w:w="710" w:type="dxa"/>
            <w:tcBorders>
              <w:top w:val="nil"/>
              <w:left w:val="nil"/>
              <w:bottom w:val="nil"/>
              <w:right w:val="nil"/>
            </w:tcBorders>
            <w:shd w:val="clear" w:color="auto" w:fill="auto"/>
            <w:noWrap/>
            <w:vAlign w:val="bottom"/>
            <w:hideMark/>
          </w:tcPr>
          <w:p w14:paraId="54895C1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-3.5</w:t>
            </w:r>
          </w:p>
        </w:tc>
        <w:tc>
          <w:tcPr>
            <w:tcW w:w="717" w:type="dxa"/>
            <w:tcBorders>
              <w:top w:val="nil"/>
              <w:left w:val="nil"/>
              <w:bottom w:val="nil"/>
              <w:right w:val="nil"/>
            </w:tcBorders>
            <w:shd w:val="clear" w:color="auto" w:fill="auto"/>
            <w:noWrap/>
            <w:vAlign w:val="bottom"/>
            <w:hideMark/>
          </w:tcPr>
          <w:p w14:paraId="349FB20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-4.8</w:t>
            </w:r>
          </w:p>
        </w:tc>
        <w:tc>
          <w:tcPr>
            <w:tcW w:w="806" w:type="dxa"/>
            <w:tcBorders>
              <w:top w:val="nil"/>
              <w:left w:val="nil"/>
              <w:bottom w:val="nil"/>
              <w:right w:val="nil"/>
            </w:tcBorders>
            <w:shd w:val="clear" w:color="auto" w:fill="auto"/>
            <w:noWrap/>
            <w:vAlign w:val="bottom"/>
            <w:hideMark/>
          </w:tcPr>
          <w:p w14:paraId="6D7CB8A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0.2</w:t>
            </w:r>
          </w:p>
        </w:tc>
        <w:tc>
          <w:tcPr>
            <w:tcW w:w="683" w:type="dxa"/>
            <w:tcBorders>
              <w:top w:val="nil"/>
              <w:left w:val="nil"/>
              <w:bottom w:val="nil"/>
              <w:right w:val="nil"/>
            </w:tcBorders>
            <w:shd w:val="clear" w:color="auto" w:fill="auto"/>
            <w:noWrap/>
            <w:vAlign w:val="bottom"/>
            <w:hideMark/>
          </w:tcPr>
          <w:p w14:paraId="64C5259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-4.5</w:t>
            </w:r>
          </w:p>
        </w:tc>
        <w:tc>
          <w:tcPr>
            <w:tcW w:w="683" w:type="dxa"/>
            <w:tcBorders>
              <w:top w:val="nil"/>
              <w:left w:val="nil"/>
              <w:bottom w:val="nil"/>
              <w:right w:val="nil"/>
            </w:tcBorders>
            <w:shd w:val="clear" w:color="auto" w:fill="auto"/>
            <w:noWrap/>
            <w:vAlign w:val="bottom"/>
            <w:hideMark/>
          </w:tcPr>
          <w:p w14:paraId="7A4068A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-5.4</w:t>
            </w:r>
          </w:p>
        </w:tc>
        <w:tc>
          <w:tcPr>
            <w:tcW w:w="806" w:type="dxa"/>
            <w:tcBorders>
              <w:top w:val="nil"/>
              <w:left w:val="nil"/>
              <w:bottom w:val="nil"/>
              <w:right w:val="nil"/>
            </w:tcBorders>
            <w:shd w:val="clear" w:color="auto" w:fill="auto"/>
            <w:noWrap/>
            <w:vAlign w:val="bottom"/>
            <w:hideMark/>
          </w:tcPr>
          <w:p w14:paraId="13FC85A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1.2</w:t>
            </w:r>
          </w:p>
        </w:tc>
        <w:tc>
          <w:tcPr>
            <w:tcW w:w="683" w:type="dxa"/>
            <w:tcBorders>
              <w:top w:val="nil"/>
              <w:left w:val="nil"/>
              <w:bottom w:val="nil"/>
              <w:right w:val="nil"/>
            </w:tcBorders>
            <w:shd w:val="clear" w:color="auto" w:fill="auto"/>
            <w:noWrap/>
            <w:vAlign w:val="bottom"/>
            <w:hideMark/>
          </w:tcPr>
          <w:p w14:paraId="599EF76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-2.8</w:t>
            </w:r>
          </w:p>
        </w:tc>
        <w:tc>
          <w:tcPr>
            <w:tcW w:w="756" w:type="dxa"/>
            <w:tcBorders>
              <w:top w:val="nil"/>
              <w:left w:val="nil"/>
              <w:bottom w:val="nil"/>
              <w:right w:val="nil"/>
            </w:tcBorders>
            <w:shd w:val="clear" w:color="auto" w:fill="auto"/>
            <w:noWrap/>
            <w:vAlign w:val="bottom"/>
            <w:hideMark/>
          </w:tcPr>
          <w:p w14:paraId="4286380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64.5</w:t>
            </w:r>
          </w:p>
        </w:tc>
        <w:tc>
          <w:tcPr>
            <w:tcW w:w="690" w:type="dxa"/>
            <w:tcBorders>
              <w:top w:val="nil"/>
              <w:left w:val="nil"/>
              <w:bottom w:val="nil"/>
              <w:right w:val="nil"/>
            </w:tcBorders>
            <w:shd w:val="clear" w:color="auto" w:fill="auto"/>
            <w:noWrap/>
            <w:vAlign w:val="bottom"/>
            <w:hideMark/>
          </w:tcPr>
          <w:p w14:paraId="3220704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8.5</w:t>
            </w:r>
          </w:p>
        </w:tc>
        <w:tc>
          <w:tcPr>
            <w:tcW w:w="683" w:type="dxa"/>
            <w:tcBorders>
              <w:top w:val="nil"/>
              <w:left w:val="nil"/>
              <w:bottom w:val="nil"/>
              <w:right w:val="nil"/>
            </w:tcBorders>
            <w:shd w:val="clear" w:color="auto" w:fill="auto"/>
            <w:noWrap/>
            <w:vAlign w:val="bottom"/>
            <w:hideMark/>
          </w:tcPr>
          <w:p w14:paraId="2180712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-4.3</w:t>
            </w:r>
          </w:p>
        </w:tc>
        <w:tc>
          <w:tcPr>
            <w:tcW w:w="806" w:type="dxa"/>
            <w:tcBorders>
              <w:top w:val="nil"/>
              <w:left w:val="nil"/>
              <w:bottom w:val="nil"/>
              <w:right w:val="nil"/>
            </w:tcBorders>
            <w:shd w:val="clear" w:color="auto" w:fill="auto"/>
            <w:noWrap/>
            <w:vAlign w:val="bottom"/>
            <w:hideMark/>
          </w:tcPr>
          <w:p w14:paraId="57815D0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-2.4</w:t>
            </w:r>
          </w:p>
        </w:tc>
        <w:tc>
          <w:tcPr>
            <w:tcW w:w="806" w:type="dxa"/>
            <w:tcBorders>
              <w:top w:val="nil"/>
              <w:left w:val="nil"/>
              <w:bottom w:val="nil"/>
              <w:right w:val="nil"/>
            </w:tcBorders>
            <w:shd w:val="clear" w:color="auto" w:fill="auto"/>
            <w:noWrap/>
            <w:vAlign w:val="bottom"/>
            <w:hideMark/>
          </w:tcPr>
          <w:p w14:paraId="18D9AA8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-4.8</w:t>
            </w:r>
          </w:p>
        </w:tc>
        <w:tc>
          <w:tcPr>
            <w:tcW w:w="683" w:type="dxa"/>
            <w:tcBorders>
              <w:top w:val="nil"/>
              <w:left w:val="nil"/>
              <w:bottom w:val="nil"/>
              <w:right w:val="nil"/>
            </w:tcBorders>
            <w:shd w:val="clear" w:color="auto" w:fill="auto"/>
            <w:noWrap/>
            <w:vAlign w:val="bottom"/>
            <w:hideMark/>
          </w:tcPr>
          <w:p w14:paraId="7170F67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-5.6</w:t>
            </w:r>
          </w:p>
        </w:tc>
        <w:tc>
          <w:tcPr>
            <w:tcW w:w="806" w:type="dxa"/>
            <w:tcBorders>
              <w:top w:val="nil"/>
              <w:left w:val="nil"/>
              <w:bottom w:val="nil"/>
              <w:right w:val="nil"/>
            </w:tcBorders>
            <w:shd w:val="clear" w:color="auto" w:fill="auto"/>
            <w:noWrap/>
            <w:vAlign w:val="bottom"/>
            <w:hideMark/>
          </w:tcPr>
          <w:p w14:paraId="15ABBD6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-2.4</w:t>
            </w:r>
          </w:p>
        </w:tc>
        <w:tc>
          <w:tcPr>
            <w:tcW w:w="683" w:type="dxa"/>
            <w:tcBorders>
              <w:top w:val="nil"/>
              <w:left w:val="nil"/>
              <w:bottom w:val="nil"/>
              <w:right w:val="nil"/>
            </w:tcBorders>
            <w:shd w:val="clear" w:color="auto" w:fill="auto"/>
            <w:noWrap/>
            <w:vAlign w:val="bottom"/>
            <w:hideMark/>
          </w:tcPr>
          <w:p w14:paraId="788EA6A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w:t>
            </w:r>
          </w:p>
        </w:tc>
        <w:tc>
          <w:tcPr>
            <w:tcW w:w="756" w:type="dxa"/>
            <w:tcBorders>
              <w:top w:val="nil"/>
              <w:left w:val="nil"/>
              <w:bottom w:val="nil"/>
              <w:right w:val="nil"/>
            </w:tcBorders>
            <w:shd w:val="clear" w:color="auto" w:fill="auto"/>
            <w:noWrap/>
            <w:vAlign w:val="bottom"/>
            <w:hideMark/>
          </w:tcPr>
          <w:p w14:paraId="139D683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-5.3</w:t>
            </w:r>
          </w:p>
        </w:tc>
        <w:tc>
          <w:tcPr>
            <w:tcW w:w="683" w:type="dxa"/>
            <w:tcBorders>
              <w:top w:val="nil"/>
              <w:left w:val="nil"/>
              <w:bottom w:val="nil"/>
              <w:right w:val="nil"/>
            </w:tcBorders>
            <w:shd w:val="clear" w:color="auto" w:fill="auto"/>
            <w:noWrap/>
            <w:vAlign w:val="bottom"/>
            <w:hideMark/>
          </w:tcPr>
          <w:p w14:paraId="18B4859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1.4</w:t>
            </w:r>
          </w:p>
        </w:tc>
        <w:tc>
          <w:tcPr>
            <w:tcW w:w="695" w:type="dxa"/>
            <w:tcBorders>
              <w:top w:val="nil"/>
              <w:left w:val="nil"/>
              <w:bottom w:val="nil"/>
              <w:right w:val="nil"/>
            </w:tcBorders>
            <w:shd w:val="clear" w:color="auto" w:fill="auto"/>
            <w:noWrap/>
            <w:vAlign w:val="bottom"/>
            <w:hideMark/>
          </w:tcPr>
          <w:p w14:paraId="6074AEE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-2.2</w:t>
            </w:r>
          </w:p>
        </w:tc>
      </w:tr>
      <w:tr w:rsidR="00634ABA" w:rsidRPr="00986F85" w14:paraId="624B0235" w14:textId="77777777" w:rsidTr="00634ABA">
        <w:trPr>
          <w:trHeight w:val="289"/>
        </w:trPr>
        <w:tc>
          <w:tcPr>
            <w:tcW w:w="434" w:type="dxa"/>
            <w:vMerge/>
            <w:tcBorders>
              <w:top w:val="nil"/>
              <w:left w:val="nil"/>
              <w:bottom w:val="nil"/>
              <w:right w:val="nil"/>
            </w:tcBorders>
            <w:vAlign w:val="center"/>
            <w:hideMark/>
          </w:tcPr>
          <w:p w14:paraId="2A07AB39" w14:textId="77777777" w:rsidR="00634ABA" w:rsidRPr="00986F85" w:rsidRDefault="00634ABA" w:rsidP="00476987">
            <w:pPr>
              <w:spacing w:after="0" w:line="240" w:lineRule="auto"/>
              <w:rPr>
                <w:rFonts w:eastAsia="Times New Roman"/>
                <w:color w:val="000000"/>
                <w:lang w:eastAsia="hu-HU"/>
              </w:rPr>
            </w:pPr>
          </w:p>
        </w:tc>
        <w:tc>
          <w:tcPr>
            <w:tcW w:w="1893" w:type="dxa"/>
            <w:tcBorders>
              <w:top w:val="nil"/>
              <w:left w:val="nil"/>
              <w:bottom w:val="nil"/>
              <w:right w:val="nil"/>
            </w:tcBorders>
            <w:shd w:val="clear" w:color="auto" w:fill="auto"/>
            <w:noWrap/>
            <w:vAlign w:val="bottom"/>
            <w:hideMark/>
          </w:tcPr>
          <w:p w14:paraId="0340735E"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Jegyzett tőke</w:t>
            </w:r>
          </w:p>
        </w:tc>
        <w:tc>
          <w:tcPr>
            <w:tcW w:w="683" w:type="dxa"/>
            <w:tcBorders>
              <w:top w:val="nil"/>
              <w:left w:val="nil"/>
              <w:bottom w:val="nil"/>
              <w:right w:val="nil"/>
            </w:tcBorders>
            <w:shd w:val="clear" w:color="auto" w:fill="auto"/>
            <w:noWrap/>
            <w:vAlign w:val="bottom"/>
            <w:hideMark/>
          </w:tcPr>
          <w:p w14:paraId="5A967F7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06" w:type="dxa"/>
            <w:tcBorders>
              <w:top w:val="nil"/>
              <w:left w:val="nil"/>
              <w:bottom w:val="nil"/>
              <w:right w:val="nil"/>
            </w:tcBorders>
            <w:shd w:val="clear" w:color="auto" w:fill="auto"/>
            <w:noWrap/>
            <w:vAlign w:val="bottom"/>
            <w:hideMark/>
          </w:tcPr>
          <w:p w14:paraId="5AA4D96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710" w:type="dxa"/>
            <w:tcBorders>
              <w:top w:val="nil"/>
              <w:left w:val="nil"/>
              <w:bottom w:val="nil"/>
              <w:right w:val="nil"/>
            </w:tcBorders>
            <w:shd w:val="clear" w:color="auto" w:fill="auto"/>
            <w:noWrap/>
            <w:vAlign w:val="bottom"/>
            <w:hideMark/>
          </w:tcPr>
          <w:p w14:paraId="0135988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717" w:type="dxa"/>
            <w:tcBorders>
              <w:top w:val="nil"/>
              <w:left w:val="nil"/>
              <w:bottom w:val="nil"/>
              <w:right w:val="nil"/>
            </w:tcBorders>
            <w:shd w:val="clear" w:color="auto" w:fill="auto"/>
            <w:noWrap/>
            <w:vAlign w:val="bottom"/>
            <w:hideMark/>
          </w:tcPr>
          <w:p w14:paraId="0029C89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06" w:type="dxa"/>
            <w:tcBorders>
              <w:top w:val="nil"/>
              <w:left w:val="nil"/>
              <w:bottom w:val="nil"/>
              <w:right w:val="nil"/>
            </w:tcBorders>
            <w:shd w:val="clear" w:color="auto" w:fill="auto"/>
            <w:noWrap/>
            <w:vAlign w:val="bottom"/>
            <w:hideMark/>
          </w:tcPr>
          <w:p w14:paraId="5E01164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83" w:type="dxa"/>
            <w:tcBorders>
              <w:top w:val="nil"/>
              <w:left w:val="nil"/>
              <w:bottom w:val="nil"/>
              <w:right w:val="nil"/>
            </w:tcBorders>
            <w:shd w:val="clear" w:color="auto" w:fill="auto"/>
            <w:noWrap/>
            <w:vAlign w:val="bottom"/>
            <w:hideMark/>
          </w:tcPr>
          <w:p w14:paraId="6ABFB94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83" w:type="dxa"/>
            <w:tcBorders>
              <w:top w:val="nil"/>
              <w:left w:val="nil"/>
              <w:bottom w:val="nil"/>
              <w:right w:val="nil"/>
            </w:tcBorders>
            <w:shd w:val="clear" w:color="auto" w:fill="auto"/>
            <w:noWrap/>
            <w:vAlign w:val="bottom"/>
            <w:hideMark/>
          </w:tcPr>
          <w:p w14:paraId="5834B2D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06" w:type="dxa"/>
            <w:tcBorders>
              <w:top w:val="nil"/>
              <w:left w:val="nil"/>
              <w:bottom w:val="nil"/>
              <w:right w:val="nil"/>
            </w:tcBorders>
            <w:shd w:val="clear" w:color="auto" w:fill="auto"/>
            <w:noWrap/>
            <w:vAlign w:val="bottom"/>
            <w:hideMark/>
          </w:tcPr>
          <w:p w14:paraId="78BCA85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83" w:type="dxa"/>
            <w:tcBorders>
              <w:top w:val="nil"/>
              <w:left w:val="nil"/>
              <w:bottom w:val="nil"/>
              <w:right w:val="nil"/>
            </w:tcBorders>
            <w:shd w:val="clear" w:color="auto" w:fill="auto"/>
            <w:noWrap/>
            <w:vAlign w:val="bottom"/>
            <w:hideMark/>
          </w:tcPr>
          <w:p w14:paraId="7893A03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756" w:type="dxa"/>
            <w:tcBorders>
              <w:top w:val="nil"/>
              <w:left w:val="nil"/>
              <w:bottom w:val="nil"/>
              <w:right w:val="nil"/>
            </w:tcBorders>
            <w:shd w:val="clear" w:color="auto" w:fill="auto"/>
            <w:noWrap/>
            <w:vAlign w:val="bottom"/>
            <w:hideMark/>
          </w:tcPr>
          <w:p w14:paraId="52776E0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90" w:type="dxa"/>
            <w:tcBorders>
              <w:top w:val="nil"/>
              <w:left w:val="nil"/>
              <w:bottom w:val="nil"/>
              <w:right w:val="nil"/>
            </w:tcBorders>
            <w:shd w:val="clear" w:color="auto" w:fill="auto"/>
            <w:noWrap/>
            <w:vAlign w:val="bottom"/>
            <w:hideMark/>
          </w:tcPr>
          <w:p w14:paraId="4AC4ADA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83" w:type="dxa"/>
            <w:tcBorders>
              <w:top w:val="nil"/>
              <w:left w:val="nil"/>
              <w:bottom w:val="nil"/>
              <w:right w:val="nil"/>
            </w:tcBorders>
            <w:shd w:val="clear" w:color="auto" w:fill="auto"/>
            <w:noWrap/>
            <w:vAlign w:val="bottom"/>
            <w:hideMark/>
          </w:tcPr>
          <w:p w14:paraId="7645BDF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06" w:type="dxa"/>
            <w:tcBorders>
              <w:top w:val="nil"/>
              <w:left w:val="nil"/>
              <w:bottom w:val="nil"/>
              <w:right w:val="nil"/>
            </w:tcBorders>
            <w:shd w:val="clear" w:color="auto" w:fill="auto"/>
            <w:noWrap/>
            <w:vAlign w:val="bottom"/>
            <w:hideMark/>
          </w:tcPr>
          <w:p w14:paraId="6C95D40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06" w:type="dxa"/>
            <w:tcBorders>
              <w:top w:val="nil"/>
              <w:left w:val="nil"/>
              <w:bottom w:val="nil"/>
              <w:right w:val="nil"/>
            </w:tcBorders>
            <w:shd w:val="clear" w:color="auto" w:fill="auto"/>
            <w:noWrap/>
            <w:vAlign w:val="bottom"/>
            <w:hideMark/>
          </w:tcPr>
          <w:p w14:paraId="4AF49B1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83" w:type="dxa"/>
            <w:tcBorders>
              <w:top w:val="nil"/>
              <w:left w:val="nil"/>
              <w:bottom w:val="nil"/>
              <w:right w:val="nil"/>
            </w:tcBorders>
            <w:shd w:val="clear" w:color="auto" w:fill="auto"/>
            <w:noWrap/>
            <w:vAlign w:val="bottom"/>
            <w:hideMark/>
          </w:tcPr>
          <w:p w14:paraId="24ED926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06" w:type="dxa"/>
            <w:tcBorders>
              <w:top w:val="nil"/>
              <w:left w:val="nil"/>
              <w:bottom w:val="nil"/>
              <w:right w:val="nil"/>
            </w:tcBorders>
            <w:shd w:val="clear" w:color="auto" w:fill="auto"/>
            <w:noWrap/>
            <w:vAlign w:val="bottom"/>
            <w:hideMark/>
          </w:tcPr>
          <w:p w14:paraId="491627E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83" w:type="dxa"/>
            <w:tcBorders>
              <w:top w:val="nil"/>
              <w:left w:val="nil"/>
              <w:bottom w:val="nil"/>
              <w:right w:val="nil"/>
            </w:tcBorders>
            <w:shd w:val="clear" w:color="auto" w:fill="auto"/>
            <w:noWrap/>
            <w:vAlign w:val="bottom"/>
            <w:hideMark/>
          </w:tcPr>
          <w:p w14:paraId="7204878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756" w:type="dxa"/>
            <w:tcBorders>
              <w:top w:val="nil"/>
              <w:left w:val="nil"/>
              <w:bottom w:val="nil"/>
              <w:right w:val="nil"/>
            </w:tcBorders>
            <w:shd w:val="clear" w:color="auto" w:fill="auto"/>
            <w:noWrap/>
            <w:vAlign w:val="bottom"/>
            <w:hideMark/>
          </w:tcPr>
          <w:p w14:paraId="32D0270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83" w:type="dxa"/>
            <w:tcBorders>
              <w:top w:val="nil"/>
              <w:left w:val="nil"/>
              <w:bottom w:val="nil"/>
              <w:right w:val="nil"/>
            </w:tcBorders>
            <w:shd w:val="clear" w:color="auto" w:fill="auto"/>
            <w:noWrap/>
            <w:vAlign w:val="bottom"/>
            <w:hideMark/>
          </w:tcPr>
          <w:p w14:paraId="767506A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95" w:type="dxa"/>
            <w:tcBorders>
              <w:top w:val="nil"/>
              <w:left w:val="nil"/>
              <w:bottom w:val="nil"/>
              <w:right w:val="nil"/>
            </w:tcBorders>
            <w:shd w:val="clear" w:color="auto" w:fill="auto"/>
            <w:noWrap/>
            <w:vAlign w:val="bottom"/>
            <w:hideMark/>
          </w:tcPr>
          <w:p w14:paraId="028C7AA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r>
      <w:tr w:rsidR="00634ABA" w:rsidRPr="00986F85" w14:paraId="449ADBA9" w14:textId="77777777" w:rsidTr="00634ABA">
        <w:trPr>
          <w:trHeight w:val="289"/>
        </w:trPr>
        <w:tc>
          <w:tcPr>
            <w:tcW w:w="434" w:type="dxa"/>
            <w:vMerge/>
            <w:tcBorders>
              <w:top w:val="nil"/>
              <w:left w:val="nil"/>
              <w:bottom w:val="nil"/>
              <w:right w:val="nil"/>
            </w:tcBorders>
            <w:vAlign w:val="center"/>
            <w:hideMark/>
          </w:tcPr>
          <w:p w14:paraId="72A09068" w14:textId="77777777" w:rsidR="00634ABA" w:rsidRPr="00986F85" w:rsidRDefault="00634ABA" w:rsidP="00476987">
            <w:pPr>
              <w:spacing w:after="0" w:line="240" w:lineRule="auto"/>
              <w:rPr>
                <w:rFonts w:eastAsia="Times New Roman"/>
                <w:color w:val="000000"/>
                <w:lang w:eastAsia="hu-HU"/>
              </w:rPr>
            </w:pPr>
          </w:p>
        </w:tc>
        <w:tc>
          <w:tcPr>
            <w:tcW w:w="1893" w:type="dxa"/>
            <w:tcBorders>
              <w:top w:val="nil"/>
              <w:left w:val="nil"/>
              <w:bottom w:val="nil"/>
              <w:right w:val="nil"/>
            </w:tcBorders>
            <w:shd w:val="clear" w:color="auto" w:fill="auto"/>
            <w:noWrap/>
            <w:vAlign w:val="bottom"/>
            <w:hideMark/>
          </w:tcPr>
          <w:p w14:paraId="14D0DEDE"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Egy foglalkoztatottra eső jegyzett tőke (%)</w:t>
            </w:r>
          </w:p>
        </w:tc>
        <w:tc>
          <w:tcPr>
            <w:tcW w:w="683" w:type="dxa"/>
            <w:tcBorders>
              <w:top w:val="nil"/>
              <w:left w:val="nil"/>
              <w:bottom w:val="nil"/>
              <w:right w:val="nil"/>
            </w:tcBorders>
            <w:shd w:val="clear" w:color="auto" w:fill="auto"/>
            <w:noWrap/>
            <w:vAlign w:val="bottom"/>
            <w:hideMark/>
          </w:tcPr>
          <w:p w14:paraId="2C02B28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06" w:type="dxa"/>
            <w:tcBorders>
              <w:top w:val="nil"/>
              <w:left w:val="nil"/>
              <w:bottom w:val="nil"/>
              <w:right w:val="nil"/>
            </w:tcBorders>
            <w:shd w:val="clear" w:color="auto" w:fill="auto"/>
            <w:noWrap/>
            <w:vAlign w:val="bottom"/>
            <w:hideMark/>
          </w:tcPr>
          <w:p w14:paraId="7E86E01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1.8</w:t>
            </w:r>
          </w:p>
        </w:tc>
        <w:tc>
          <w:tcPr>
            <w:tcW w:w="710" w:type="dxa"/>
            <w:tcBorders>
              <w:top w:val="nil"/>
              <w:left w:val="nil"/>
              <w:bottom w:val="nil"/>
              <w:right w:val="nil"/>
            </w:tcBorders>
            <w:shd w:val="clear" w:color="auto" w:fill="auto"/>
            <w:noWrap/>
            <w:vAlign w:val="bottom"/>
            <w:hideMark/>
          </w:tcPr>
          <w:p w14:paraId="1750D64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717" w:type="dxa"/>
            <w:tcBorders>
              <w:top w:val="nil"/>
              <w:left w:val="nil"/>
              <w:bottom w:val="nil"/>
              <w:right w:val="nil"/>
            </w:tcBorders>
            <w:shd w:val="clear" w:color="auto" w:fill="auto"/>
            <w:noWrap/>
            <w:vAlign w:val="bottom"/>
            <w:hideMark/>
          </w:tcPr>
          <w:p w14:paraId="1338897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06" w:type="dxa"/>
            <w:tcBorders>
              <w:top w:val="nil"/>
              <w:left w:val="nil"/>
              <w:bottom w:val="nil"/>
              <w:right w:val="nil"/>
            </w:tcBorders>
            <w:shd w:val="clear" w:color="auto" w:fill="auto"/>
            <w:noWrap/>
            <w:vAlign w:val="bottom"/>
            <w:hideMark/>
          </w:tcPr>
          <w:p w14:paraId="7AFDFB0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6.6</w:t>
            </w:r>
          </w:p>
        </w:tc>
        <w:tc>
          <w:tcPr>
            <w:tcW w:w="683" w:type="dxa"/>
            <w:tcBorders>
              <w:top w:val="nil"/>
              <w:left w:val="nil"/>
              <w:bottom w:val="nil"/>
              <w:right w:val="nil"/>
            </w:tcBorders>
            <w:shd w:val="clear" w:color="auto" w:fill="auto"/>
            <w:noWrap/>
            <w:vAlign w:val="bottom"/>
            <w:hideMark/>
          </w:tcPr>
          <w:p w14:paraId="7C95591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83" w:type="dxa"/>
            <w:tcBorders>
              <w:top w:val="nil"/>
              <w:left w:val="nil"/>
              <w:bottom w:val="nil"/>
              <w:right w:val="nil"/>
            </w:tcBorders>
            <w:shd w:val="clear" w:color="auto" w:fill="auto"/>
            <w:noWrap/>
            <w:vAlign w:val="bottom"/>
            <w:hideMark/>
          </w:tcPr>
          <w:p w14:paraId="0886F3A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06" w:type="dxa"/>
            <w:tcBorders>
              <w:top w:val="nil"/>
              <w:left w:val="nil"/>
              <w:bottom w:val="nil"/>
              <w:right w:val="nil"/>
            </w:tcBorders>
            <w:shd w:val="clear" w:color="auto" w:fill="auto"/>
            <w:noWrap/>
            <w:vAlign w:val="bottom"/>
            <w:hideMark/>
          </w:tcPr>
          <w:p w14:paraId="3C3E786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5.9</w:t>
            </w:r>
          </w:p>
        </w:tc>
        <w:tc>
          <w:tcPr>
            <w:tcW w:w="683" w:type="dxa"/>
            <w:tcBorders>
              <w:top w:val="nil"/>
              <w:left w:val="nil"/>
              <w:bottom w:val="nil"/>
              <w:right w:val="nil"/>
            </w:tcBorders>
            <w:shd w:val="clear" w:color="auto" w:fill="auto"/>
            <w:noWrap/>
            <w:vAlign w:val="bottom"/>
            <w:hideMark/>
          </w:tcPr>
          <w:p w14:paraId="439EEC3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756" w:type="dxa"/>
            <w:tcBorders>
              <w:top w:val="nil"/>
              <w:left w:val="nil"/>
              <w:bottom w:val="nil"/>
              <w:right w:val="nil"/>
            </w:tcBorders>
            <w:shd w:val="clear" w:color="auto" w:fill="auto"/>
            <w:noWrap/>
            <w:vAlign w:val="bottom"/>
            <w:hideMark/>
          </w:tcPr>
          <w:p w14:paraId="42D945D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16.7</w:t>
            </w:r>
          </w:p>
        </w:tc>
        <w:tc>
          <w:tcPr>
            <w:tcW w:w="690" w:type="dxa"/>
            <w:tcBorders>
              <w:top w:val="nil"/>
              <w:left w:val="nil"/>
              <w:bottom w:val="nil"/>
              <w:right w:val="nil"/>
            </w:tcBorders>
            <w:shd w:val="clear" w:color="auto" w:fill="auto"/>
            <w:noWrap/>
            <w:vAlign w:val="bottom"/>
            <w:hideMark/>
          </w:tcPr>
          <w:p w14:paraId="2459EC2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83" w:type="dxa"/>
            <w:tcBorders>
              <w:top w:val="nil"/>
              <w:left w:val="nil"/>
              <w:bottom w:val="nil"/>
              <w:right w:val="nil"/>
            </w:tcBorders>
            <w:shd w:val="clear" w:color="auto" w:fill="auto"/>
            <w:noWrap/>
            <w:vAlign w:val="bottom"/>
            <w:hideMark/>
          </w:tcPr>
          <w:p w14:paraId="28C4745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06" w:type="dxa"/>
            <w:tcBorders>
              <w:top w:val="nil"/>
              <w:left w:val="nil"/>
              <w:bottom w:val="nil"/>
              <w:right w:val="nil"/>
            </w:tcBorders>
            <w:shd w:val="clear" w:color="auto" w:fill="auto"/>
            <w:noWrap/>
            <w:vAlign w:val="bottom"/>
            <w:hideMark/>
          </w:tcPr>
          <w:p w14:paraId="13B0435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06" w:type="dxa"/>
            <w:tcBorders>
              <w:top w:val="nil"/>
              <w:left w:val="nil"/>
              <w:bottom w:val="nil"/>
              <w:right w:val="nil"/>
            </w:tcBorders>
            <w:shd w:val="clear" w:color="auto" w:fill="auto"/>
            <w:noWrap/>
            <w:vAlign w:val="bottom"/>
            <w:hideMark/>
          </w:tcPr>
          <w:p w14:paraId="6C132AC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83" w:type="dxa"/>
            <w:tcBorders>
              <w:top w:val="nil"/>
              <w:left w:val="nil"/>
              <w:bottom w:val="nil"/>
              <w:right w:val="nil"/>
            </w:tcBorders>
            <w:shd w:val="clear" w:color="auto" w:fill="auto"/>
            <w:noWrap/>
            <w:vAlign w:val="bottom"/>
            <w:hideMark/>
          </w:tcPr>
          <w:p w14:paraId="365C0E0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06" w:type="dxa"/>
            <w:tcBorders>
              <w:top w:val="nil"/>
              <w:left w:val="nil"/>
              <w:bottom w:val="nil"/>
              <w:right w:val="nil"/>
            </w:tcBorders>
            <w:shd w:val="clear" w:color="auto" w:fill="auto"/>
            <w:noWrap/>
            <w:vAlign w:val="bottom"/>
            <w:hideMark/>
          </w:tcPr>
          <w:p w14:paraId="0492C2D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83" w:type="dxa"/>
            <w:tcBorders>
              <w:top w:val="nil"/>
              <w:left w:val="nil"/>
              <w:bottom w:val="nil"/>
              <w:right w:val="nil"/>
            </w:tcBorders>
            <w:shd w:val="clear" w:color="auto" w:fill="auto"/>
            <w:noWrap/>
            <w:vAlign w:val="bottom"/>
            <w:hideMark/>
          </w:tcPr>
          <w:p w14:paraId="0D49709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3.7</w:t>
            </w:r>
          </w:p>
        </w:tc>
        <w:tc>
          <w:tcPr>
            <w:tcW w:w="756" w:type="dxa"/>
            <w:tcBorders>
              <w:top w:val="nil"/>
              <w:left w:val="nil"/>
              <w:bottom w:val="nil"/>
              <w:right w:val="nil"/>
            </w:tcBorders>
            <w:shd w:val="clear" w:color="auto" w:fill="auto"/>
            <w:noWrap/>
            <w:vAlign w:val="bottom"/>
            <w:hideMark/>
          </w:tcPr>
          <w:p w14:paraId="557163C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1.1</w:t>
            </w:r>
          </w:p>
        </w:tc>
        <w:tc>
          <w:tcPr>
            <w:tcW w:w="683" w:type="dxa"/>
            <w:tcBorders>
              <w:top w:val="nil"/>
              <w:left w:val="nil"/>
              <w:bottom w:val="nil"/>
              <w:right w:val="nil"/>
            </w:tcBorders>
            <w:shd w:val="clear" w:color="auto" w:fill="auto"/>
            <w:noWrap/>
            <w:vAlign w:val="bottom"/>
            <w:hideMark/>
          </w:tcPr>
          <w:p w14:paraId="7A0E1DC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95" w:type="dxa"/>
            <w:tcBorders>
              <w:top w:val="nil"/>
              <w:left w:val="nil"/>
              <w:bottom w:val="nil"/>
              <w:right w:val="nil"/>
            </w:tcBorders>
            <w:shd w:val="clear" w:color="auto" w:fill="auto"/>
            <w:noWrap/>
            <w:vAlign w:val="bottom"/>
            <w:hideMark/>
          </w:tcPr>
          <w:p w14:paraId="0A99AD5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r>
      <w:tr w:rsidR="00634ABA" w:rsidRPr="00986F85" w14:paraId="4FB50EE3" w14:textId="77777777" w:rsidTr="00634ABA">
        <w:trPr>
          <w:trHeight w:val="289"/>
        </w:trPr>
        <w:tc>
          <w:tcPr>
            <w:tcW w:w="434" w:type="dxa"/>
            <w:vMerge/>
            <w:tcBorders>
              <w:top w:val="nil"/>
              <w:left w:val="nil"/>
              <w:bottom w:val="nil"/>
              <w:right w:val="nil"/>
            </w:tcBorders>
            <w:vAlign w:val="center"/>
            <w:hideMark/>
          </w:tcPr>
          <w:p w14:paraId="03E9B711" w14:textId="77777777" w:rsidR="00634ABA" w:rsidRPr="00986F85" w:rsidRDefault="00634ABA" w:rsidP="00476987">
            <w:pPr>
              <w:spacing w:after="0" w:line="240" w:lineRule="auto"/>
              <w:rPr>
                <w:rFonts w:eastAsia="Times New Roman"/>
                <w:color w:val="000000"/>
                <w:lang w:eastAsia="hu-HU"/>
              </w:rPr>
            </w:pPr>
          </w:p>
        </w:tc>
        <w:tc>
          <w:tcPr>
            <w:tcW w:w="1893" w:type="dxa"/>
            <w:tcBorders>
              <w:top w:val="nil"/>
              <w:left w:val="nil"/>
              <w:bottom w:val="nil"/>
              <w:right w:val="nil"/>
            </w:tcBorders>
            <w:shd w:val="clear" w:color="auto" w:fill="auto"/>
            <w:noWrap/>
            <w:vAlign w:val="bottom"/>
            <w:hideMark/>
          </w:tcPr>
          <w:p w14:paraId="3820C465"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Likviditás</w:t>
            </w:r>
          </w:p>
        </w:tc>
        <w:tc>
          <w:tcPr>
            <w:tcW w:w="683" w:type="dxa"/>
            <w:tcBorders>
              <w:top w:val="nil"/>
              <w:left w:val="nil"/>
              <w:bottom w:val="nil"/>
              <w:right w:val="nil"/>
            </w:tcBorders>
            <w:shd w:val="clear" w:color="auto" w:fill="auto"/>
            <w:noWrap/>
            <w:vAlign w:val="bottom"/>
            <w:hideMark/>
          </w:tcPr>
          <w:p w14:paraId="5C1B198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0.9</w:t>
            </w:r>
          </w:p>
        </w:tc>
        <w:tc>
          <w:tcPr>
            <w:tcW w:w="806" w:type="dxa"/>
            <w:tcBorders>
              <w:top w:val="nil"/>
              <w:left w:val="nil"/>
              <w:bottom w:val="nil"/>
              <w:right w:val="nil"/>
            </w:tcBorders>
            <w:shd w:val="clear" w:color="auto" w:fill="auto"/>
            <w:noWrap/>
            <w:vAlign w:val="bottom"/>
            <w:hideMark/>
          </w:tcPr>
          <w:p w14:paraId="16AF2AC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0.2</w:t>
            </w:r>
          </w:p>
        </w:tc>
        <w:tc>
          <w:tcPr>
            <w:tcW w:w="710" w:type="dxa"/>
            <w:tcBorders>
              <w:top w:val="nil"/>
              <w:left w:val="nil"/>
              <w:bottom w:val="nil"/>
              <w:right w:val="nil"/>
            </w:tcBorders>
            <w:shd w:val="clear" w:color="auto" w:fill="auto"/>
            <w:noWrap/>
            <w:vAlign w:val="bottom"/>
            <w:hideMark/>
          </w:tcPr>
          <w:p w14:paraId="5909133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1.1</w:t>
            </w:r>
          </w:p>
        </w:tc>
        <w:tc>
          <w:tcPr>
            <w:tcW w:w="717" w:type="dxa"/>
            <w:tcBorders>
              <w:top w:val="nil"/>
              <w:left w:val="nil"/>
              <w:bottom w:val="nil"/>
              <w:right w:val="nil"/>
            </w:tcBorders>
            <w:shd w:val="clear" w:color="auto" w:fill="auto"/>
            <w:noWrap/>
            <w:vAlign w:val="bottom"/>
            <w:hideMark/>
          </w:tcPr>
          <w:p w14:paraId="4C33400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3.6</w:t>
            </w:r>
          </w:p>
        </w:tc>
        <w:tc>
          <w:tcPr>
            <w:tcW w:w="806" w:type="dxa"/>
            <w:tcBorders>
              <w:top w:val="nil"/>
              <w:left w:val="nil"/>
              <w:bottom w:val="nil"/>
              <w:right w:val="nil"/>
            </w:tcBorders>
            <w:shd w:val="clear" w:color="auto" w:fill="auto"/>
            <w:noWrap/>
            <w:vAlign w:val="bottom"/>
            <w:hideMark/>
          </w:tcPr>
          <w:p w14:paraId="652B5F7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3.8</w:t>
            </w:r>
          </w:p>
        </w:tc>
        <w:tc>
          <w:tcPr>
            <w:tcW w:w="683" w:type="dxa"/>
            <w:tcBorders>
              <w:top w:val="nil"/>
              <w:left w:val="nil"/>
              <w:bottom w:val="nil"/>
              <w:right w:val="nil"/>
            </w:tcBorders>
            <w:shd w:val="clear" w:color="auto" w:fill="auto"/>
            <w:noWrap/>
            <w:vAlign w:val="bottom"/>
            <w:hideMark/>
          </w:tcPr>
          <w:p w14:paraId="4BF986A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11.8</w:t>
            </w:r>
          </w:p>
        </w:tc>
        <w:tc>
          <w:tcPr>
            <w:tcW w:w="683" w:type="dxa"/>
            <w:tcBorders>
              <w:top w:val="nil"/>
              <w:left w:val="nil"/>
              <w:bottom w:val="nil"/>
              <w:right w:val="nil"/>
            </w:tcBorders>
            <w:shd w:val="clear" w:color="auto" w:fill="auto"/>
            <w:noWrap/>
            <w:vAlign w:val="bottom"/>
            <w:hideMark/>
          </w:tcPr>
          <w:p w14:paraId="3EAED61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3.3</w:t>
            </w:r>
          </w:p>
        </w:tc>
        <w:tc>
          <w:tcPr>
            <w:tcW w:w="806" w:type="dxa"/>
            <w:tcBorders>
              <w:top w:val="nil"/>
              <w:left w:val="nil"/>
              <w:bottom w:val="nil"/>
              <w:right w:val="nil"/>
            </w:tcBorders>
            <w:shd w:val="clear" w:color="auto" w:fill="auto"/>
            <w:noWrap/>
            <w:vAlign w:val="bottom"/>
            <w:hideMark/>
          </w:tcPr>
          <w:p w14:paraId="5458C12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0.7</w:t>
            </w:r>
          </w:p>
        </w:tc>
        <w:tc>
          <w:tcPr>
            <w:tcW w:w="683" w:type="dxa"/>
            <w:tcBorders>
              <w:top w:val="nil"/>
              <w:left w:val="nil"/>
              <w:bottom w:val="nil"/>
              <w:right w:val="nil"/>
            </w:tcBorders>
            <w:shd w:val="clear" w:color="auto" w:fill="auto"/>
            <w:noWrap/>
            <w:vAlign w:val="bottom"/>
            <w:hideMark/>
          </w:tcPr>
          <w:p w14:paraId="6BF7760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2.4</w:t>
            </w:r>
          </w:p>
        </w:tc>
        <w:tc>
          <w:tcPr>
            <w:tcW w:w="756" w:type="dxa"/>
            <w:tcBorders>
              <w:top w:val="nil"/>
              <w:left w:val="nil"/>
              <w:bottom w:val="nil"/>
              <w:right w:val="nil"/>
            </w:tcBorders>
            <w:shd w:val="clear" w:color="auto" w:fill="auto"/>
            <w:noWrap/>
            <w:vAlign w:val="bottom"/>
            <w:hideMark/>
          </w:tcPr>
          <w:p w14:paraId="0F77912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3.5</w:t>
            </w:r>
          </w:p>
        </w:tc>
        <w:tc>
          <w:tcPr>
            <w:tcW w:w="690" w:type="dxa"/>
            <w:tcBorders>
              <w:top w:val="nil"/>
              <w:left w:val="nil"/>
              <w:bottom w:val="nil"/>
              <w:right w:val="nil"/>
            </w:tcBorders>
            <w:shd w:val="clear" w:color="auto" w:fill="auto"/>
            <w:noWrap/>
            <w:vAlign w:val="bottom"/>
            <w:hideMark/>
          </w:tcPr>
          <w:p w14:paraId="79078DC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2.2</w:t>
            </w:r>
          </w:p>
        </w:tc>
        <w:tc>
          <w:tcPr>
            <w:tcW w:w="683" w:type="dxa"/>
            <w:tcBorders>
              <w:top w:val="nil"/>
              <w:left w:val="nil"/>
              <w:bottom w:val="nil"/>
              <w:right w:val="nil"/>
            </w:tcBorders>
            <w:shd w:val="clear" w:color="auto" w:fill="auto"/>
            <w:noWrap/>
            <w:vAlign w:val="bottom"/>
            <w:hideMark/>
          </w:tcPr>
          <w:p w14:paraId="31D80A7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13.2</w:t>
            </w:r>
          </w:p>
        </w:tc>
        <w:tc>
          <w:tcPr>
            <w:tcW w:w="806" w:type="dxa"/>
            <w:tcBorders>
              <w:top w:val="nil"/>
              <w:left w:val="nil"/>
              <w:bottom w:val="nil"/>
              <w:right w:val="nil"/>
            </w:tcBorders>
            <w:shd w:val="clear" w:color="auto" w:fill="auto"/>
            <w:noWrap/>
            <w:vAlign w:val="bottom"/>
            <w:hideMark/>
          </w:tcPr>
          <w:p w14:paraId="4816C0D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0.4</w:t>
            </w:r>
          </w:p>
        </w:tc>
        <w:tc>
          <w:tcPr>
            <w:tcW w:w="806" w:type="dxa"/>
            <w:tcBorders>
              <w:top w:val="nil"/>
              <w:left w:val="nil"/>
              <w:bottom w:val="nil"/>
              <w:right w:val="nil"/>
            </w:tcBorders>
            <w:shd w:val="clear" w:color="auto" w:fill="auto"/>
            <w:noWrap/>
            <w:vAlign w:val="bottom"/>
            <w:hideMark/>
          </w:tcPr>
          <w:p w14:paraId="2BF1B04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-0.2</w:t>
            </w:r>
          </w:p>
        </w:tc>
        <w:tc>
          <w:tcPr>
            <w:tcW w:w="683" w:type="dxa"/>
            <w:tcBorders>
              <w:top w:val="nil"/>
              <w:left w:val="nil"/>
              <w:bottom w:val="nil"/>
              <w:right w:val="nil"/>
            </w:tcBorders>
            <w:shd w:val="clear" w:color="auto" w:fill="auto"/>
            <w:noWrap/>
            <w:vAlign w:val="bottom"/>
            <w:hideMark/>
          </w:tcPr>
          <w:p w14:paraId="7203A2E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2.7</w:t>
            </w:r>
          </w:p>
        </w:tc>
        <w:tc>
          <w:tcPr>
            <w:tcW w:w="806" w:type="dxa"/>
            <w:tcBorders>
              <w:top w:val="nil"/>
              <w:left w:val="nil"/>
              <w:bottom w:val="nil"/>
              <w:right w:val="nil"/>
            </w:tcBorders>
            <w:shd w:val="clear" w:color="auto" w:fill="auto"/>
            <w:noWrap/>
            <w:vAlign w:val="bottom"/>
            <w:hideMark/>
          </w:tcPr>
          <w:p w14:paraId="108C4F7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-3.6</w:t>
            </w:r>
          </w:p>
        </w:tc>
        <w:tc>
          <w:tcPr>
            <w:tcW w:w="683" w:type="dxa"/>
            <w:tcBorders>
              <w:top w:val="nil"/>
              <w:left w:val="nil"/>
              <w:bottom w:val="nil"/>
              <w:right w:val="nil"/>
            </w:tcBorders>
            <w:shd w:val="clear" w:color="auto" w:fill="auto"/>
            <w:noWrap/>
            <w:vAlign w:val="bottom"/>
            <w:hideMark/>
          </w:tcPr>
          <w:p w14:paraId="71D1EEE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5.9</w:t>
            </w:r>
          </w:p>
        </w:tc>
        <w:tc>
          <w:tcPr>
            <w:tcW w:w="756" w:type="dxa"/>
            <w:tcBorders>
              <w:top w:val="nil"/>
              <w:left w:val="nil"/>
              <w:bottom w:val="nil"/>
              <w:right w:val="nil"/>
            </w:tcBorders>
            <w:shd w:val="clear" w:color="auto" w:fill="auto"/>
            <w:noWrap/>
            <w:vAlign w:val="bottom"/>
            <w:hideMark/>
          </w:tcPr>
          <w:p w14:paraId="1DC82B1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4.3</w:t>
            </w:r>
          </w:p>
        </w:tc>
        <w:tc>
          <w:tcPr>
            <w:tcW w:w="683" w:type="dxa"/>
            <w:tcBorders>
              <w:top w:val="nil"/>
              <w:left w:val="nil"/>
              <w:bottom w:val="nil"/>
              <w:right w:val="nil"/>
            </w:tcBorders>
            <w:shd w:val="clear" w:color="auto" w:fill="auto"/>
            <w:noWrap/>
            <w:vAlign w:val="bottom"/>
            <w:hideMark/>
          </w:tcPr>
          <w:p w14:paraId="2329799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1.5</w:t>
            </w:r>
          </w:p>
        </w:tc>
        <w:tc>
          <w:tcPr>
            <w:tcW w:w="695" w:type="dxa"/>
            <w:tcBorders>
              <w:top w:val="nil"/>
              <w:left w:val="nil"/>
              <w:bottom w:val="nil"/>
              <w:right w:val="nil"/>
            </w:tcBorders>
            <w:shd w:val="clear" w:color="auto" w:fill="auto"/>
            <w:noWrap/>
            <w:vAlign w:val="bottom"/>
            <w:hideMark/>
          </w:tcPr>
          <w:p w14:paraId="092AF2E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2.7</w:t>
            </w:r>
          </w:p>
        </w:tc>
      </w:tr>
      <w:tr w:rsidR="00634ABA" w:rsidRPr="00986F85" w14:paraId="2CC4F5EC" w14:textId="77777777" w:rsidTr="00634ABA">
        <w:trPr>
          <w:trHeight w:val="289"/>
        </w:trPr>
        <w:tc>
          <w:tcPr>
            <w:tcW w:w="434" w:type="dxa"/>
            <w:vMerge/>
            <w:tcBorders>
              <w:top w:val="nil"/>
              <w:left w:val="nil"/>
              <w:bottom w:val="nil"/>
              <w:right w:val="nil"/>
            </w:tcBorders>
            <w:vAlign w:val="center"/>
            <w:hideMark/>
          </w:tcPr>
          <w:p w14:paraId="7008F02E" w14:textId="77777777" w:rsidR="00634ABA" w:rsidRPr="00986F85" w:rsidRDefault="00634ABA" w:rsidP="00476987">
            <w:pPr>
              <w:spacing w:after="0" w:line="240" w:lineRule="auto"/>
              <w:rPr>
                <w:rFonts w:eastAsia="Times New Roman"/>
                <w:color w:val="000000"/>
                <w:lang w:eastAsia="hu-HU"/>
              </w:rPr>
            </w:pPr>
          </w:p>
        </w:tc>
        <w:tc>
          <w:tcPr>
            <w:tcW w:w="1893" w:type="dxa"/>
            <w:tcBorders>
              <w:top w:val="nil"/>
              <w:left w:val="nil"/>
              <w:bottom w:val="nil"/>
              <w:right w:val="nil"/>
            </w:tcBorders>
            <w:shd w:val="clear" w:color="auto" w:fill="auto"/>
            <w:noWrap/>
            <w:vAlign w:val="bottom"/>
            <w:hideMark/>
          </w:tcPr>
          <w:p w14:paraId="21F30D1F"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Üzemi eredmény</w:t>
            </w:r>
          </w:p>
        </w:tc>
        <w:tc>
          <w:tcPr>
            <w:tcW w:w="683" w:type="dxa"/>
            <w:tcBorders>
              <w:top w:val="nil"/>
              <w:left w:val="nil"/>
              <w:bottom w:val="nil"/>
              <w:right w:val="nil"/>
            </w:tcBorders>
            <w:shd w:val="clear" w:color="auto" w:fill="auto"/>
            <w:noWrap/>
            <w:vAlign w:val="bottom"/>
            <w:hideMark/>
          </w:tcPr>
          <w:p w14:paraId="044B343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-353</w:t>
            </w:r>
          </w:p>
        </w:tc>
        <w:tc>
          <w:tcPr>
            <w:tcW w:w="806" w:type="dxa"/>
            <w:tcBorders>
              <w:top w:val="nil"/>
              <w:left w:val="nil"/>
              <w:bottom w:val="nil"/>
              <w:right w:val="nil"/>
            </w:tcBorders>
            <w:shd w:val="clear" w:color="auto" w:fill="auto"/>
            <w:noWrap/>
            <w:vAlign w:val="bottom"/>
            <w:hideMark/>
          </w:tcPr>
          <w:p w14:paraId="541E95D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-7389.5</w:t>
            </w:r>
          </w:p>
        </w:tc>
        <w:tc>
          <w:tcPr>
            <w:tcW w:w="710" w:type="dxa"/>
            <w:tcBorders>
              <w:top w:val="nil"/>
              <w:left w:val="nil"/>
              <w:bottom w:val="nil"/>
              <w:right w:val="nil"/>
            </w:tcBorders>
            <w:shd w:val="clear" w:color="auto" w:fill="auto"/>
            <w:noWrap/>
            <w:vAlign w:val="bottom"/>
            <w:hideMark/>
          </w:tcPr>
          <w:p w14:paraId="346748F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w:t>
            </w:r>
          </w:p>
        </w:tc>
        <w:tc>
          <w:tcPr>
            <w:tcW w:w="717" w:type="dxa"/>
            <w:tcBorders>
              <w:top w:val="nil"/>
              <w:left w:val="nil"/>
              <w:bottom w:val="nil"/>
              <w:right w:val="nil"/>
            </w:tcBorders>
            <w:shd w:val="clear" w:color="auto" w:fill="auto"/>
            <w:noWrap/>
            <w:vAlign w:val="bottom"/>
            <w:hideMark/>
          </w:tcPr>
          <w:p w14:paraId="7967599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-512</w:t>
            </w:r>
          </w:p>
        </w:tc>
        <w:tc>
          <w:tcPr>
            <w:tcW w:w="806" w:type="dxa"/>
            <w:tcBorders>
              <w:top w:val="nil"/>
              <w:left w:val="nil"/>
              <w:bottom w:val="nil"/>
              <w:right w:val="nil"/>
            </w:tcBorders>
            <w:shd w:val="clear" w:color="auto" w:fill="auto"/>
            <w:noWrap/>
            <w:vAlign w:val="bottom"/>
            <w:hideMark/>
          </w:tcPr>
          <w:p w14:paraId="0CE3D2B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-507</w:t>
            </w:r>
          </w:p>
        </w:tc>
        <w:tc>
          <w:tcPr>
            <w:tcW w:w="683" w:type="dxa"/>
            <w:tcBorders>
              <w:top w:val="nil"/>
              <w:left w:val="nil"/>
              <w:bottom w:val="nil"/>
              <w:right w:val="nil"/>
            </w:tcBorders>
            <w:shd w:val="clear" w:color="auto" w:fill="auto"/>
            <w:noWrap/>
            <w:vAlign w:val="bottom"/>
            <w:hideMark/>
          </w:tcPr>
          <w:p w14:paraId="1B18660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-167</w:t>
            </w:r>
          </w:p>
        </w:tc>
        <w:tc>
          <w:tcPr>
            <w:tcW w:w="683" w:type="dxa"/>
            <w:tcBorders>
              <w:top w:val="nil"/>
              <w:left w:val="nil"/>
              <w:bottom w:val="nil"/>
              <w:right w:val="nil"/>
            </w:tcBorders>
            <w:shd w:val="clear" w:color="auto" w:fill="auto"/>
            <w:noWrap/>
            <w:vAlign w:val="bottom"/>
            <w:hideMark/>
          </w:tcPr>
          <w:p w14:paraId="120E7AA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-723</w:t>
            </w:r>
          </w:p>
        </w:tc>
        <w:tc>
          <w:tcPr>
            <w:tcW w:w="806" w:type="dxa"/>
            <w:tcBorders>
              <w:top w:val="nil"/>
              <w:left w:val="nil"/>
              <w:bottom w:val="nil"/>
              <w:right w:val="nil"/>
            </w:tcBorders>
            <w:shd w:val="clear" w:color="auto" w:fill="auto"/>
            <w:noWrap/>
            <w:vAlign w:val="bottom"/>
            <w:hideMark/>
          </w:tcPr>
          <w:p w14:paraId="5083176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-583</w:t>
            </w:r>
          </w:p>
        </w:tc>
        <w:tc>
          <w:tcPr>
            <w:tcW w:w="683" w:type="dxa"/>
            <w:tcBorders>
              <w:top w:val="nil"/>
              <w:left w:val="nil"/>
              <w:bottom w:val="nil"/>
              <w:right w:val="nil"/>
            </w:tcBorders>
            <w:shd w:val="clear" w:color="auto" w:fill="auto"/>
            <w:noWrap/>
            <w:vAlign w:val="bottom"/>
            <w:hideMark/>
          </w:tcPr>
          <w:p w14:paraId="50269F7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-1023</w:t>
            </w:r>
          </w:p>
        </w:tc>
        <w:tc>
          <w:tcPr>
            <w:tcW w:w="756" w:type="dxa"/>
            <w:tcBorders>
              <w:top w:val="nil"/>
              <w:left w:val="nil"/>
              <w:bottom w:val="nil"/>
              <w:right w:val="nil"/>
            </w:tcBorders>
            <w:shd w:val="clear" w:color="auto" w:fill="auto"/>
            <w:noWrap/>
            <w:vAlign w:val="bottom"/>
            <w:hideMark/>
          </w:tcPr>
          <w:p w14:paraId="74C1780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-11097</w:t>
            </w:r>
          </w:p>
        </w:tc>
        <w:tc>
          <w:tcPr>
            <w:tcW w:w="690" w:type="dxa"/>
            <w:tcBorders>
              <w:top w:val="nil"/>
              <w:left w:val="nil"/>
              <w:bottom w:val="nil"/>
              <w:right w:val="nil"/>
            </w:tcBorders>
            <w:shd w:val="clear" w:color="auto" w:fill="auto"/>
            <w:noWrap/>
            <w:vAlign w:val="bottom"/>
            <w:hideMark/>
          </w:tcPr>
          <w:p w14:paraId="3D262A1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-5257</w:t>
            </w:r>
          </w:p>
        </w:tc>
        <w:tc>
          <w:tcPr>
            <w:tcW w:w="683" w:type="dxa"/>
            <w:tcBorders>
              <w:top w:val="nil"/>
              <w:left w:val="nil"/>
              <w:bottom w:val="nil"/>
              <w:right w:val="nil"/>
            </w:tcBorders>
            <w:shd w:val="clear" w:color="auto" w:fill="auto"/>
            <w:noWrap/>
            <w:vAlign w:val="bottom"/>
            <w:hideMark/>
          </w:tcPr>
          <w:p w14:paraId="7C2978E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-1273</w:t>
            </w:r>
          </w:p>
        </w:tc>
        <w:tc>
          <w:tcPr>
            <w:tcW w:w="806" w:type="dxa"/>
            <w:tcBorders>
              <w:top w:val="nil"/>
              <w:left w:val="nil"/>
              <w:bottom w:val="nil"/>
              <w:right w:val="nil"/>
            </w:tcBorders>
            <w:shd w:val="clear" w:color="auto" w:fill="auto"/>
            <w:noWrap/>
            <w:vAlign w:val="bottom"/>
            <w:hideMark/>
          </w:tcPr>
          <w:p w14:paraId="5E108A9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-262.5</w:t>
            </w:r>
          </w:p>
        </w:tc>
        <w:tc>
          <w:tcPr>
            <w:tcW w:w="806" w:type="dxa"/>
            <w:tcBorders>
              <w:top w:val="nil"/>
              <w:left w:val="nil"/>
              <w:bottom w:val="nil"/>
              <w:right w:val="nil"/>
            </w:tcBorders>
            <w:shd w:val="clear" w:color="auto" w:fill="auto"/>
            <w:noWrap/>
            <w:vAlign w:val="bottom"/>
            <w:hideMark/>
          </w:tcPr>
          <w:p w14:paraId="3BA0A35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-1717</w:t>
            </w:r>
          </w:p>
        </w:tc>
        <w:tc>
          <w:tcPr>
            <w:tcW w:w="683" w:type="dxa"/>
            <w:tcBorders>
              <w:top w:val="nil"/>
              <w:left w:val="nil"/>
              <w:bottom w:val="nil"/>
              <w:right w:val="nil"/>
            </w:tcBorders>
            <w:shd w:val="clear" w:color="auto" w:fill="auto"/>
            <w:noWrap/>
            <w:vAlign w:val="bottom"/>
            <w:hideMark/>
          </w:tcPr>
          <w:p w14:paraId="1CA6D8B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-539</w:t>
            </w:r>
          </w:p>
        </w:tc>
        <w:tc>
          <w:tcPr>
            <w:tcW w:w="806" w:type="dxa"/>
            <w:tcBorders>
              <w:top w:val="nil"/>
              <w:left w:val="nil"/>
              <w:bottom w:val="nil"/>
              <w:right w:val="nil"/>
            </w:tcBorders>
            <w:shd w:val="clear" w:color="auto" w:fill="auto"/>
            <w:noWrap/>
            <w:vAlign w:val="bottom"/>
            <w:hideMark/>
          </w:tcPr>
          <w:p w14:paraId="47D56A8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-421</w:t>
            </w:r>
          </w:p>
        </w:tc>
        <w:tc>
          <w:tcPr>
            <w:tcW w:w="683" w:type="dxa"/>
            <w:tcBorders>
              <w:top w:val="nil"/>
              <w:left w:val="nil"/>
              <w:bottom w:val="nil"/>
              <w:right w:val="nil"/>
            </w:tcBorders>
            <w:shd w:val="clear" w:color="auto" w:fill="auto"/>
            <w:noWrap/>
            <w:vAlign w:val="bottom"/>
            <w:hideMark/>
          </w:tcPr>
          <w:p w14:paraId="6163B84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-311</w:t>
            </w:r>
          </w:p>
        </w:tc>
        <w:tc>
          <w:tcPr>
            <w:tcW w:w="756" w:type="dxa"/>
            <w:tcBorders>
              <w:top w:val="nil"/>
              <w:left w:val="nil"/>
              <w:bottom w:val="nil"/>
              <w:right w:val="nil"/>
            </w:tcBorders>
            <w:shd w:val="clear" w:color="auto" w:fill="auto"/>
            <w:noWrap/>
            <w:vAlign w:val="bottom"/>
            <w:hideMark/>
          </w:tcPr>
          <w:p w14:paraId="49A10E0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14997</w:t>
            </w:r>
          </w:p>
        </w:tc>
        <w:tc>
          <w:tcPr>
            <w:tcW w:w="683" w:type="dxa"/>
            <w:tcBorders>
              <w:top w:val="nil"/>
              <w:left w:val="nil"/>
              <w:bottom w:val="nil"/>
              <w:right w:val="nil"/>
            </w:tcBorders>
            <w:shd w:val="clear" w:color="auto" w:fill="auto"/>
            <w:noWrap/>
            <w:vAlign w:val="bottom"/>
            <w:hideMark/>
          </w:tcPr>
          <w:p w14:paraId="42A2F52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-19.5</w:t>
            </w:r>
          </w:p>
        </w:tc>
        <w:tc>
          <w:tcPr>
            <w:tcW w:w="695" w:type="dxa"/>
            <w:tcBorders>
              <w:top w:val="nil"/>
              <w:left w:val="nil"/>
              <w:bottom w:val="nil"/>
              <w:right w:val="nil"/>
            </w:tcBorders>
            <w:shd w:val="clear" w:color="auto" w:fill="auto"/>
            <w:noWrap/>
            <w:vAlign w:val="bottom"/>
            <w:hideMark/>
          </w:tcPr>
          <w:p w14:paraId="00A3F39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-678</w:t>
            </w:r>
          </w:p>
        </w:tc>
      </w:tr>
      <w:tr w:rsidR="00634ABA" w:rsidRPr="00986F85" w14:paraId="4E151B2D" w14:textId="77777777" w:rsidTr="00634ABA">
        <w:trPr>
          <w:trHeight w:val="289"/>
        </w:trPr>
        <w:tc>
          <w:tcPr>
            <w:tcW w:w="434" w:type="dxa"/>
            <w:vMerge/>
            <w:tcBorders>
              <w:top w:val="nil"/>
              <w:left w:val="nil"/>
              <w:bottom w:val="nil"/>
              <w:right w:val="nil"/>
            </w:tcBorders>
            <w:vAlign w:val="center"/>
            <w:hideMark/>
          </w:tcPr>
          <w:p w14:paraId="1B1B2133" w14:textId="77777777" w:rsidR="00634ABA" w:rsidRPr="00986F85" w:rsidRDefault="00634ABA" w:rsidP="00476987">
            <w:pPr>
              <w:spacing w:after="0" w:line="240" w:lineRule="auto"/>
              <w:rPr>
                <w:rFonts w:eastAsia="Times New Roman"/>
                <w:color w:val="000000"/>
                <w:lang w:eastAsia="hu-HU"/>
              </w:rPr>
            </w:pPr>
          </w:p>
        </w:tc>
        <w:tc>
          <w:tcPr>
            <w:tcW w:w="1893" w:type="dxa"/>
            <w:tcBorders>
              <w:top w:val="nil"/>
              <w:left w:val="nil"/>
              <w:bottom w:val="nil"/>
              <w:right w:val="nil"/>
            </w:tcBorders>
            <w:shd w:val="clear" w:color="auto" w:fill="auto"/>
            <w:noWrap/>
            <w:vAlign w:val="bottom"/>
            <w:hideMark/>
          </w:tcPr>
          <w:p w14:paraId="7AD564EC"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xml:space="preserve">Egy </w:t>
            </w:r>
            <w:r w:rsidRPr="00986F85">
              <w:rPr>
                <w:rFonts w:eastAsia="Times New Roman"/>
                <w:color w:val="000000"/>
                <w:lang w:eastAsia="hu-HU"/>
              </w:rPr>
              <w:lastRenderedPageBreak/>
              <w:t>foglalkoztatottra eső üzemi eredmény</w:t>
            </w:r>
          </w:p>
        </w:tc>
        <w:tc>
          <w:tcPr>
            <w:tcW w:w="683" w:type="dxa"/>
            <w:tcBorders>
              <w:top w:val="nil"/>
              <w:left w:val="nil"/>
              <w:bottom w:val="nil"/>
              <w:right w:val="nil"/>
            </w:tcBorders>
            <w:shd w:val="clear" w:color="auto" w:fill="auto"/>
            <w:noWrap/>
            <w:vAlign w:val="bottom"/>
            <w:hideMark/>
          </w:tcPr>
          <w:p w14:paraId="678DAD8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lastRenderedPageBreak/>
              <w:t>-28</w:t>
            </w:r>
          </w:p>
        </w:tc>
        <w:tc>
          <w:tcPr>
            <w:tcW w:w="806" w:type="dxa"/>
            <w:tcBorders>
              <w:top w:val="nil"/>
              <w:left w:val="nil"/>
              <w:bottom w:val="nil"/>
              <w:right w:val="nil"/>
            </w:tcBorders>
            <w:shd w:val="clear" w:color="auto" w:fill="auto"/>
            <w:noWrap/>
            <w:vAlign w:val="bottom"/>
            <w:hideMark/>
          </w:tcPr>
          <w:p w14:paraId="4147ED8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-643</w:t>
            </w:r>
          </w:p>
        </w:tc>
        <w:tc>
          <w:tcPr>
            <w:tcW w:w="710" w:type="dxa"/>
            <w:tcBorders>
              <w:top w:val="nil"/>
              <w:left w:val="nil"/>
              <w:bottom w:val="nil"/>
              <w:right w:val="nil"/>
            </w:tcBorders>
            <w:shd w:val="clear" w:color="auto" w:fill="auto"/>
            <w:noWrap/>
            <w:vAlign w:val="bottom"/>
            <w:hideMark/>
          </w:tcPr>
          <w:p w14:paraId="7F708F8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-7.9</w:t>
            </w:r>
          </w:p>
        </w:tc>
        <w:tc>
          <w:tcPr>
            <w:tcW w:w="717" w:type="dxa"/>
            <w:tcBorders>
              <w:top w:val="nil"/>
              <w:left w:val="nil"/>
              <w:bottom w:val="nil"/>
              <w:right w:val="nil"/>
            </w:tcBorders>
            <w:shd w:val="clear" w:color="auto" w:fill="auto"/>
            <w:noWrap/>
            <w:vAlign w:val="bottom"/>
            <w:hideMark/>
          </w:tcPr>
          <w:p w14:paraId="1C3E804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-63.6</w:t>
            </w:r>
          </w:p>
        </w:tc>
        <w:tc>
          <w:tcPr>
            <w:tcW w:w="806" w:type="dxa"/>
            <w:tcBorders>
              <w:top w:val="nil"/>
              <w:left w:val="nil"/>
              <w:bottom w:val="nil"/>
              <w:right w:val="nil"/>
            </w:tcBorders>
            <w:shd w:val="clear" w:color="auto" w:fill="auto"/>
            <w:noWrap/>
            <w:vAlign w:val="bottom"/>
            <w:hideMark/>
          </w:tcPr>
          <w:p w14:paraId="24CB64E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-41.9</w:t>
            </w:r>
          </w:p>
        </w:tc>
        <w:tc>
          <w:tcPr>
            <w:tcW w:w="683" w:type="dxa"/>
            <w:tcBorders>
              <w:top w:val="nil"/>
              <w:left w:val="nil"/>
              <w:bottom w:val="nil"/>
              <w:right w:val="nil"/>
            </w:tcBorders>
            <w:shd w:val="clear" w:color="auto" w:fill="auto"/>
            <w:noWrap/>
            <w:vAlign w:val="bottom"/>
            <w:hideMark/>
          </w:tcPr>
          <w:p w14:paraId="29EBC91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-10.6</w:t>
            </w:r>
          </w:p>
        </w:tc>
        <w:tc>
          <w:tcPr>
            <w:tcW w:w="683" w:type="dxa"/>
            <w:tcBorders>
              <w:top w:val="nil"/>
              <w:left w:val="nil"/>
              <w:bottom w:val="nil"/>
              <w:right w:val="nil"/>
            </w:tcBorders>
            <w:shd w:val="clear" w:color="auto" w:fill="auto"/>
            <w:noWrap/>
            <w:vAlign w:val="bottom"/>
            <w:hideMark/>
          </w:tcPr>
          <w:p w14:paraId="558E4DE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-76.4</w:t>
            </w:r>
          </w:p>
        </w:tc>
        <w:tc>
          <w:tcPr>
            <w:tcW w:w="806" w:type="dxa"/>
            <w:tcBorders>
              <w:top w:val="nil"/>
              <w:left w:val="nil"/>
              <w:bottom w:val="nil"/>
              <w:right w:val="nil"/>
            </w:tcBorders>
            <w:shd w:val="clear" w:color="auto" w:fill="auto"/>
            <w:noWrap/>
            <w:vAlign w:val="bottom"/>
            <w:hideMark/>
          </w:tcPr>
          <w:p w14:paraId="4F4F428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-83.4</w:t>
            </w:r>
          </w:p>
        </w:tc>
        <w:tc>
          <w:tcPr>
            <w:tcW w:w="683" w:type="dxa"/>
            <w:tcBorders>
              <w:top w:val="nil"/>
              <w:left w:val="nil"/>
              <w:bottom w:val="nil"/>
              <w:right w:val="nil"/>
            </w:tcBorders>
            <w:shd w:val="clear" w:color="auto" w:fill="auto"/>
            <w:noWrap/>
            <w:vAlign w:val="bottom"/>
            <w:hideMark/>
          </w:tcPr>
          <w:p w14:paraId="2EB803F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w:t>
            </w:r>
            <w:r w:rsidRPr="00986F85">
              <w:rPr>
                <w:rFonts w:eastAsia="Times New Roman"/>
                <w:color w:val="000000"/>
                <w:lang w:eastAsia="hu-HU"/>
              </w:rPr>
              <w:lastRenderedPageBreak/>
              <w:t>117.1</w:t>
            </w:r>
          </w:p>
        </w:tc>
        <w:tc>
          <w:tcPr>
            <w:tcW w:w="756" w:type="dxa"/>
            <w:tcBorders>
              <w:top w:val="nil"/>
              <w:left w:val="nil"/>
              <w:bottom w:val="nil"/>
              <w:right w:val="nil"/>
            </w:tcBorders>
            <w:shd w:val="clear" w:color="auto" w:fill="auto"/>
            <w:noWrap/>
            <w:vAlign w:val="bottom"/>
            <w:hideMark/>
          </w:tcPr>
          <w:p w14:paraId="647C18A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lastRenderedPageBreak/>
              <w:t>-512.1</w:t>
            </w:r>
          </w:p>
        </w:tc>
        <w:tc>
          <w:tcPr>
            <w:tcW w:w="690" w:type="dxa"/>
            <w:tcBorders>
              <w:top w:val="nil"/>
              <w:left w:val="nil"/>
              <w:bottom w:val="nil"/>
              <w:right w:val="nil"/>
            </w:tcBorders>
            <w:shd w:val="clear" w:color="auto" w:fill="auto"/>
            <w:noWrap/>
            <w:vAlign w:val="bottom"/>
            <w:hideMark/>
          </w:tcPr>
          <w:p w14:paraId="07CAB24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w:t>
            </w:r>
            <w:r w:rsidRPr="00986F85">
              <w:rPr>
                <w:rFonts w:eastAsia="Times New Roman"/>
                <w:color w:val="000000"/>
                <w:lang w:eastAsia="hu-HU"/>
              </w:rPr>
              <w:lastRenderedPageBreak/>
              <w:t>486.7</w:t>
            </w:r>
          </w:p>
        </w:tc>
        <w:tc>
          <w:tcPr>
            <w:tcW w:w="683" w:type="dxa"/>
            <w:tcBorders>
              <w:top w:val="nil"/>
              <w:left w:val="nil"/>
              <w:bottom w:val="nil"/>
              <w:right w:val="nil"/>
            </w:tcBorders>
            <w:shd w:val="clear" w:color="auto" w:fill="auto"/>
            <w:noWrap/>
            <w:vAlign w:val="bottom"/>
            <w:hideMark/>
          </w:tcPr>
          <w:p w14:paraId="0626586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lastRenderedPageBreak/>
              <w:t>-64.4</w:t>
            </w:r>
          </w:p>
        </w:tc>
        <w:tc>
          <w:tcPr>
            <w:tcW w:w="806" w:type="dxa"/>
            <w:tcBorders>
              <w:top w:val="nil"/>
              <w:left w:val="nil"/>
              <w:bottom w:val="nil"/>
              <w:right w:val="nil"/>
            </w:tcBorders>
            <w:shd w:val="clear" w:color="auto" w:fill="auto"/>
            <w:noWrap/>
            <w:vAlign w:val="bottom"/>
            <w:hideMark/>
          </w:tcPr>
          <w:p w14:paraId="081A8F5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-32.7</w:t>
            </w:r>
          </w:p>
        </w:tc>
        <w:tc>
          <w:tcPr>
            <w:tcW w:w="806" w:type="dxa"/>
            <w:tcBorders>
              <w:top w:val="nil"/>
              <w:left w:val="nil"/>
              <w:bottom w:val="nil"/>
              <w:right w:val="nil"/>
            </w:tcBorders>
            <w:shd w:val="clear" w:color="auto" w:fill="auto"/>
            <w:noWrap/>
            <w:vAlign w:val="bottom"/>
            <w:hideMark/>
          </w:tcPr>
          <w:p w14:paraId="7DF98BE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-237.2</w:t>
            </w:r>
          </w:p>
        </w:tc>
        <w:tc>
          <w:tcPr>
            <w:tcW w:w="683" w:type="dxa"/>
            <w:tcBorders>
              <w:top w:val="nil"/>
              <w:left w:val="nil"/>
              <w:bottom w:val="nil"/>
              <w:right w:val="nil"/>
            </w:tcBorders>
            <w:shd w:val="clear" w:color="auto" w:fill="auto"/>
            <w:noWrap/>
            <w:vAlign w:val="bottom"/>
            <w:hideMark/>
          </w:tcPr>
          <w:p w14:paraId="697885C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-81.7</w:t>
            </w:r>
          </w:p>
        </w:tc>
        <w:tc>
          <w:tcPr>
            <w:tcW w:w="806" w:type="dxa"/>
            <w:tcBorders>
              <w:top w:val="nil"/>
              <w:left w:val="nil"/>
              <w:bottom w:val="nil"/>
              <w:right w:val="nil"/>
            </w:tcBorders>
            <w:shd w:val="clear" w:color="auto" w:fill="auto"/>
            <w:noWrap/>
            <w:vAlign w:val="bottom"/>
            <w:hideMark/>
          </w:tcPr>
          <w:p w14:paraId="4FB0853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-65.1</w:t>
            </w:r>
          </w:p>
        </w:tc>
        <w:tc>
          <w:tcPr>
            <w:tcW w:w="683" w:type="dxa"/>
            <w:tcBorders>
              <w:top w:val="nil"/>
              <w:left w:val="nil"/>
              <w:bottom w:val="nil"/>
              <w:right w:val="nil"/>
            </w:tcBorders>
            <w:shd w:val="clear" w:color="auto" w:fill="auto"/>
            <w:noWrap/>
            <w:vAlign w:val="bottom"/>
            <w:hideMark/>
          </w:tcPr>
          <w:p w14:paraId="41F4A1F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-35.7</w:t>
            </w:r>
          </w:p>
        </w:tc>
        <w:tc>
          <w:tcPr>
            <w:tcW w:w="756" w:type="dxa"/>
            <w:tcBorders>
              <w:top w:val="nil"/>
              <w:left w:val="nil"/>
              <w:bottom w:val="nil"/>
              <w:right w:val="nil"/>
            </w:tcBorders>
            <w:shd w:val="clear" w:color="auto" w:fill="auto"/>
            <w:noWrap/>
            <w:vAlign w:val="bottom"/>
            <w:hideMark/>
          </w:tcPr>
          <w:p w14:paraId="60F5958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541.8</w:t>
            </w:r>
          </w:p>
        </w:tc>
        <w:tc>
          <w:tcPr>
            <w:tcW w:w="683" w:type="dxa"/>
            <w:tcBorders>
              <w:top w:val="nil"/>
              <w:left w:val="nil"/>
              <w:bottom w:val="nil"/>
              <w:right w:val="nil"/>
            </w:tcBorders>
            <w:shd w:val="clear" w:color="auto" w:fill="auto"/>
            <w:noWrap/>
            <w:vAlign w:val="bottom"/>
            <w:hideMark/>
          </w:tcPr>
          <w:p w14:paraId="487578D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w:t>
            </w:r>
          </w:p>
        </w:tc>
        <w:tc>
          <w:tcPr>
            <w:tcW w:w="695" w:type="dxa"/>
            <w:tcBorders>
              <w:top w:val="nil"/>
              <w:left w:val="nil"/>
              <w:bottom w:val="nil"/>
              <w:right w:val="nil"/>
            </w:tcBorders>
            <w:shd w:val="clear" w:color="auto" w:fill="auto"/>
            <w:noWrap/>
            <w:vAlign w:val="bottom"/>
            <w:hideMark/>
          </w:tcPr>
          <w:p w14:paraId="5DA9971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-75.6</w:t>
            </w:r>
          </w:p>
        </w:tc>
      </w:tr>
      <w:tr w:rsidR="00634ABA" w:rsidRPr="00986F85" w14:paraId="05656761" w14:textId="77777777" w:rsidTr="00634ABA">
        <w:trPr>
          <w:trHeight w:val="289"/>
        </w:trPr>
        <w:tc>
          <w:tcPr>
            <w:tcW w:w="434" w:type="dxa"/>
            <w:vMerge/>
            <w:tcBorders>
              <w:top w:val="nil"/>
              <w:left w:val="nil"/>
              <w:bottom w:val="nil"/>
              <w:right w:val="nil"/>
            </w:tcBorders>
            <w:vAlign w:val="center"/>
            <w:hideMark/>
          </w:tcPr>
          <w:p w14:paraId="1AC06970" w14:textId="77777777" w:rsidR="00634ABA" w:rsidRPr="00986F85" w:rsidRDefault="00634ABA" w:rsidP="00476987">
            <w:pPr>
              <w:spacing w:after="0" w:line="240" w:lineRule="auto"/>
              <w:rPr>
                <w:rFonts w:eastAsia="Times New Roman"/>
                <w:color w:val="000000"/>
                <w:lang w:eastAsia="hu-HU"/>
              </w:rPr>
            </w:pPr>
          </w:p>
        </w:tc>
        <w:tc>
          <w:tcPr>
            <w:tcW w:w="1893" w:type="dxa"/>
            <w:tcBorders>
              <w:top w:val="nil"/>
              <w:left w:val="nil"/>
              <w:bottom w:val="nil"/>
              <w:right w:val="nil"/>
            </w:tcBorders>
            <w:shd w:val="clear" w:color="auto" w:fill="auto"/>
            <w:noWrap/>
            <w:vAlign w:val="bottom"/>
            <w:hideMark/>
          </w:tcPr>
          <w:p w14:paraId="6299AA3A"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Hozzáadott érték</w:t>
            </w:r>
          </w:p>
        </w:tc>
        <w:tc>
          <w:tcPr>
            <w:tcW w:w="683" w:type="dxa"/>
            <w:tcBorders>
              <w:top w:val="nil"/>
              <w:left w:val="nil"/>
              <w:bottom w:val="nil"/>
              <w:right w:val="nil"/>
            </w:tcBorders>
            <w:shd w:val="clear" w:color="auto" w:fill="auto"/>
            <w:noWrap/>
            <w:vAlign w:val="bottom"/>
            <w:hideMark/>
          </w:tcPr>
          <w:p w14:paraId="3C246A4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-1566</w:t>
            </w:r>
          </w:p>
        </w:tc>
        <w:tc>
          <w:tcPr>
            <w:tcW w:w="806" w:type="dxa"/>
            <w:tcBorders>
              <w:top w:val="nil"/>
              <w:left w:val="nil"/>
              <w:bottom w:val="nil"/>
              <w:right w:val="nil"/>
            </w:tcBorders>
            <w:shd w:val="clear" w:color="auto" w:fill="auto"/>
            <w:noWrap/>
            <w:vAlign w:val="bottom"/>
            <w:hideMark/>
          </w:tcPr>
          <w:p w14:paraId="5C0E259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-10885</w:t>
            </w:r>
          </w:p>
        </w:tc>
        <w:tc>
          <w:tcPr>
            <w:tcW w:w="710" w:type="dxa"/>
            <w:tcBorders>
              <w:top w:val="nil"/>
              <w:left w:val="nil"/>
              <w:bottom w:val="nil"/>
              <w:right w:val="nil"/>
            </w:tcBorders>
            <w:shd w:val="clear" w:color="auto" w:fill="auto"/>
            <w:noWrap/>
            <w:vAlign w:val="bottom"/>
            <w:hideMark/>
          </w:tcPr>
          <w:p w14:paraId="25C619F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-1090</w:t>
            </w:r>
          </w:p>
        </w:tc>
        <w:tc>
          <w:tcPr>
            <w:tcW w:w="717" w:type="dxa"/>
            <w:tcBorders>
              <w:top w:val="nil"/>
              <w:left w:val="nil"/>
              <w:bottom w:val="nil"/>
              <w:right w:val="nil"/>
            </w:tcBorders>
            <w:shd w:val="clear" w:color="auto" w:fill="auto"/>
            <w:noWrap/>
            <w:vAlign w:val="bottom"/>
            <w:hideMark/>
          </w:tcPr>
          <w:p w14:paraId="3BDE93A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-2600</w:t>
            </w:r>
          </w:p>
        </w:tc>
        <w:tc>
          <w:tcPr>
            <w:tcW w:w="806" w:type="dxa"/>
            <w:tcBorders>
              <w:top w:val="nil"/>
              <w:left w:val="nil"/>
              <w:bottom w:val="nil"/>
              <w:right w:val="nil"/>
            </w:tcBorders>
            <w:shd w:val="clear" w:color="auto" w:fill="auto"/>
            <w:noWrap/>
            <w:vAlign w:val="bottom"/>
            <w:hideMark/>
          </w:tcPr>
          <w:p w14:paraId="64D2A09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-2968.5</w:t>
            </w:r>
          </w:p>
        </w:tc>
        <w:tc>
          <w:tcPr>
            <w:tcW w:w="683" w:type="dxa"/>
            <w:tcBorders>
              <w:top w:val="nil"/>
              <w:left w:val="nil"/>
              <w:bottom w:val="nil"/>
              <w:right w:val="nil"/>
            </w:tcBorders>
            <w:shd w:val="clear" w:color="auto" w:fill="auto"/>
            <w:noWrap/>
            <w:vAlign w:val="bottom"/>
            <w:hideMark/>
          </w:tcPr>
          <w:p w14:paraId="7F66B80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-794</w:t>
            </w:r>
          </w:p>
        </w:tc>
        <w:tc>
          <w:tcPr>
            <w:tcW w:w="683" w:type="dxa"/>
            <w:tcBorders>
              <w:top w:val="nil"/>
              <w:left w:val="nil"/>
              <w:bottom w:val="nil"/>
              <w:right w:val="nil"/>
            </w:tcBorders>
            <w:shd w:val="clear" w:color="auto" w:fill="auto"/>
            <w:noWrap/>
            <w:vAlign w:val="bottom"/>
            <w:hideMark/>
          </w:tcPr>
          <w:p w14:paraId="22AF178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-2803</w:t>
            </w:r>
          </w:p>
        </w:tc>
        <w:tc>
          <w:tcPr>
            <w:tcW w:w="806" w:type="dxa"/>
            <w:tcBorders>
              <w:top w:val="nil"/>
              <w:left w:val="nil"/>
              <w:bottom w:val="nil"/>
              <w:right w:val="nil"/>
            </w:tcBorders>
            <w:shd w:val="clear" w:color="auto" w:fill="auto"/>
            <w:noWrap/>
            <w:vAlign w:val="bottom"/>
            <w:hideMark/>
          </w:tcPr>
          <w:p w14:paraId="32272D7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-3219.5</w:t>
            </w:r>
          </w:p>
        </w:tc>
        <w:tc>
          <w:tcPr>
            <w:tcW w:w="683" w:type="dxa"/>
            <w:tcBorders>
              <w:top w:val="nil"/>
              <w:left w:val="nil"/>
              <w:bottom w:val="nil"/>
              <w:right w:val="nil"/>
            </w:tcBorders>
            <w:shd w:val="clear" w:color="auto" w:fill="auto"/>
            <w:noWrap/>
            <w:vAlign w:val="bottom"/>
            <w:hideMark/>
          </w:tcPr>
          <w:p w14:paraId="24077B9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-2687</w:t>
            </w:r>
          </w:p>
        </w:tc>
        <w:tc>
          <w:tcPr>
            <w:tcW w:w="756" w:type="dxa"/>
            <w:tcBorders>
              <w:top w:val="nil"/>
              <w:left w:val="nil"/>
              <w:bottom w:val="nil"/>
              <w:right w:val="nil"/>
            </w:tcBorders>
            <w:shd w:val="clear" w:color="auto" w:fill="auto"/>
            <w:noWrap/>
            <w:vAlign w:val="bottom"/>
            <w:hideMark/>
          </w:tcPr>
          <w:p w14:paraId="4E1CBEB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-9517</w:t>
            </w:r>
          </w:p>
        </w:tc>
        <w:tc>
          <w:tcPr>
            <w:tcW w:w="690" w:type="dxa"/>
            <w:tcBorders>
              <w:top w:val="nil"/>
              <w:left w:val="nil"/>
              <w:bottom w:val="nil"/>
              <w:right w:val="nil"/>
            </w:tcBorders>
            <w:shd w:val="clear" w:color="auto" w:fill="auto"/>
            <w:noWrap/>
            <w:vAlign w:val="bottom"/>
            <w:hideMark/>
          </w:tcPr>
          <w:p w14:paraId="3FCC9C0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-5772</w:t>
            </w:r>
          </w:p>
        </w:tc>
        <w:tc>
          <w:tcPr>
            <w:tcW w:w="683" w:type="dxa"/>
            <w:tcBorders>
              <w:top w:val="nil"/>
              <w:left w:val="nil"/>
              <w:bottom w:val="nil"/>
              <w:right w:val="nil"/>
            </w:tcBorders>
            <w:shd w:val="clear" w:color="auto" w:fill="auto"/>
            <w:noWrap/>
            <w:vAlign w:val="bottom"/>
            <w:hideMark/>
          </w:tcPr>
          <w:p w14:paraId="278A07C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-2361</w:t>
            </w:r>
          </w:p>
        </w:tc>
        <w:tc>
          <w:tcPr>
            <w:tcW w:w="806" w:type="dxa"/>
            <w:tcBorders>
              <w:top w:val="nil"/>
              <w:left w:val="nil"/>
              <w:bottom w:val="nil"/>
              <w:right w:val="nil"/>
            </w:tcBorders>
            <w:shd w:val="clear" w:color="auto" w:fill="auto"/>
            <w:noWrap/>
            <w:vAlign w:val="bottom"/>
            <w:hideMark/>
          </w:tcPr>
          <w:p w14:paraId="7558BA8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-1675.5</w:t>
            </w:r>
          </w:p>
        </w:tc>
        <w:tc>
          <w:tcPr>
            <w:tcW w:w="806" w:type="dxa"/>
            <w:tcBorders>
              <w:top w:val="nil"/>
              <w:left w:val="nil"/>
              <w:bottom w:val="nil"/>
              <w:right w:val="nil"/>
            </w:tcBorders>
            <w:shd w:val="clear" w:color="auto" w:fill="auto"/>
            <w:noWrap/>
            <w:vAlign w:val="bottom"/>
            <w:hideMark/>
          </w:tcPr>
          <w:p w14:paraId="67F89C1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-5281.5</w:t>
            </w:r>
          </w:p>
        </w:tc>
        <w:tc>
          <w:tcPr>
            <w:tcW w:w="683" w:type="dxa"/>
            <w:tcBorders>
              <w:top w:val="nil"/>
              <w:left w:val="nil"/>
              <w:bottom w:val="nil"/>
              <w:right w:val="nil"/>
            </w:tcBorders>
            <w:shd w:val="clear" w:color="auto" w:fill="auto"/>
            <w:noWrap/>
            <w:vAlign w:val="bottom"/>
            <w:hideMark/>
          </w:tcPr>
          <w:p w14:paraId="4789107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-1552</w:t>
            </w:r>
          </w:p>
        </w:tc>
        <w:tc>
          <w:tcPr>
            <w:tcW w:w="806" w:type="dxa"/>
            <w:tcBorders>
              <w:top w:val="nil"/>
              <w:left w:val="nil"/>
              <w:bottom w:val="nil"/>
              <w:right w:val="nil"/>
            </w:tcBorders>
            <w:shd w:val="clear" w:color="auto" w:fill="auto"/>
            <w:noWrap/>
            <w:vAlign w:val="bottom"/>
            <w:hideMark/>
          </w:tcPr>
          <w:p w14:paraId="7049BDE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-1732.5</w:t>
            </w:r>
          </w:p>
        </w:tc>
        <w:tc>
          <w:tcPr>
            <w:tcW w:w="683" w:type="dxa"/>
            <w:tcBorders>
              <w:top w:val="nil"/>
              <w:left w:val="nil"/>
              <w:bottom w:val="nil"/>
              <w:right w:val="nil"/>
            </w:tcBorders>
            <w:shd w:val="clear" w:color="auto" w:fill="auto"/>
            <w:noWrap/>
            <w:vAlign w:val="bottom"/>
            <w:hideMark/>
          </w:tcPr>
          <w:p w14:paraId="58085AB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-2993</w:t>
            </w:r>
          </w:p>
        </w:tc>
        <w:tc>
          <w:tcPr>
            <w:tcW w:w="756" w:type="dxa"/>
            <w:tcBorders>
              <w:top w:val="nil"/>
              <w:left w:val="nil"/>
              <w:bottom w:val="nil"/>
              <w:right w:val="nil"/>
            </w:tcBorders>
            <w:shd w:val="clear" w:color="auto" w:fill="auto"/>
            <w:noWrap/>
            <w:vAlign w:val="bottom"/>
            <w:hideMark/>
          </w:tcPr>
          <w:p w14:paraId="538CA65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9488</w:t>
            </w:r>
          </w:p>
        </w:tc>
        <w:tc>
          <w:tcPr>
            <w:tcW w:w="683" w:type="dxa"/>
            <w:tcBorders>
              <w:top w:val="nil"/>
              <w:left w:val="nil"/>
              <w:bottom w:val="nil"/>
              <w:right w:val="nil"/>
            </w:tcBorders>
            <w:shd w:val="clear" w:color="auto" w:fill="auto"/>
            <w:noWrap/>
            <w:vAlign w:val="bottom"/>
            <w:hideMark/>
          </w:tcPr>
          <w:p w14:paraId="55D680F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556.5</w:t>
            </w:r>
          </w:p>
        </w:tc>
        <w:tc>
          <w:tcPr>
            <w:tcW w:w="695" w:type="dxa"/>
            <w:tcBorders>
              <w:top w:val="nil"/>
              <w:left w:val="nil"/>
              <w:bottom w:val="nil"/>
              <w:right w:val="nil"/>
            </w:tcBorders>
            <w:shd w:val="clear" w:color="auto" w:fill="auto"/>
            <w:noWrap/>
            <w:vAlign w:val="bottom"/>
            <w:hideMark/>
          </w:tcPr>
          <w:p w14:paraId="211D8AE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-2517</w:t>
            </w:r>
          </w:p>
        </w:tc>
      </w:tr>
      <w:tr w:rsidR="00634ABA" w:rsidRPr="00986F85" w14:paraId="49D85D5F" w14:textId="77777777" w:rsidTr="00634ABA">
        <w:trPr>
          <w:trHeight w:val="289"/>
        </w:trPr>
        <w:tc>
          <w:tcPr>
            <w:tcW w:w="434" w:type="dxa"/>
            <w:vMerge/>
            <w:tcBorders>
              <w:top w:val="nil"/>
              <w:left w:val="nil"/>
              <w:bottom w:val="nil"/>
              <w:right w:val="nil"/>
            </w:tcBorders>
            <w:vAlign w:val="center"/>
            <w:hideMark/>
          </w:tcPr>
          <w:p w14:paraId="1E3BA9F7" w14:textId="77777777" w:rsidR="00634ABA" w:rsidRPr="00986F85" w:rsidRDefault="00634ABA" w:rsidP="00476987">
            <w:pPr>
              <w:spacing w:after="0" w:line="240" w:lineRule="auto"/>
              <w:rPr>
                <w:rFonts w:eastAsia="Times New Roman"/>
                <w:color w:val="000000"/>
                <w:lang w:eastAsia="hu-HU"/>
              </w:rPr>
            </w:pPr>
          </w:p>
        </w:tc>
        <w:tc>
          <w:tcPr>
            <w:tcW w:w="1893" w:type="dxa"/>
            <w:tcBorders>
              <w:top w:val="nil"/>
              <w:left w:val="nil"/>
              <w:bottom w:val="nil"/>
              <w:right w:val="nil"/>
            </w:tcBorders>
            <w:shd w:val="clear" w:color="auto" w:fill="auto"/>
            <w:noWrap/>
            <w:vAlign w:val="bottom"/>
            <w:hideMark/>
          </w:tcPr>
          <w:p w14:paraId="71F42545"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Egy foglalkoztatottra eső hozzáadott érték</w:t>
            </w:r>
          </w:p>
        </w:tc>
        <w:tc>
          <w:tcPr>
            <w:tcW w:w="683" w:type="dxa"/>
            <w:tcBorders>
              <w:top w:val="nil"/>
              <w:left w:val="nil"/>
              <w:bottom w:val="nil"/>
              <w:right w:val="nil"/>
            </w:tcBorders>
            <w:shd w:val="clear" w:color="auto" w:fill="auto"/>
            <w:noWrap/>
            <w:vAlign w:val="bottom"/>
            <w:hideMark/>
          </w:tcPr>
          <w:p w14:paraId="3E46BF4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-60.1</w:t>
            </w:r>
          </w:p>
        </w:tc>
        <w:tc>
          <w:tcPr>
            <w:tcW w:w="806" w:type="dxa"/>
            <w:tcBorders>
              <w:top w:val="nil"/>
              <w:left w:val="nil"/>
              <w:bottom w:val="nil"/>
              <w:right w:val="nil"/>
            </w:tcBorders>
            <w:shd w:val="clear" w:color="auto" w:fill="auto"/>
            <w:noWrap/>
            <w:vAlign w:val="bottom"/>
            <w:hideMark/>
          </w:tcPr>
          <w:p w14:paraId="3B24E05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-901.5</w:t>
            </w:r>
          </w:p>
        </w:tc>
        <w:tc>
          <w:tcPr>
            <w:tcW w:w="710" w:type="dxa"/>
            <w:tcBorders>
              <w:top w:val="nil"/>
              <w:left w:val="nil"/>
              <w:bottom w:val="nil"/>
              <w:right w:val="nil"/>
            </w:tcBorders>
            <w:shd w:val="clear" w:color="auto" w:fill="auto"/>
            <w:noWrap/>
            <w:vAlign w:val="bottom"/>
            <w:hideMark/>
          </w:tcPr>
          <w:p w14:paraId="10BEF90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-32.3</w:t>
            </w:r>
          </w:p>
        </w:tc>
        <w:tc>
          <w:tcPr>
            <w:tcW w:w="717" w:type="dxa"/>
            <w:tcBorders>
              <w:top w:val="nil"/>
              <w:left w:val="nil"/>
              <w:bottom w:val="nil"/>
              <w:right w:val="nil"/>
            </w:tcBorders>
            <w:shd w:val="clear" w:color="auto" w:fill="auto"/>
            <w:noWrap/>
            <w:vAlign w:val="bottom"/>
            <w:hideMark/>
          </w:tcPr>
          <w:p w14:paraId="0964DE8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-147.5</w:t>
            </w:r>
          </w:p>
        </w:tc>
        <w:tc>
          <w:tcPr>
            <w:tcW w:w="806" w:type="dxa"/>
            <w:tcBorders>
              <w:top w:val="nil"/>
              <w:left w:val="nil"/>
              <w:bottom w:val="nil"/>
              <w:right w:val="nil"/>
            </w:tcBorders>
            <w:shd w:val="clear" w:color="auto" w:fill="auto"/>
            <w:noWrap/>
            <w:vAlign w:val="bottom"/>
            <w:hideMark/>
          </w:tcPr>
          <w:p w14:paraId="7DB8EDF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-107.3</w:t>
            </w:r>
          </w:p>
        </w:tc>
        <w:tc>
          <w:tcPr>
            <w:tcW w:w="683" w:type="dxa"/>
            <w:tcBorders>
              <w:top w:val="nil"/>
              <w:left w:val="nil"/>
              <w:bottom w:val="nil"/>
              <w:right w:val="nil"/>
            </w:tcBorders>
            <w:shd w:val="clear" w:color="auto" w:fill="auto"/>
            <w:noWrap/>
            <w:vAlign w:val="bottom"/>
            <w:hideMark/>
          </w:tcPr>
          <w:p w14:paraId="3A8D837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-38.3</w:t>
            </w:r>
          </w:p>
        </w:tc>
        <w:tc>
          <w:tcPr>
            <w:tcW w:w="683" w:type="dxa"/>
            <w:tcBorders>
              <w:top w:val="nil"/>
              <w:left w:val="nil"/>
              <w:bottom w:val="nil"/>
              <w:right w:val="nil"/>
            </w:tcBorders>
            <w:shd w:val="clear" w:color="auto" w:fill="auto"/>
            <w:noWrap/>
            <w:vAlign w:val="bottom"/>
            <w:hideMark/>
          </w:tcPr>
          <w:p w14:paraId="61F9D76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-144.2</w:t>
            </w:r>
          </w:p>
        </w:tc>
        <w:tc>
          <w:tcPr>
            <w:tcW w:w="806" w:type="dxa"/>
            <w:tcBorders>
              <w:top w:val="nil"/>
              <w:left w:val="nil"/>
              <w:bottom w:val="nil"/>
              <w:right w:val="nil"/>
            </w:tcBorders>
            <w:shd w:val="clear" w:color="auto" w:fill="auto"/>
            <w:noWrap/>
            <w:vAlign w:val="bottom"/>
            <w:hideMark/>
          </w:tcPr>
          <w:p w14:paraId="48CA775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-128</w:t>
            </w:r>
          </w:p>
        </w:tc>
        <w:tc>
          <w:tcPr>
            <w:tcW w:w="683" w:type="dxa"/>
            <w:tcBorders>
              <w:top w:val="nil"/>
              <w:left w:val="nil"/>
              <w:bottom w:val="nil"/>
              <w:right w:val="nil"/>
            </w:tcBorders>
            <w:shd w:val="clear" w:color="auto" w:fill="auto"/>
            <w:noWrap/>
            <w:vAlign w:val="bottom"/>
            <w:hideMark/>
          </w:tcPr>
          <w:p w14:paraId="1A504EE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-205.6</w:t>
            </w:r>
          </w:p>
        </w:tc>
        <w:tc>
          <w:tcPr>
            <w:tcW w:w="756" w:type="dxa"/>
            <w:tcBorders>
              <w:top w:val="nil"/>
              <w:left w:val="nil"/>
              <w:bottom w:val="nil"/>
              <w:right w:val="nil"/>
            </w:tcBorders>
            <w:shd w:val="clear" w:color="auto" w:fill="auto"/>
            <w:noWrap/>
            <w:vAlign w:val="bottom"/>
            <w:hideMark/>
          </w:tcPr>
          <w:p w14:paraId="15EF735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-378.8</w:t>
            </w:r>
          </w:p>
        </w:tc>
        <w:tc>
          <w:tcPr>
            <w:tcW w:w="690" w:type="dxa"/>
            <w:tcBorders>
              <w:top w:val="nil"/>
              <w:left w:val="nil"/>
              <w:bottom w:val="nil"/>
              <w:right w:val="nil"/>
            </w:tcBorders>
            <w:shd w:val="clear" w:color="auto" w:fill="auto"/>
            <w:noWrap/>
            <w:vAlign w:val="bottom"/>
            <w:hideMark/>
          </w:tcPr>
          <w:p w14:paraId="1E27D93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-391.6</w:t>
            </w:r>
          </w:p>
        </w:tc>
        <w:tc>
          <w:tcPr>
            <w:tcW w:w="683" w:type="dxa"/>
            <w:tcBorders>
              <w:top w:val="nil"/>
              <w:left w:val="nil"/>
              <w:bottom w:val="nil"/>
              <w:right w:val="nil"/>
            </w:tcBorders>
            <w:shd w:val="clear" w:color="auto" w:fill="auto"/>
            <w:noWrap/>
            <w:vAlign w:val="bottom"/>
            <w:hideMark/>
          </w:tcPr>
          <w:p w14:paraId="79C6122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-155.1</w:t>
            </w:r>
          </w:p>
        </w:tc>
        <w:tc>
          <w:tcPr>
            <w:tcW w:w="806" w:type="dxa"/>
            <w:tcBorders>
              <w:top w:val="nil"/>
              <w:left w:val="nil"/>
              <w:bottom w:val="nil"/>
              <w:right w:val="nil"/>
            </w:tcBorders>
            <w:shd w:val="clear" w:color="auto" w:fill="auto"/>
            <w:noWrap/>
            <w:vAlign w:val="bottom"/>
            <w:hideMark/>
          </w:tcPr>
          <w:p w14:paraId="3EB3ABA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-219.1</w:t>
            </w:r>
          </w:p>
        </w:tc>
        <w:tc>
          <w:tcPr>
            <w:tcW w:w="806" w:type="dxa"/>
            <w:tcBorders>
              <w:top w:val="nil"/>
              <w:left w:val="nil"/>
              <w:bottom w:val="nil"/>
              <w:right w:val="nil"/>
            </w:tcBorders>
            <w:shd w:val="clear" w:color="auto" w:fill="auto"/>
            <w:noWrap/>
            <w:vAlign w:val="bottom"/>
            <w:hideMark/>
          </w:tcPr>
          <w:p w14:paraId="0DCCE9C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-326.7</w:t>
            </w:r>
          </w:p>
        </w:tc>
        <w:tc>
          <w:tcPr>
            <w:tcW w:w="683" w:type="dxa"/>
            <w:tcBorders>
              <w:top w:val="nil"/>
              <w:left w:val="nil"/>
              <w:bottom w:val="nil"/>
              <w:right w:val="nil"/>
            </w:tcBorders>
            <w:shd w:val="clear" w:color="auto" w:fill="auto"/>
            <w:noWrap/>
            <w:vAlign w:val="bottom"/>
            <w:hideMark/>
          </w:tcPr>
          <w:p w14:paraId="0931556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-113.7</w:t>
            </w:r>
          </w:p>
        </w:tc>
        <w:tc>
          <w:tcPr>
            <w:tcW w:w="806" w:type="dxa"/>
            <w:tcBorders>
              <w:top w:val="nil"/>
              <w:left w:val="nil"/>
              <w:bottom w:val="nil"/>
              <w:right w:val="nil"/>
            </w:tcBorders>
            <w:shd w:val="clear" w:color="auto" w:fill="auto"/>
            <w:noWrap/>
            <w:vAlign w:val="bottom"/>
            <w:hideMark/>
          </w:tcPr>
          <w:p w14:paraId="44A62FA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-109.9</w:t>
            </w:r>
          </w:p>
        </w:tc>
        <w:tc>
          <w:tcPr>
            <w:tcW w:w="683" w:type="dxa"/>
            <w:tcBorders>
              <w:top w:val="nil"/>
              <w:left w:val="nil"/>
              <w:bottom w:val="nil"/>
              <w:right w:val="nil"/>
            </w:tcBorders>
            <w:shd w:val="clear" w:color="auto" w:fill="auto"/>
            <w:noWrap/>
            <w:vAlign w:val="bottom"/>
            <w:hideMark/>
          </w:tcPr>
          <w:p w14:paraId="367EEE5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-130.5</w:t>
            </w:r>
          </w:p>
        </w:tc>
        <w:tc>
          <w:tcPr>
            <w:tcW w:w="756" w:type="dxa"/>
            <w:tcBorders>
              <w:top w:val="nil"/>
              <w:left w:val="nil"/>
              <w:bottom w:val="nil"/>
              <w:right w:val="nil"/>
            </w:tcBorders>
            <w:shd w:val="clear" w:color="auto" w:fill="auto"/>
            <w:noWrap/>
            <w:vAlign w:val="bottom"/>
            <w:hideMark/>
          </w:tcPr>
          <w:p w14:paraId="3E8A3CD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481.5</w:t>
            </w:r>
          </w:p>
        </w:tc>
        <w:tc>
          <w:tcPr>
            <w:tcW w:w="683" w:type="dxa"/>
            <w:tcBorders>
              <w:top w:val="nil"/>
              <w:left w:val="nil"/>
              <w:bottom w:val="nil"/>
              <w:right w:val="nil"/>
            </w:tcBorders>
            <w:shd w:val="clear" w:color="auto" w:fill="auto"/>
            <w:noWrap/>
            <w:vAlign w:val="bottom"/>
            <w:hideMark/>
          </w:tcPr>
          <w:p w14:paraId="584C2D7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95.1</w:t>
            </w:r>
          </w:p>
        </w:tc>
        <w:tc>
          <w:tcPr>
            <w:tcW w:w="695" w:type="dxa"/>
            <w:tcBorders>
              <w:top w:val="nil"/>
              <w:left w:val="nil"/>
              <w:bottom w:val="nil"/>
              <w:right w:val="nil"/>
            </w:tcBorders>
            <w:shd w:val="clear" w:color="auto" w:fill="auto"/>
            <w:noWrap/>
            <w:vAlign w:val="bottom"/>
            <w:hideMark/>
          </w:tcPr>
          <w:p w14:paraId="7D79EF2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-144.6</w:t>
            </w:r>
          </w:p>
        </w:tc>
      </w:tr>
      <w:tr w:rsidR="00634ABA" w:rsidRPr="00986F85" w14:paraId="712BFDA5" w14:textId="77777777" w:rsidTr="00634ABA">
        <w:trPr>
          <w:trHeight w:val="289"/>
        </w:trPr>
        <w:tc>
          <w:tcPr>
            <w:tcW w:w="434" w:type="dxa"/>
            <w:vMerge/>
            <w:tcBorders>
              <w:top w:val="nil"/>
              <w:left w:val="nil"/>
              <w:bottom w:val="nil"/>
              <w:right w:val="nil"/>
            </w:tcBorders>
            <w:vAlign w:val="center"/>
            <w:hideMark/>
          </w:tcPr>
          <w:p w14:paraId="0C82D3F7" w14:textId="77777777" w:rsidR="00634ABA" w:rsidRPr="00986F85" w:rsidRDefault="00634ABA" w:rsidP="00476987">
            <w:pPr>
              <w:spacing w:after="0" w:line="240" w:lineRule="auto"/>
              <w:rPr>
                <w:rFonts w:eastAsia="Times New Roman"/>
                <w:color w:val="000000"/>
                <w:lang w:eastAsia="hu-HU"/>
              </w:rPr>
            </w:pPr>
          </w:p>
        </w:tc>
        <w:tc>
          <w:tcPr>
            <w:tcW w:w="1893" w:type="dxa"/>
            <w:tcBorders>
              <w:top w:val="nil"/>
              <w:left w:val="nil"/>
              <w:bottom w:val="nil"/>
              <w:right w:val="nil"/>
            </w:tcBorders>
            <w:shd w:val="clear" w:color="auto" w:fill="auto"/>
            <w:noWrap/>
            <w:vAlign w:val="bottom"/>
            <w:hideMark/>
          </w:tcPr>
          <w:p w14:paraId="120A6507"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ROA</w:t>
            </w:r>
          </w:p>
        </w:tc>
        <w:tc>
          <w:tcPr>
            <w:tcW w:w="683" w:type="dxa"/>
            <w:tcBorders>
              <w:top w:val="nil"/>
              <w:left w:val="nil"/>
              <w:bottom w:val="nil"/>
              <w:right w:val="nil"/>
            </w:tcBorders>
            <w:shd w:val="clear" w:color="auto" w:fill="auto"/>
            <w:noWrap/>
            <w:vAlign w:val="bottom"/>
            <w:hideMark/>
          </w:tcPr>
          <w:p w14:paraId="33D27D2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-0.022</w:t>
            </w:r>
          </w:p>
        </w:tc>
        <w:tc>
          <w:tcPr>
            <w:tcW w:w="806" w:type="dxa"/>
            <w:tcBorders>
              <w:top w:val="nil"/>
              <w:left w:val="nil"/>
              <w:bottom w:val="nil"/>
              <w:right w:val="nil"/>
            </w:tcBorders>
            <w:shd w:val="clear" w:color="auto" w:fill="auto"/>
            <w:noWrap/>
            <w:vAlign w:val="bottom"/>
            <w:hideMark/>
          </w:tcPr>
          <w:p w14:paraId="2D18498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-0.038</w:t>
            </w:r>
          </w:p>
        </w:tc>
        <w:tc>
          <w:tcPr>
            <w:tcW w:w="710" w:type="dxa"/>
            <w:tcBorders>
              <w:top w:val="nil"/>
              <w:left w:val="nil"/>
              <w:bottom w:val="nil"/>
              <w:right w:val="nil"/>
            </w:tcBorders>
            <w:shd w:val="clear" w:color="auto" w:fill="auto"/>
            <w:noWrap/>
            <w:vAlign w:val="bottom"/>
            <w:hideMark/>
          </w:tcPr>
          <w:p w14:paraId="17C9FD1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-0.006</w:t>
            </w:r>
          </w:p>
        </w:tc>
        <w:tc>
          <w:tcPr>
            <w:tcW w:w="717" w:type="dxa"/>
            <w:tcBorders>
              <w:top w:val="nil"/>
              <w:left w:val="nil"/>
              <w:bottom w:val="nil"/>
              <w:right w:val="nil"/>
            </w:tcBorders>
            <w:shd w:val="clear" w:color="auto" w:fill="auto"/>
            <w:noWrap/>
            <w:vAlign w:val="bottom"/>
            <w:hideMark/>
          </w:tcPr>
          <w:p w14:paraId="3AFF198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-0.021</w:t>
            </w:r>
          </w:p>
        </w:tc>
        <w:tc>
          <w:tcPr>
            <w:tcW w:w="806" w:type="dxa"/>
            <w:tcBorders>
              <w:top w:val="nil"/>
              <w:left w:val="nil"/>
              <w:bottom w:val="nil"/>
              <w:right w:val="nil"/>
            </w:tcBorders>
            <w:shd w:val="clear" w:color="auto" w:fill="auto"/>
            <w:noWrap/>
            <w:vAlign w:val="bottom"/>
            <w:hideMark/>
          </w:tcPr>
          <w:p w14:paraId="6783E08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-0.013</w:t>
            </w:r>
          </w:p>
        </w:tc>
        <w:tc>
          <w:tcPr>
            <w:tcW w:w="683" w:type="dxa"/>
            <w:tcBorders>
              <w:top w:val="nil"/>
              <w:left w:val="nil"/>
              <w:bottom w:val="nil"/>
              <w:right w:val="nil"/>
            </w:tcBorders>
            <w:shd w:val="clear" w:color="auto" w:fill="auto"/>
            <w:noWrap/>
            <w:vAlign w:val="bottom"/>
            <w:hideMark/>
          </w:tcPr>
          <w:p w14:paraId="494A997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-0.011</w:t>
            </w:r>
          </w:p>
        </w:tc>
        <w:tc>
          <w:tcPr>
            <w:tcW w:w="683" w:type="dxa"/>
            <w:tcBorders>
              <w:top w:val="nil"/>
              <w:left w:val="nil"/>
              <w:bottom w:val="nil"/>
              <w:right w:val="nil"/>
            </w:tcBorders>
            <w:shd w:val="clear" w:color="auto" w:fill="auto"/>
            <w:noWrap/>
            <w:vAlign w:val="bottom"/>
            <w:hideMark/>
          </w:tcPr>
          <w:p w14:paraId="4DEEBAC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-0.019</w:t>
            </w:r>
          </w:p>
        </w:tc>
        <w:tc>
          <w:tcPr>
            <w:tcW w:w="806" w:type="dxa"/>
            <w:tcBorders>
              <w:top w:val="nil"/>
              <w:left w:val="nil"/>
              <w:bottom w:val="nil"/>
              <w:right w:val="nil"/>
            </w:tcBorders>
            <w:shd w:val="clear" w:color="auto" w:fill="auto"/>
            <w:noWrap/>
            <w:vAlign w:val="bottom"/>
            <w:hideMark/>
          </w:tcPr>
          <w:p w14:paraId="5A7F6B5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-0.007</w:t>
            </w:r>
          </w:p>
        </w:tc>
        <w:tc>
          <w:tcPr>
            <w:tcW w:w="683" w:type="dxa"/>
            <w:tcBorders>
              <w:top w:val="nil"/>
              <w:left w:val="nil"/>
              <w:bottom w:val="nil"/>
              <w:right w:val="nil"/>
            </w:tcBorders>
            <w:shd w:val="clear" w:color="auto" w:fill="auto"/>
            <w:noWrap/>
            <w:vAlign w:val="bottom"/>
            <w:hideMark/>
          </w:tcPr>
          <w:p w14:paraId="65467BD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-0.017</w:t>
            </w:r>
          </w:p>
        </w:tc>
        <w:tc>
          <w:tcPr>
            <w:tcW w:w="756" w:type="dxa"/>
            <w:tcBorders>
              <w:top w:val="nil"/>
              <w:left w:val="nil"/>
              <w:bottom w:val="nil"/>
              <w:right w:val="nil"/>
            </w:tcBorders>
            <w:shd w:val="clear" w:color="auto" w:fill="auto"/>
            <w:noWrap/>
            <w:vAlign w:val="bottom"/>
            <w:hideMark/>
          </w:tcPr>
          <w:p w14:paraId="5C08E12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-0.135</w:t>
            </w:r>
          </w:p>
        </w:tc>
        <w:tc>
          <w:tcPr>
            <w:tcW w:w="690" w:type="dxa"/>
            <w:tcBorders>
              <w:top w:val="nil"/>
              <w:left w:val="nil"/>
              <w:bottom w:val="nil"/>
              <w:right w:val="nil"/>
            </w:tcBorders>
            <w:shd w:val="clear" w:color="auto" w:fill="auto"/>
            <w:noWrap/>
            <w:vAlign w:val="bottom"/>
            <w:hideMark/>
          </w:tcPr>
          <w:p w14:paraId="5BB1B7E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-0.033</w:t>
            </w:r>
          </w:p>
        </w:tc>
        <w:tc>
          <w:tcPr>
            <w:tcW w:w="683" w:type="dxa"/>
            <w:tcBorders>
              <w:top w:val="nil"/>
              <w:left w:val="nil"/>
              <w:bottom w:val="nil"/>
              <w:right w:val="nil"/>
            </w:tcBorders>
            <w:shd w:val="clear" w:color="auto" w:fill="auto"/>
            <w:noWrap/>
            <w:vAlign w:val="bottom"/>
            <w:hideMark/>
          </w:tcPr>
          <w:p w14:paraId="4BE82D7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-0.01</w:t>
            </w:r>
          </w:p>
        </w:tc>
        <w:tc>
          <w:tcPr>
            <w:tcW w:w="806" w:type="dxa"/>
            <w:tcBorders>
              <w:top w:val="nil"/>
              <w:left w:val="nil"/>
              <w:bottom w:val="nil"/>
              <w:right w:val="nil"/>
            </w:tcBorders>
            <w:shd w:val="clear" w:color="auto" w:fill="auto"/>
            <w:noWrap/>
            <w:vAlign w:val="bottom"/>
            <w:hideMark/>
          </w:tcPr>
          <w:p w14:paraId="252542A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-0.009</w:t>
            </w:r>
          </w:p>
        </w:tc>
        <w:tc>
          <w:tcPr>
            <w:tcW w:w="806" w:type="dxa"/>
            <w:tcBorders>
              <w:top w:val="nil"/>
              <w:left w:val="nil"/>
              <w:bottom w:val="nil"/>
              <w:right w:val="nil"/>
            </w:tcBorders>
            <w:shd w:val="clear" w:color="auto" w:fill="auto"/>
            <w:noWrap/>
            <w:vAlign w:val="bottom"/>
            <w:hideMark/>
          </w:tcPr>
          <w:p w14:paraId="217B471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-0.005</w:t>
            </w:r>
          </w:p>
        </w:tc>
        <w:tc>
          <w:tcPr>
            <w:tcW w:w="683" w:type="dxa"/>
            <w:tcBorders>
              <w:top w:val="nil"/>
              <w:left w:val="nil"/>
              <w:bottom w:val="nil"/>
              <w:right w:val="nil"/>
            </w:tcBorders>
            <w:shd w:val="clear" w:color="auto" w:fill="auto"/>
            <w:noWrap/>
            <w:vAlign w:val="bottom"/>
            <w:hideMark/>
          </w:tcPr>
          <w:p w14:paraId="1162A38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-0.017</w:t>
            </w:r>
          </w:p>
        </w:tc>
        <w:tc>
          <w:tcPr>
            <w:tcW w:w="806" w:type="dxa"/>
            <w:tcBorders>
              <w:top w:val="nil"/>
              <w:left w:val="nil"/>
              <w:bottom w:val="nil"/>
              <w:right w:val="nil"/>
            </w:tcBorders>
            <w:shd w:val="clear" w:color="auto" w:fill="auto"/>
            <w:noWrap/>
            <w:vAlign w:val="bottom"/>
            <w:hideMark/>
          </w:tcPr>
          <w:p w14:paraId="1027728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-0.021</w:t>
            </w:r>
          </w:p>
        </w:tc>
        <w:tc>
          <w:tcPr>
            <w:tcW w:w="683" w:type="dxa"/>
            <w:tcBorders>
              <w:top w:val="nil"/>
              <w:left w:val="nil"/>
              <w:bottom w:val="nil"/>
              <w:right w:val="nil"/>
            </w:tcBorders>
            <w:shd w:val="clear" w:color="auto" w:fill="auto"/>
            <w:noWrap/>
            <w:vAlign w:val="bottom"/>
            <w:hideMark/>
          </w:tcPr>
          <w:p w14:paraId="546105F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-0.007</w:t>
            </w:r>
          </w:p>
        </w:tc>
        <w:tc>
          <w:tcPr>
            <w:tcW w:w="756" w:type="dxa"/>
            <w:tcBorders>
              <w:top w:val="nil"/>
              <w:left w:val="nil"/>
              <w:bottom w:val="nil"/>
              <w:right w:val="nil"/>
            </w:tcBorders>
            <w:shd w:val="clear" w:color="auto" w:fill="auto"/>
            <w:noWrap/>
            <w:vAlign w:val="bottom"/>
            <w:hideMark/>
          </w:tcPr>
          <w:p w14:paraId="292E068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0.019</w:t>
            </w:r>
          </w:p>
        </w:tc>
        <w:tc>
          <w:tcPr>
            <w:tcW w:w="683" w:type="dxa"/>
            <w:tcBorders>
              <w:top w:val="nil"/>
              <w:left w:val="nil"/>
              <w:bottom w:val="nil"/>
              <w:right w:val="nil"/>
            </w:tcBorders>
            <w:shd w:val="clear" w:color="auto" w:fill="auto"/>
            <w:noWrap/>
            <w:vAlign w:val="bottom"/>
            <w:hideMark/>
          </w:tcPr>
          <w:p w14:paraId="65BC6AC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-0.002</w:t>
            </w:r>
          </w:p>
        </w:tc>
        <w:tc>
          <w:tcPr>
            <w:tcW w:w="695" w:type="dxa"/>
            <w:tcBorders>
              <w:top w:val="nil"/>
              <w:left w:val="nil"/>
              <w:bottom w:val="nil"/>
              <w:right w:val="nil"/>
            </w:tcBorders>
            <w:shd w:val="clear" w:color="auto" w:fill="auto"/>
            <w:noWrap/>
            <w:vAlign w:val="bottom"/>
            <w:hideMark/>
          </w:tcPr>
          <w:p w14:paraId="08599EC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-0.017</w:t>
            </w:r>
          </w:p>
        </w:tc>
      </w:tr>
    </w:tbl>
    <w:p w14:paraId="3FAE913C" w14:textId="77777777" w:rsidR="00634ABA" w:rsidRPr="00986F85" w:rsidRDefault="00634ABA" w:rsidP="00634ABA">
      <w:pPr>
        <w:spacing w:after="0" w:line="240" w:lineRule="auto"/>
        <w:jc w:val="center"/>
        <w:rPr>
          <w:rFonts w:eastAsia="Times New Roman" w:cs="Times New Roman"/>
          <w:b/>
          <w:bCs/>
          <w:color w:val="FFFFFF"/>
          <w:lang w:eastAsia="hu-HU"/>
        </w:rPr>
      </w:pPr>
    </w:p>
    <w:p w14:paraId="27069306" w14:textId="77777777" w:rsidR="00A078CF" w:rsidRPr="00986F85" w:rsidRDefault="00A078CF" w:rsidP="00634ABA">
      <w:pPr>
        <w:spacing w:after="0" w:line="240" w:lineRule="auto"/>
        <w:jc w:val="center"/>
        <w:rPr>
          <w:rFonts w:eastAsia="Times New Roman" w:cs="Times New Roman"/>
          <w:b/>
          <w:bCs/>
          <w:lang w:eastAsia="hu-HU"/>
        </w:rPr>
      </w:pPr>
    </w:p>
    <w:p w14:paraId="42431A0E" w14:textId="77777777" w:rsidR="00A078CF" w:rsidRPr="00986F85" w:rsidRDefault="00A078CF" w:rsidP="00634ABA">
      <w:pPr>
        <w:spacing w:after="0" w:line="240" w:lineRule="auto"/>
        <w:jc w:val="center"/>
        <w:rPr>
          <w:rFonts w:eastAsia="Times New Roman" w:cs="Times New Roman"/>
          <w:b/>
          <w:bCs/>
          <w:lang w:eastAsia="hu-HU"/>
        </w:rPr>
        <w:sectPr w:rsidR="00A078CF" w:rsidRPr="00986F85" w:rsidSect="00476987">
          <w:pgSz w:w="16838" w:h="11906" w:orient="landscape"/>
          <w:pgMar w:top="1418" w:right="1418" w:bottom="1418" w:left="1418" w:header="709" w:footer="709" w:gutter="0"/>
          <w:cols w:space="708"/>
          <w:docGrid w:linePitch="360"/>
        </w:sectPr>
      </w:pPr>
      <w:r w:rsidRPr="00986F85">
        <w:rPr>
          <w:rFonts w:eastAsia="Times New Roman"/>
          <w:b/>
          <w:bCs/>
          <w:lang w:eastAsia="hu-HU"/>
        </w:rPr>
        <w:t>Főbb indikátorok változásának mediánja iparági bontásban (2009/2008)</w:t>
      </w:r>
    </w:p>
    <w:tbl>
      <w:tblPr>
        <w:tblW w:w="15689" w:type="dxa"/>
        <w:tblInd w:w="-324" w:type="dxa"/>
        <w:tblCellMar>
          <w:left w:w="70" w:type="dxa"/>
          <w:right w:w="70" w:type="dxa"/>
        </w:tblCellMar>
        <w:tblLook w:val="04A0" w:firstRow="1" w:lastRow="0" w:firstColumn="1" w:lastColumn="0" w:noHBand="0" w:noVBand="1"/>
      </w:tblPr>
      <w:tblGrid>
        <w:gridCol w:w="444"/>
        <w:gridCol w:w="1893"/>
        <w:gridCol w:w="806"/>
        <w:gridCol w:w="756"/>
        <w:gridCol w:w="929"/>
        <w:gridCol w:w="683"/>
        <w:gridCol w:w="683"/>
        <w:gridCol w:w="683"/>
        <w:gridCol w:w="806"/>
        <w:gridCol w:w="806"/>
        <w:gridCol w:w="683"/>
        <w:gridCol w:w="435"/>
        <w:gridCol w:w="435"/>
        <w:gridCol w:w="806"/>
        <w:gridCol w:w="756"/>
        <w:gridCol w:w="806"/>
        <w:gridCol w:w="683"/>
        <w:gridCol w:w="683"/>
        <w:gridCol w:w="683"/>
        <w:gridCol w:w="435"/>
        <w:gridCol w:w="806"/>
        <w:gridCol w:w="806"/>
      </w:tblGrid>
      <w:tr w:rsidR="00634ABA" w:rsidRPr="00986F85" w14:paraId="208251B8" w14:textId="77777777" w:rsidTr="00476987">
        <w:trPr>
          <w:trHeight w:val="302"/>
        </w:trPr>
        <w:tc>
          <w:tcPr>
            <w:tcW w:w="15689" w:type="dxa"/>
            <w:gridSpan w:val="22"/>
            <w:tcBorders>
              <w:top w:val="nil"/>
              <w:left w:val="nil"/>
              <w:right w:val="nil"/>
            </w:tcBorders>
            <w:shd w:val="clear" w:color="000000" w:fill="B10000"/>
            <w:noWrap/>
            <w:vAlign w:val="bottom"/>
            <w:hideMark/>
          </w:tcPr>
          <w:p w14:paraId="234B72DD" w14:textId="77777777" w:rsidR="00634ABA" w:rsidRPr="00986F85" w:rsidRDefault="00634ABA" w:rsidP="00476987">
            <w:pPr>
              <w:spacing w:after="0" w:line="240" w:lineRule="auto"/>
              <w:jc w:val="center"/>
              <w:rPr>
                <w:rFonts w:eastAsia="Times New Roman"/>
                <w:b/>
                <w:bCs/>
                <w:color w:val="FFFFFF"/>
                <w:lang w:eastAsia="hu-HU"/>
              </w:rPr>
            </w:pPr>
          </w:p>
        </w:tc>
      </w:tr>
      <w:tr w:rsidR="00634ABA" w:rsidRPr="00986F85" w14:paraId="500F5909" w14:textId="77777777" w:rsidTr="00476987">
        <w:trPr>
          <w:trHeight w:val="2806"/>
        </w:trPr>
        <w:tc>
          <w:tcPr>
            <w:tcW w:w="444" w:type="dxa"/>
            <w:tcBorders>
              <w:top w:val="nil"/>
              <w:left w:val="nil"/>
              <w:bottom w:val="nil"/>
              <w:right w:val="nil"/>
            </w:tcBorders>
            <w:shd w:val="clear" w:color="auto" w:fill="B10000"/>
            <w:noWrap/>
            <w:vAlign w:val="bottom"/>
            <w:hideMark/>
          </w:tcPr>
          <w:p w14:paraId="4285B39F" w14:textId="77777777" w:rsidR="00634ABA" w:rsidRPr="00986F85" w:rsidRDefault="00634ABA" w:rsidP="00476987">
            <w:pPr>
              <w:spacing w:after="0" w:line="240" w:lineRule="auto"/>
              <w:rPr>
                <w:rFonts w:eastAsia="Times New Roman"/>
                <w:color w:val="FFFFFF" w:themeColor="background1"/>
                <w:lang w:eastAsia="hu-HU"/>
              </w:rPr>
            </w:pPr>
          </w:p>
        </w:tc>
        <w:tc>
          <w:tcPr>
            <w:tcW w:w="1747" w:type="dxa"/>
            <w:tcBorders>
              <w:top w:val="nil"/>
              <w:left w:val="nil"/>
              <w:bottom w:val="nil"/>
              <w:right w:val="nil"/>
            </w:tcBorders>
            <w:shd w:val="clear" w:color="auto" w:fill="B10000"/>
            <w:noWrap/>
            <w:vAlign w:val="bottom"/>
            <w:hideMark/>
          </w:tcPr>
          <w:p w14:paraId="1E48A1F2" w14:textId="77777777" w:rsidR="00634ABA" w:rsidRPr="00986F85" w:rsidRDefault="00634ABA" w:rsidP="00476987">
            <w:pPr>
              <w:spacing w:after="0" w:line="240" w:lineRule="auto"/>
              <w:rPr>
                <w:rFonts w:eastAsia="Times New Roman"/>
                <w:color w:val="FFFFFF" w:themeColor="background1"/>
                <w:lang w:eastAsia="hu-HU"/>
              </w:rPr>
            </w:pPr>
          </w:p>
        </w:tc>
        <w:tc>
          <w:tcPr>
            <w:tcW w:w="757" w:type="dxa"/>
            <w:tcBorders>
              <w:top w:val="nil"/>
              <w:left w:val="nil"/>
              <w:bottom w:val="nil"/>
              <w:right w:val="nil"/>
            </w:tcBorders>
            <w:shd w:val="clear" w:color="auto" w:fill="B10000"/>
            <w:noWrap/>
            <w:textDirection w:val="btLr"/>
            <w:vAlign w:val="bottom"/>
            <w:hideMark/>
          </w:tcPr>
          <w:p w14:paraId="637989D1"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Adminisztratív és szolgáltatás</w:t>
            </w:r>
          </w:p>
        </w:tc>
        <w:tc>
          <w:tcPr>
            <w:tcW w:w="705" w:type="dxa"/>
            <w:tcBorders>
              <w:top w:val="nil"/>
              <w:left w:val="nil"/>
              <w:bottom w:val="nil"/>
              <w:right w:val="nil"/>
            </w:tcBorders>
            <w:shd w:val="clear" w:color="auto" w:fill="B10000"/>
            <w:noWrap/>
            <w:textDirection w:val="btLr"/>
            <w:vAlign w:val="bottom"/>
            <w:hideMark/>
          </w:tcPr>
          <w:p w14:paraId="48A90D03"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Bányászat, kőfejtés</w:t>
            </w:r>
          </w:p>
        </w:tc>
        <w:tc>
          <w:tcPr>
            <w:tcW w:w="863" w:type="dxa"/>
            <w:tcBorders>
              <w:top w:val="nil"/>
              <w:left w:val="nil"/>
              <w:bottom w:val="nil"/>
              <w:right w:val="nil"/>
            </w:tcBorders>
            <w:shd w:val="clear" w:color="auto" w:fill="B10000"/>
            <w:noWrap/>
            <w:textDirection w:val="btLr"/>
            <w:vAlign w:val="bottom"/>
            <w:hideMark/>
          </w:tcPr>
          <w:p w14:paraId="1865101F"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Egyéb szolgáltatás</w:t>
            </w:r>
          </w:p>
        </w:tc>
        <w:tc>
          <w:tcPr>
            <w:tcW w:w="673" w:type="dxa"/>
            <w:tcBorders>
              <w:top w:val="nil"/>
              <w:left w:val="nil"/>
              <w:bottom w:val="nil"/>
              <w:right w:val="nil"/>
            </w:tcBorders>
            <w:shd w:val="clear" w:color="auto" w:fill="B10000"/>
            <w:noWrap/>
            <w:textDirection w:val="btLr"/>
            <w:vAlign w:val="bottom"/>
            <w:hideMark/>
          </w:tcPr>
          <w:p w14:paraId="78283B8B"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Epítőipar</w:t>
            </w:r>
          </w:p>
        </w:tc>
        <w:tc>
          <w:tcPr>
            <w:tcW w:w="664" w:type="dxa"/>
            <w:tcBorders>
              <w:top w:val="nil"/>
              <w:left w:val="nil"/>
              <w:bottom w:val="nil"/>
              <w:right w:val="nil"/>
            </w:tcBorders>
            <w:shd w:val="clear" w:color="auto" w:fill="B10000"/>
            <w:noWrap/>
            <w:textDirection w:val="btLr"/>
            <w:vAlign w:val="bottom"/>
            <w:hideMark/>
          </w:tcPr>
          <w:p w14:paraId="3A812BDF"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Feldolgozóipar</w:t>
            </w:r>
          </w:p>
        </w:tc>
        <w:tc>
          <w:tcPr>
            <w:tcW w:w="661" w:type="dxa"/>
            <w:tcBorders>
              <w:top w:val="nil"/>
              <w:left w:val="nil"/>
              <w:bottom w:val="nil"/>
              <w:right w:val="nil"/>
            </w:tcBorders>
            <w:shd w:val="clear" w:color="auto" w:fill="B10000"/>
            <w:noWrap/>
            <w:textDirection w:val="btLr"/>
            <w:vAlign w:val="bottom"/>
            <w:hideMark/>
          </w:tcPr>
          <w:p w14:paraId="087CE4E7"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Humán-egészségügyi, szociális el.</w:t>
            </w:r>
          </w:p>
        </w:tc>
        <w:tc>
          <w:tcPr>
            <w:tcW w:w="759" w:type="dxa"/>
            <w:tcBorders>
              <w:top w:val="nil"/>
              <w:left w:val="nil"/>
              <w:bottom w:val="nil"/>
              <w:right w:val="nil"/>
            </w:tcBorders>
            <w:shd w:val="clear" w:color="auto" w:fill="B10000"/>
            <w:noWrap/>
            <w:textDirection w:val="btLr"/>
            <w:vAlign w:val="bottom"/>
            <w:hideMark/>
          </w:tcPr>
          <w:p w14:paraId="3A66320F"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Információ, kommunikáció</w:t>
            </w:r>
          </w:p>
        </w:tc>
        <w:tc>
          <w:tcPr>
            <w:tcW w:w="748" w:type="dxa"/>
            <w:tcBorders>
              <w:top w:val="nil"/>
              <w:left w:val="nil"/>
              <w:bottom w:val="nil"/>
              <w:right w:val="nil"/>
            </w:tcBorders>
            <w:shd w:val="clear" w:color="auto" w:fill="B10000"/>
            <w:noWrap/>
            <w:textDirection w:val="btLr"/>
            <w:vAlign w:val="bottom"/>
            <w:hideMark/>
          </w:tcPr>
          <w:p w14:paraId="7D9B2F81"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Ingatlanügyek</w:t>
            </w:r>
          </w:p>
        </w:tc>
        <w:tc>
          <w:tcPr>
            <w:tcW w:w="673" w:type="dxa"/>
            <w:tcBorders>
              <w:top w:val="nil"/>
              <w:left w:val="nil"/>
              <w:bottom w:val="nil"/>
              <w:right w:val="nil"/>
            </w:tcBorders>
            <w:shd w:val="clear" w:color="auto" w:fill="B10000"/>
            <w:noWrap/>
            <w:textDirection w:val="btLr"/>
            <w:vAlign w:val="bottom"/>
            <w:hideMark/>
          </w:tcPr>
          <w:p w14:paraId="457A61B2"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Kereskedelem, gépjárműjavítás</w:t>
            </w:r>
          </w:p>
        </w:tc>
        <w:tc>
          <w:tcPr>
            <w:tcW w:w="410" w:type="dxa"/>
            <w:tcBorders>
              <w:top w:val="nil"/>
              <w:left w:val="nil"/>
              <w:bottom w:val="nil"/>
              <w:right w:val="nil"/>
            </w:tcBorders>
            <w:shd w:val="clear" w:color="auto" w:fill="B10000"/>
            <w:noWrap/>
            <w:textDirection w:val="btLr"/>
            <w:vAlign w:val="bottom"/>
            <w:hideMark/>
          </w:tcPr>
          <w:p w14:paraId="0302D0FF"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Közigazgatás, védelem</w:t>
            </w:r>
          </w:p>
        </w:tc>
        <w:tc>
          <w:tcPr>
            <w:tcW w:w="410" w:type="dxa"/>
            <w:tcBorders>
              <w:top w:val="nil"/>
              <w:left w:val="nil"/>
              <w:bottom w:val="nil"/>
              <w:right w:val="nil"/>
            </w:tcBorders>
            <w:shd w:val="clear" w:color="auto" w:fill="B10000"/>
            <w:noWrap/>
            <w:textDirection w:val="btLr"/>
            <w:vAlign w:val="bottom"/>
            <w:hideMark/>
          </w:tcPr>
          <w:p w14:paraId="1E186642"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Mezőgazdaság, erdőgazdaság, hal.</w:t>
            </w:r>
          </w:p>
        </w:tc>
        <w:tc>
          <w:tcPr>
            <w:tcW w:w="750" w:type="dxa"/>
            <w:tcBorders>
              <w:top w:val="nil"/>
              <w:left w:val="nil"/>
              <w:bottom w:val="nil"/>
              <w:right w:val="nil"/>
            </w:tcBorders>
            <w:shd w:val="clear" w:color="auto" w:fill="B10000"/>
            <w:noWrap/>
            <w:textDirection w:val="btLr"/>
            <w:vAlign w:val="bottom"/>
            <w:hideMark/>
          </w:tcPr>
          <w:p w14:paraId="2917BE7B"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Művészet, szórakoztatás</w:t>
            </w:r>
          </w:p>
        </w:tc>
        <w:tc>
          <w:tcPr>
            <w:tcW w:w="718" w:type="dxa"/>
            <w:tcBorders>
              <w:top w:val="nil"/>
              <w:left w:val="nil"/>
              <w:bottom w:val="nil"/>
              <w:right w:val="nil"/>
            </w:tcBorders>
            <w:shd w:val="clear" w:color="auto" w:fill="B10000"/>
            <w:noWrap/>
            <w:textDirection w:val="btLr"/>
            <w:vAlign w:val="bottom"/>
            <w:hideMark/>
          </w:tcPr>
          <w:p w14:paraId="0EF350A0"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Oktatás</w:t>
            </w:r>
          </w:p>
        </w:tc>
        <w:tc>
          <w:tcPr>
            <w:tcW w:w="750" w:type="dxa"/>
            <w:tcBorders>
              <w:top w:val="nil"/>
              <w:left w:val="nil"/>
              <w:bottom w:val="nil"/>
              <w:right w:val="nil"/>
            </w:tcBorders>
            <w:shd w:val="clear" w:color="auto" w:fill="B10000"/>
            <w:noWrap/>
            <w:textDirection w:val="btLr"/>
            <w:vAlign w:val="bottom"/>
            <w:hideMark/>
          </w:tcPr>
          <w:p w14:paraId="2768B8BB"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Pénzügyi, biztosítási tev.</w:t>
            </w:r>
          </w:p>
        </w:tc>
        <w:tc>
          <w:tcPr>
            <w:tcW w:w="663" w:type="dxa"/>
            <w:tcBorders>
              <w:top w:val="nil"/>
              <w:left w:val="nil"/>
              <w:bottom w:val="nil"/>
              <w:right w:val="nil"/>
            </w:tcBorders>
            <w:shd w:val="clear" w:color="auto" w:fill="B10000"/>
            <w:noWrap/>
            <w:textDirection w:val="btLr"/>
            <w:vAlign w:val="bottom"/>
            <w:hideMark/>
          </w:tcPr>
          <w:p w14:paraId="7783B705"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Szakmai, tudományos, műszaki tev.</w:t>
            </w:r>
          </w:p>
        </w:tc>
        <w:tc>
          <w:tcPr>
            <w:tcW w:w="674" w:type="dxa"/>
            <w:tcBorders>
              <w:top w:val="nil"/>
              <w:left w:val="nil"/>
              <w:bottom w:val="nil"/>
              <w:right w:val="nil"/>
            </w:tcBorders>
            <w:shd w:val="clear" w:color="auto" w:fill="B10000"/>
            <w:noWrap/>
            <w:textDirection w:val="btLr"/>
            <w:vAlign w:val="bottom"/>
            <w:hideMark/>
          </w:tcPr>
          <w:p w14:paraId="131139E6"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Szálláshely-szolgáltatás, vendégl.</w:t>
            </w:r>
          </w:p>
        </w:tc>
        <w:tc>
          <w:tcPr>
            <w:tcW w:w="662" w:type="dxa"/>
            <w:tcBorders>
              <w:top w:val="nil"/>
              <w:left w:val="nil"/>
              <w:bottom w:val="nil"/>
              <w:right w:val="nil"/>
            </w:tcBorders>
            <w:shd w:val="clear" w:color="auto" w:fill="B10000"/>
            <w:noWrap/>
            <w:textDirection w:val="btLr"/>
            <w:vAlign w:val="bottom"/>
            <w:hideMark/>
          </w:tcPr>
          <w:p w14:paraId="16E6E26E"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Szállítás, raktározás</w:t>
            </w:r>
          </w:p>
        </w:tc>
        <w:tc>
          <w:tcPr>
            <w:tcW w:w="421" w:type="dxa"/>
            <w:tcBorders>
              <w:top w:val="nil"/>
              <w:left w:val="nil"/>
              <w:bottom w:val="nil"/>
              <w:right w:val="nil"/>
            </w:tcBorders>
            <w:shd w:val="clear" w:color="auto" w:fill="B10000"/>
            <w:noWrap/>
            <w:textDirection w:val="btLr"/>
            <w:vAlign w:val="bottom"/>
            <w:hideMark/>
          </w:tcPr>
          <w:p w14:paraId="32896071"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Villamosenergia-, gáz-,gőzellátás</w:t>
            </w:r>
          </w:p>
        </w:tc>
        <w:tc>
          <w:tcPr>
            <w:tcW w:w="752" w:type="dxa"/>
            <w:tcBorders>
              <w:top w:val="nil"/>
              <w:left w:val="nil"/>
              <w:bottom w:val="nil"/>
              <w:right w:val="nil"/>
            </w:tcBorders>
            <w:shd w:val="clear" w:color="auto" w:fill="B10000"/>
            <w:noWrap/>
            <w:textDirection w:val="btLr"/>
            <w:vAlign w:val="bottom"/>
            <w:hideMark/>
          </w:tcPr>
          <w:p w14:paraId="5B4597A8"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Vízellátás; szennyvízgyűjtése</w:t>
            </w:r>
          </w:p>
        </w:tc>
        <w:tc>
          <w:tcPr>
            <w:tcW w:w="785" w:type="dxa"/>
            <w:tcBorders>
              <w:top w:val="nil"/>
              <w:left w:val="nil"/>
              <w:bottom w:val="nil"/>
              <w:right w:val="nil"/>
            </w:tcBorders>
            <w:shd w:val="clear" w:color="auto" w:fill="B10000"/>
            <w:noWrap/>
            <w:textDirection w:val="btLr"/>
            <w:vAlign w:val="bottom"/>
            <w:hideMark/>
          </w:tcPr>
          <w:p w14:paraId="17D7E23F"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Országos átlag</w:t>
            </w:r>
          </w:p>
        </w:tc>
      </w:tr>
      <w:tr w:rsidR="00634ABA" w:rsidRPr="00986F85" w14:paraId="5577029A" w14:textId="77777777" w:rsidTr="00476987">
        <w:trPr>
          <w:trHeight w:val="287"/>
        </w:trPr>
        <w:tc>
          <w:tcPr>
            <w:tcW w:w="444" w:type="dxa"/>
            <w:vMerge w:val="restart"/>
            <w:tcBorders>
              <w:top w:val="nil"/>
              <w:left w:val="nil"/>
              <w:bottom w:val="nil"/>
              <w:right w:val="nil"/>
            </w:tcBorders>
            <w:shd w:val="clear" w:color="auto" w:fill="auto"/>
            <w:noWrap/>
            <w:textDirection w:val="btLr"/>
            <w:vAlign w:val="bottom"/>
            <w:hideMark/>
          </w:tcPr>
          <w:p w14:paraId="77D7996A" w14:textId="77777777" w:rsidR="00634ABA" w:rsidRPr="00986F85" w:rsidRDefault="00634ABA" w:rsidP="00476987">
            <w:pPr>
              <w:spacing w:after="0" w:line="240" w:lineRule="auto"/>
              <w:jc w:val="center"/>
              <w:rPr>
                <w:rFonts w:eastAsia="Times New Roman"/>
                <w:b/>
                <w:color w:val="000000"/>
                <w:lang w:eastAsia="hu-HU"/>
              </w:rPr>
            </w:pPr>
            <w:r w:rsidRPr="00986F85">
              <w:rPr>
                <w:rFonts w:eastAsia="Times New Roman"/>
                <w:b/>
                <w:color w:val="000000"/>
                <w:lang w:eastAsia="hu-HU"/>
              </w:rPr>
              <w:t>Nyertes</w:t>
            </w:r>
          </w:p>
        </w:tc>
        <w:tc>
          <w:tcPr>
            <w:tcW w:w="1747" w:type="dxa"/>
            <w:tcBorders>
              <w:top w:val="nil"/>
              <w:left w:val="nil"/>
              <w:bottom w:val="nil"/>
              <w:right w:val="nil"/>
            </w:tcBorders>
            <w:shd w:val="clear" w:color="auto" w:fill="auto"/>
            <w:noWrap/>
            <w:vAlign w:val="bottom"/>
            <w:hideMark/>
          </w:tcPr>
          <w:p w14:paraId="25256DF9"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Foglalkoztatottak száma (%)</w:t>
            </w:r>
          </w:p>
        </w:tc>
        <w:tc>
          <w:tcPr>
            <w:tcW w:w="757" w:type="dxa"/>
            <w:tcBorders>
              <w:top w:val="nil"/>
              <w:left w:val="nil"/>
              <w:bottom w:val="nil"/>
              <w:right w:val="nil"/>
            </w:tcBorders>
            <w:shd w:val="clear" w:color="auto" w:fill="auto"/>
            <w:noWrap/>
            <w:vAlign w:val="bottom"/>
            <w:hideMark/>
          </w:tcPr>
          <w:p w14:paraId="27F8A3A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3.4</w:t>
            </w:r>
          </w:p>
        </w:tc>
        <w:tc>
          <w:tcPr>
            <w:tcW w:w="705" w:type="dxa"/>
            <w:tcBorders>
              <w:top w:val="nil"/>
              <w:left w:val="nil"/>
              <w:bottom w:val="nil"/>
              <w:right w:val="nil"/>
            </w:tcBorders>
            <w:shd w:val="clear" w:color="auto" w:fill="auto"/>
            <w:noWrap/>
            <w:vAlign w:val="bottom"/>
            <w:hideMark/>
          </w:tcPr>
          <w:p w14:paraId="08AC02D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-8.3</w:t>
            </w:r>
          </w:p>
        </w:tc>
        <w:tc>
          <w:tcPr>
            <w:tcW w:w="863" w:type="dxa"/>
            <w:tcBorders>
              <w:top w:val="nil"/>
              <w:left w:val="nil"/>
              <w:bottom w:val="nil"/>
              <w:right w:val="nil"/>
            </w:tcBorders>
            <w:shd w:val="clear" w:color="auto" w:fill="auto"/>
            <w:noWrap/>
            <w:vAlign w:val="bottom"/>
            <w:hideMark/>
          </w:tcPr>
          <w:p w14:paraId="49F671B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-9.4</w:t>
            </w:r>
          </w:p>
        </w:tc>
        <w:tc>
          <w:tcPr>
            <w:tcW w:w="673" w:type="dxa"/>
            <w:tcBorders>
              <w:top w:val="nil"/>
              <w:left w:val="nil"/>
              <w:bottom w:val="nil"/>
              <w:right w:val="nil"/>
            </w:tcBorders>
            <w:shd w:val="clear" w:color="auto" w:fill="auto"/>
            <w:noWrap/>
            <w:vAlign w:val="bottom"/>
            <w:hideMark/>
          </w:tcPr>
          <w:p w14:paraId="0E74368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64" w:type="dxa"/>
            <w:tcBorders>
              <w:top w:val="nil"/>
              <w:left w:val="nil"/>
              <w:bottom w:val="nil"/>
              <w:right w:val="nil"/>
            </w:tcBorders>
            <w:shd w:val="clear" w:color="auto" w:fill="auto"/>
            <w:noWrap/>
            <w:vAlign w:val="bottom"/>
            <w:hideMark/>
          </w:tcPr>
          <w:p w14:paraId="1B5C4E0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61" w:type="dxa"/>
            <w:tcBorders>
              <w:top w:val="nil"/>
              <w:left w:val="nil"/>
              <w:bottom w:val="nil"/>
              <w:right w:val="nil"/>
            </w:tcBorders>
            <w:shd w:val="clear" w:color="auto" w:fill="auto"/>
            <w:noWrap/>
            <w:vAlign w:val="bottom"/>
            <w:hideMark/>
          </w:tcPr>
          <w:p w14:paraId="3F2A47D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759" w:type="dxa"/>
            <w:tcBorders>
              <w:top w:val="nil"/>
              <w:left w:val="nil"/>
              <w:bottom w:val="nil"/>
              <w:right w:val="nil"/>
            </w:tcBorders>
            <w:shd w:val="clear" w:color="auto" w:fill="auto"/>
            <w:noWrap/>
            <w:vAlign w:val="bottom"/>
            <w:hideMark/>
          </w:tcPr>
          <w:p w14:paraId="5413197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-1.4</w:t>
            </w:r>
          </w:p>
        </w:tc>
        <w:tc>
          <w:tcPr>
            <w:tcW w:w="748" w:type="dxa"/>
            <w:tcBorders>
              <w:top w:val="nil"/>
              <w:left w:val="nil"/>
              <w:bottom w:val="nil"/>
              <w:right w:val="nil"/>
            </w:tcBorders>
            <w:shd w:val="clear" w:color="auto" w:fill="auto"/>
            <w:noWrap/>
            <w:vAlign w:val="bottom"/>
            <w:hideMark/>
          </w:tcPr>
          <w:p w14:paraId="7BC5991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-16.1</w:t>
            </w:r>
          </w:p>
        </w:tc>
        <w:tc>
          <w:tcPr>
            <w:tcW w:w="673" w:type="dxa"/>
            <w:tcBorders>
              <w:top w:val="nil"/>
              <w:left w:val="nil"/>
              <w:bottom w:val="nil"/>
              <w:right w:val="nil"/>
            </w:tcBorders>
            <w:shd w:val="clear" w:color="auto" w:fill="auto"/>
            <w:noWrap/>
            <w:vAlign w:val="bottom"/>
            <w:hideMark/>
          </w:tcPr>
          <w:p w14:paraId="668EE88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410" w:type="dxa"/>
            <w:tcBorders>
              <w:top w:val="nil"/>
              <w:left w:val="nil"/>
              <w:bottom w:val="nil"/>
              <w:right w:val="nil"/>
            </w:tcBorders>
            <w:shd w:val="clear" w:color="000000" w:fill="BFBFBF"/>
            <w:noWrap/>
            <w:vAlign w:val="bottom"/>
            <w:hideMark/>
          </w:tcPr>
          <w:p w14:paraId="137BC03D"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410" w:type="dxa"/>
            <w:tcBorders>
              <w:top w:val="nil"/>
              <w:left w:val="nil"/>
              <w:bottom w:val="nil"/>
              <w:right w:val="nil"/>
            </w:tcBorders>
            <w:shd w:val="clear" w:color="000000" w:fill="BFBFBF"/>
            <w:noWrap/>
            <w:vAlign w:val="bottom"/>
            <w:hideMark/>
          </w:tcPr>
          <w:p w14:paraId="0D8AB04A"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750" w:type="dxa"/>
            <w:tcBorders>
              <w:top w:val="nil"/>
              <w:left w:val="nil"/>
              <w:bottom w:val="nil"/>
              <w:right w:val="nil"/>
            </w:tcBorders>
            <w:shd w:val="clear" w:color="auto" w:fill="auto"/>
            <w:noWrap/>
            <w:vAlign w:val="bottom"/>
            <w:hideMark/>
          </w:tcPr>
          <w:p w14:paraId="1C99CF5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718" w:type="dxa"/>
            <w:tcBorders>
              <w:top w:val="nil"/>
              <w:left w:val="nil"/>
              <w:bottom w:val="nil"/>
              <w:right w:val="nil"/>
            </w:tcBorders>
            <w:shd w:val="clear" w:color="auto" w:fill="auto"/>
            <w:noWrap/>
            <w:vAlign w:val="bottom"/>
            <w:hideMark/>
          </w:tcPr>
          <w:p w14:paraId="53B408E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-10.1</w:t>
            </w:r>
          </w:p>
        </w:tc>
        <w:tc>
          <w:tcPr>
            <w:tcW w:w="750" w:type="dxa"/>
            <w:tcBorders>
              <w:top w:val="nil"/>
              <w:left w:val="nil"/>
              <w:bottom w:val="nil"/>
              <w:right w:val="nil"/>
            </w:tcBorders>
            <w:shd w:val="clear" w:color="auto" w:fill="auto"/>
            <w:noWrap/>
            <w:vAlign w:val="bottom"/>
            <w:hideMark/>
          </w:tcPr>
          <w:p w14:paraId="3CC59C7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63" w:type="dxa"/>
            <w:tcBorders>
              <w:top w:val="nil"/>
              <w:left w:val="nil"/>
              <w:bottom w:val="nil"/>
              <w:right w:val="nil"/>
            </w:tcBorders>
            <w:shd w:val="clear" w:color="auto" w:fill="auto"/>
            <w:noWrap/>
            <w:vAlign w:val="bottom"/>
            <w:hideMark/>
          </w:tcPr>
          <w:p w14:paraId="0411782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74" w:type="dxa"/>
            <w:tcBorders>
              <w:top w:val="nil"/>
              <w:left w:val="nil"/>
              <w:bottom w:val="nil"/>
              <w:right w:val="nil"/>
            </w:tcBorders>
            <w:shd w:val="clear" w:color="auto" w:fill="auto"/>
            <w:noWrap/>
            <w:vAlign w:val="bottom"/>
            <w:hideMark/>
          </w:tcPr>
          <w:p w14:paraId="2D3C072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62" w:type="dxa"/>
            <w:tcBorders>
              <w:top w:val="nil"/>
              <w:left w:val="nil"/>
              <w:bottom w:val="nil"/>
              <w:right w:val="nil"/>
            </w:tcBorders>
            <w:shd w:val="clear" w:color="auto" w:fill="auto"/>
            <w:noWrap/>
            <w:vAlign w:val="bottom"/>
            <w:hideMark/>
          </w:tcPr>
          <w:p w14:paraId="72EA39F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421" w:type="dxa"/>
            <w:tcBorders>
              <w:top w:val="nil"/>
              <w:left w:val="nil"/>
              <w:bottom w:val="nil"/>
              <w:right w:val="nil"/>
            </w:tcBorders>
            <w:shd w:val="clear" w:color="000000" w:fill="BFBFBF"/>
            <w:noWrap/>
            <w:vAlign w:val="bottom"/>
            <w:hideMark/>
          </w:tcPr>
          <w:p w14:paraId="1EBF267B"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752" w:type="dxa"/>
            <w:tcBorders>
              <w:top w:val="nil"/>
              <w:left w:val="nil"/>
              <w:bottom w:val="nil"/>
              <w:right w:val="nil"/>
            </w:tcBorders>
            <w:shd w:val="clear" w:color="auto" w:fill="auto"/>
            <w:noWrap/>
            <w:vAlign w:val="bottom"/>
            <w:hideMark/>
          </w:tcPr>
          <w:p w14:paraId="2633FD8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10.9</w:t>
            </w:r>
          </w:p>
        </w:tc>
        <w:tc>
          <w:tcPr>
            <w:tcW w:w="785" w:type="dxa"/>
            <w:tcBorders>
              <w:top w:val="nil"/>
              <w:left w:val="nil"/>
              <w:bottom w:val="nil"/>
              <w:right w:val="nil"/>
            </w:tcBorders>
            <w:shd w:val="clear" w:color="auto" w:fill="auto"/>
            <w:noWrap/>
            <w:vAlign w:val="bottom"/>
            <w:hideMark/>
          </w:tcPr>
          <w:p w14:paraId="3390CF8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r>
      <w:tr w:rsidR="00634ABA" w:rsidRPr="00986F85" w14:paraId="10937508" w14:textId="77777777" w:rsidTr="00476987">
        <w:trPr>
          <w:trHeight w:val="287"/>
        </w:trPr>
        <w:tc>
          <w:tcPr>
            <w:tcW w:w="444" w:type="dxa"/>
            <w:vMerge/>
            <w:tcBorders>
              <w:top w:val="nil"/>
              <w:left w:val="nil"/>
              <w:bottom w:val="nil"/>
              <w:right w:val="nil"/>
            </w:tcBorders>
            <w:vAlign w:val="center"/>
            <w:hideMark/>
          </w:tcPr>
          <w:p w14:paraId="51ABB87E" w14:textId="77777777" w:rsidR="00634ABA" w:rsidRPr="00986F85" w:rsidRDefault="00634ABA" w:rsidP="00476987">
            <w:pPr>
              <w:spacing w:after="0" w:line="240" w:lineRule="auto"/>
              <w:rPr>
                <w:rFonts w:eastAsia="Times New Roman"/>
                <w:color w:val="000000"/>
                <w:lang w:eastAsia="hu-HU"/>
              </w:rPr>
            </w:pPr>
          </w:p>
        </w:tc>
        <w:tc>
          <w:tcPr>
            <w:tcW w:w="1747" w:type="dxa"/>
            <w:tcBorders>
              <w:top w:val="nil"/>
              <w:left w:val="nil"/>
              <w:bottom w:val="nil"/>
              <w:right w:val="nil"/>
            </w:tcBorders>
            <w:shd w:val="clear" w:color="auto" w:fill="auto"/>
            <w:noWrap/>
            <w:vAlign w:val="bottom"/>
            <w:hideMark/>
          </w:tcPr>
          <w:p w14:paraId="43D19EDA"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Nettó árbevétel (%)</w:t>
            </w:r>
          </w:p>
        </w:tc>
        <w:tc>
          <w:tcPr>
            <w:tcW w:w="757" w:type="dxa"/>
            <w:tcBorders>
              <w:top w:val="nil"/>
              <w:left w:val="nil"/>
              <w:bottom w:val="nil"/>
              <w:right w:val="nil"/>
            </w:tcBorders>
            <w:shd w:val="clear" w:color="auto" w:fill="auto"/>
            <w:noWrap/>
            <w:vAlign w:val="bottom"/>
            <w:hideMark/>
          </w:tcPr>
          <w:p w14:paraId="5BC7EC4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-0.4</w:t>
            </w:r>
          </w:p>
        </w:tc>
        <w:tc>
          <w:tcPr>
            <w:tcW w:w="705" w:type="dxa"/>
            <w:tcBorders>
              <w:top w:val="nil"/>
              <w:left w:val="nil"/>
              <w:bottom w:val="nil"/>
              <w:right w:val="nil"/>
            </w:tcBorders>
            <w:shd w:val="clear" w:color="auto" w:fill="auto"/>
            <w:noWrap/>
            <w:vAlign w:val="bottom"/>
            <w:hideMark/>
          </w:tcPr>
          <w:p w14:paraId="1FC167B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w:t>
            </w:r>
          </w:p>
        </w:tc>
        <w:tc>
          <w:tcPr>
            <w:tcW w:w="863" w:type="dxa"/>
            <w:tcBorders>
              <w:top w:val="nil"/>
              <w:left w:val="nil"/>
              <w:bottom w:val="nil"/>
              <w:right w:val="nil"/>
            </w:tcBorders>
            <w:shd w:val="clear" w:color="auto" w:fill="auto"/>
            <w:noWrap/>
            <w:vAlign w:val="bottom"/>
            <w:hideMark/>
          </w:tcPr>
          <w:p w14:paraId="59B5C41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10.8</w:t>
            </w:r>
          </w:p>
        </w:tc>
        <w:tc>
          <w:tcPr>
            <w:tcW w:w="673" w:type="dxa"/>
            <w:tcBorders>
              <w:top w:val="nil"/>
              <w:left w:val="nil"/>
              <w:bottom w:val="nil"/>
              <w:right w:val="nil"/>
            </w:tcBorders>
            <w:shd w:val="clear" w:color="auto" w:fill="auto"/>
            <w:noWrap/>
            <w:vAlign w:val="bottom"/>
            <w:hideMark/>
          </w:tcPr>
          <w:p w14:paraId="2D302E3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-1.5</w:t>
            </w:r>
          </w:p>
        </w:tc>
        <w:tc>
          <w:tcPr>
            <w:tcW w:w="664" w:type="dxa"/>
            <w:tcBorders>
              <w:top w:val="nil"/>
              <w:left w:val="nil"/>
              <w:bottom w:val="nil"/>
              <w:right w:val="nil"/>
            </w:tcBorders>
            <w:shd w:val="clear" w:color="auto" w:fill="auto"/>
            <w:noWrap/>
            <w:vAlign w:val="bottom"/>
            <w:hideMark/>
          </w:tcPr>
          <w:p w14:paraId="2C6A1D5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-10.3</w:t>
            </w:r>
          </w:p>
        </w:tc>
        <w:tc>
          <w:tcPr>
            <w:tcW w:w="661" w:type="dxa"/>
            <w:tcBorders>
              <w:top w:val="nil"/>
              <w:left w:val="nil"/>
              <w:bottom w:val="nil"/>
              <w:right w:val="nil"/>
            </w:tcBorders>
            <w:shd w:val="clear" w:color="auto" w:fill="auto"/>
            <w:noWrap/>
            <w:vAlign w:val="bottom"/>
            <w:hideMark/>
          </w:tcPr>
          <w:p w14:paraId="7DF399B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w:t>
            </w:r>
          </w:p>
        </w:tc>
        <w:tc>
          <w:tcPr>
            <w:tcW w:w="759" w:type="dxa"/>
            <w:tcBorders>
              <w:top w:val="nil"/>
              <w:left w:val="nil"/>
              <w:bottom w:val="nil"/>
              <w:right w:val="nil"/>
            </w:tcBorders>
            <w:shd w:val="clear" w:color="auto" w:fill="auto"/>
            <w:noWrap/>
            <w:vAlign w:val="bottom"/>
            <w:hideMark/>
          </w:tcPr>
          <w:p w14:paraId="055E0EC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2.8</w:t>
            </w:r>
          </w:p>
        </w:tc>
        <w:tc>
          <w:tcPr>
            <w:tcW w:w="748" w:type="dxa"/>
            <w:tcBorders>
              <w:top w:val="nil"/>
              <w:left w:val="nil"/>
              <w:bottom w:val="nil"/>
              <w:right w:val="nil"/>
            </w:tcBorders>
            <w:shd w:val="clear" w:color="auto" w:fill="auto"/>
            <w:noWrap/>
            <w:vAlign w:val="bottom"/>
            <w:hideMark/>
          </w:tcPr>
          <w:p w14:paraId="0468B7F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-25.2</w:t>
            </w:r>
          </w:p>
        </w:tc>
        <w:tc>
          <w:tcPr>
            <w:tcW w:w="673" w:type="dxa"/>
            <w:tcBorders>
              <w:top w:val="nil"/>
              <w:left w:val="nil"/>
              <w:bottom w:val="nil"/>
              <w:right w:val="nil"/>
            </w:tcBorders>
            <w:shd w:val="clear" w:color="auto" w:fill="auto"/>
            <w:noWrap/>
            <w:vAlign w:val="bottom"/>
            <w:hideMark/>
          </w:tcPr>
          <w:p w14:paraId="40672F6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-8.9</w:t>
            </w:r>
          </w:p>
        </w:tc>
        <w:tc>
          <w:tcPr>
            <w:tcW w:w="410" w:type="dxa"/>
            <w:tcBorders>
              <w:top w:val="nil"/>
              <w:left w:val="nil"/>
              <w:bottom w:val="nil"/>
              <w:right w:val="nil"/>
            </w:tcBorders>
            <w:shd w:val="clear" w:color="000000" w:fill="BFBFBF"/>
            <w:noWrap/>
            <w:vAlign w:val="bottom"/>
            <w:hideMark/>
          </w:tcPr>
          <w:p w14:paraId="5191D7EF"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410" w:type="dxa"/>
            <w:tcBorders>
              <w:top w:val="nil"/>
              <w:left w:val="nil"/>
              <w:bottom w:val="nil"/>
              <w:right w:val="nil"/>
            </w:tcBorders>
            <w:shd w:val="clear" w:color="000000" w:fill="BFBFBF"/>
            <w:noWrap/>
            <w:vAlign w:val="bottom"/>
            <w:hideMark/>
          </w:tcPr>
          <w:p w14:paraId="6315C609"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750" w:type="dxa"/>
            <w:tcBorders>
              <w:top w:val="nil"/>
              <w:left w:val="nil"/>
              <w:bottom w:val="nil"/>
              <w:right w:val="nil"/>
            </w:tcBorders>
            <w:shd w:val="clear" w:color="auto" w:fill="auto"/>
            <w:noWrap/>
            <w:vAlign w:val="bottom"/>
            <w:hideMark/>
          </w:tcPr>
          <w:p w14:paraId="555B3BC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-1.3</w:t>
            </w:r>
          </w:p>
        </w:tc>
        <w:tc>
          <w:tcPr>
            <w:tcW w:w="718" w:type="dxa"/>
            <w:tcBorders>
              <w:top w:val="nil"/>
              <w:left w:val="nil"/>
              <w:bottom w:val="nil"/>
              <w:right w:val="nil"/>
            </w:tcBorders>
            <w:shd w:val="clear" w:color="auto" w:fill="auto"/>
            <w:noWrap/>
            <w:vAlign w:val="bottom"/>
            <w:hideMark/>
          </w:tcPr>
          <w:p w14:paraId="281152C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-7.3</w:t>
            </w:r>
          </w:p>
        </w:tc>
        <w:tc>
          <w:tcPr>
            <w:tcW w:w="750" w:type="dxa"/>
            <w:tcBorders>
              <w:top w:val="nil"/>
              <w:left w:val="nil"/>
              <w:bottom w:val="nil"/>
              <w:right w:val="nil"/>
            </w:tcBorders>
            <w:shd w:val="clear" w:color="auto" w:fill="auto"/>
            <w:noWrap/>
            <w:vAlign w:val="bottom"/>
            <w:hideMark/>
          </w:tcPr>
          <w:p w14:paraId="3BA278E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0.5</w:t>
            </w:r>
          </w:p>
        </w:tc>
        <w:tc>
          <w:tcPr>
            <w:tcW w:w="663" w:type="dxa"/>
            <w:tcBorders>
              <w:top w:val="nil"/>
              <w:left w:val="nil"/>
              <w:bottom w:val="nil"/>
              <w:right w:val="nil"/>
            </w:tcBorders>
            <w:shd w:val="clear" w:color="auto" w:fill="auto"/>
            <w:noWrap/>
            <w:vAlign w:val="bottom"/>
            <w:hideMark/>
          </w:tcPr>
          <w:p w14:paraId="6306495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-3.8</w:t>
            </w:r>
          </w:p>
        </w:tc>
        <w:tc>
          <w:tcPr>
            <w:tcW w:w="674" w:type="dxa"/>
            <w:tcBorders>
              <w:top w:val="nil"/>
              <w:left w:val="nil"/>
              <w:bottom w:val="nil"/>
              <w:right w:val="nil"/>
            </w:tcBorders>
            <w:shd w:val="clear" w:color="auto" w:fill="auto"/>
            <w:noWrap/>
            <w:vAlign w:val="bottom"/>
            <w:hideMark/>
          </w:tcPr>
          <w:p w14:paraId="033819E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1.4</w:t>
            </w:r>
          </w:p>
        </w:tc>
        <w:tc>
          <w:tcPr>
            <w:tcW w:w="662" w:type="dxa"/>
            <w:tcBorders>
              <w:top w:val="nil"/>
              <w:left w:val="nil"/>
              <w:bottom w:val="nil"/>
              <w:right w:val="nil"/>
            </w:tcBorders>
            <w:shd w:val="clear" w:color="auto" w:fill="auto"/>
            <w:noWrap/>
            <w:vAlign w:val="bottom"/>
            <w:hideMark/>
          </w:tcPr>
          <w:p w14:paraId="1A47369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1.1</w:t>
            </w:r>
          </w:p>
        </w:tc>
        <w:tc>
          <w:tcPr>
            <w:tcW w:w="421" w:type="dxa"/>
            <w:tcBorders>
              <w:top w:val="nil"/>
              <w:left w:val="nil"/>
              <w:bottom w:val="nil"/>
              <w:right w:val="nil"/>
            </w:tcBorders>
            <w:shd w:val="clear" w:color="000000" w:fill="BFBFBF"/>
            <w:noWrap/>
            <w:vAlign w:val="bottom"/>
            <w:hideMark/>
          </w:tcPr>
          <w:p w14:paraId="39073AF8"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752" w:type="dxa"/>
            <w:tcBorders>
              <w:top w:val="nil"/>
              <w:left w:val="nil"/>
              <w:bottom w:val="nil"/>
              <w:right w:val="nil"/>
            </w:tcBorders>
            <w:shd w:val="clear" w:color="auto" w:fill="auto"/>
            <w:noWrap/>
            <w:vAlign w:val="bottom"/>
            <w:hideMark/>
          </w:tcPr>
          <w:p w14:paraId="656E185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12.9</w:t>
            </w:r>
          </w:p>
        </w:tc>
        <w:tc>
          <w:tcPr>
            <w:tcW w:w="785" w:type="dxa"/>
            <w:tcBorders>
              <w:top w:val="nil"/>
              <w:left w:val="nil"/>
              <w:bottom w:val="nil"/>
              <w:right w:val="nil"/>
            </w:tcBorders>
            <w:shd w:val="clear" w:color="auto" w:fill="auto"/>
            <w:noWrap/>
            <w:vAlign w:val="bottom"/>
            <w:hideMark/>
          </w:tcPr>
          <w:p w14:paraId="4BA83F5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-6.1</w:t>
            </w:r>
          </w:p>
        </w:tc>
      </w:tr>
      <w:tr w:rsidR="00634ABA" w:rsidRPr="00986F85" w14:paraId="2F100864" w14:textId="77777777" w:rsidTr="00476987">
        <w:trPr>
          <w:trHeight w:val="287"/>
        </w:trPr>
        <w:tc>
          <w:tcPr>
            <w:tcW w:w="444" w:type="dxa"/>
            <w:vMerge/>
            <w:tcBorders>
              <w:top w:val="nil"/>
              <w:left w:val="nil"/>
              <w:bottom w:val="nil"/>
              <w:right w:val="nil"/>
            </w:tcBorders>
            <w:vAlign w:val="center"/>
            <w:hideMark/>
          </w:tcPr>
          <w:p w14:paraId="03FD67C3" w14:textId="77777777" w:rsidR="00634ABA" w:rsidRPr="00986F85" w:rsidRDefault="00634ABA" w:rsidP="00476987">
            <w:pPr>
              <w:spacing w:after="0" w:line="240" w:lineRule="auto"/>
              <w:rPr>
                <w:rFonts w:eastAsia="Times New Roman"/>
                <w:color w:val="000000"/>
                <w:lang w:eastAsia="hu-HU"/>
              </w:rPr>
            </w:pPr>
          </w:p>
        </w:tc>
        <w:tc>
          <w:tcPr>
            <w:tcW w:w="1747" w:type="dxa"/>
            <w:tcBorders>
              <w:top w:val="nil"/>
              <w:left w:val="nil"/>
              <w:bottom w:val="nil"/>
              <w:right w:val="nil"/>
            </w:tcBorders>
            <w:shd w:val="clear" w:color="auto" w:fill="auto"/>
            <w:noWrap/>
            <w:vAlign w:val="bottom"/>
            <w:hideMark/>
          </w:tcPr>
          <w:p w14:paraId="2B824BA1"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Egy foglalkoztatottra eső árbevétel (%)</w:t>
            </w:r>
          </w:p>
        </w:tc>
        <w:tc>
          <w:tcPr>
            <w:tcW w:w="757" w:type="dxa"/>
            <w:tcBorders>
              <w:top w:val="nil"/>
              <w:left w:val="nil"/>
              <w:bottom w:val="nil"/>
              <w:right w:val="nil"/>
            </w:tcBorders>
            <w:shd w:val="clear" w:color="auto" w:fill="auto"/>
            <w:noWrap/>
            <w:vAlign w:val="bottom"/>
            <w:hideMark/>
          </w:tcPr>
          <w:p w14:paraId="409C244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-3.7</w:t>
            </w:r>
          </w:p>
        </w:tc>
        <w:tc>
          <w:tcPr>
            <w:tcW w:w="705" w:type="dxa"/>
            <w:tcBorders>
              <w:top w:val="nil"/>
              <w:left w:val="nil"/>
              <w:bottom w:val="nil"/>
              <w:right w:val="nil"/>
            </w:tcBorders>
            <w:shd w:val="clear" w:color="auto" w:fill="auto"/>
            <w:noWrap/>
            <w:vAlign w:val="bottom"/>
            <w:hideMark/>
          </w:tcPr>
          <w:p w14:paraId="4128618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8</w:t>
            </w:r>
          </w:p>
        </w:tc>
        <w:tc>
          <w:tcPr>
            <w:tcW w:w="863" w:type="dxa"/>
            <w:tcBorders>
              <w:top w:val="nil"/>
              <w:left w:val="nil"/>
              <w:bottom w:val="nil"/>
              <w:right w:val="nil"/>
            </w:tcBorders>
            <w:shd w:val="clear" w:color="auto" w:fill="auto"/>
            <w:noWrap/>
            <w:vAlign w:val="bottom"/>
            <w:hideMark/>
          </w:tcPr>
          <w:p w14:paraId="4532588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22.1</w:t>
            </w:r>
          </w:p>
        </w:tc>
        <w:tc>
          <w:tcPr>
            <w:tcW w:w="673" w:type="dxa"/>
            <w:tcBorders>
              <w:top w:val="nil"/>
              <w:left w:val="nil"/>
              <w:bottom w:val="nil"/>
              <w:right w:val="nil"/>
            </w:tcBorders>
            <w:shd w:val="clear" w:color="auto" w:fill="auto"/>
            <w:noWrap/>
            <w:vAlign w:val="bottom"/>
            <w:hideMark/>
          </w:tcPr>
          <w:p w14:paraId="377BF14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-1.3</w:t>
            </w:r>
          </w:p>
        </w:tc>
        <w:tc>
          <w:tcPr>
            <w:tcW w:w="664" w:type="dxa"/>
            <w:tcBorders>
              <w:top w:val="nil"/>
              <w:left w:val="nil"/>
              <w:bottom w:val="nil"/>
              <w:right w:val="nil"/>
            </w:tcBorders>
            <w:shd w:val="clear" w:color="auto" w:fill="auto"/>
            <w:noWrap/>
            <w:vAlign w:val="bottom"/>
            <w:hideMark/>
          </w:tcPr>
          <w:p w14:paraId="28E3819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-9.1</w:t>
            </w:r>
          </w:p>
        </w:tc>
        <w:tc>
          <w:tcPr>
            <w:tcW w:w="661" w:type="dxa"/>
            <w:tcBorders>
              <w:top w:val="nil"/>
              <w:left w:val="nil"/>
              <w:bottom w:val="nil"/>
              <w:right w:val="nil"/>
            </w:tcBorders>
            <w:shd w:val="clear" w:color="auto" w:fill="auto"/>
            <w:noWrap/>
            <w:vAlign w:val="bottom"/>
            <w:hideMark/>
          </w:tcPr>
          <w:p w14:paraId="3AEF471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-3.4</w:t>
            </w:r>
          </w:p>
        </w:tc>
        <w:tc>
          <w:tcPr>
            <w:tcW w:w="759" w:type="dxa"/>
            <w:tcBorders>
              <w:top w:val="nil"/>
              <w:left w:val="nil"/>
              <w:bottom w:val="nil"/>
              <w:right w:val="nil"/>
            </w:tcBorders>
            <w:shd w:val="clear" w:color="auto" w:fill="auto"/>
            <w:noWrap/>
            <w:vAlign w:val="bottom"/>
            <w:hideMark/>
          </w:tcPr>
          <w:p w14:paraId="0885F60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3.1</w:t>
            </w:r>
          </w:p>
        </w:tc>
        <w:tc>
          <w:tcPr>
            <w:tcW w:w="748" w:type="dxa"/>
            <w:tcBorders>
              <w:top w:val="nil"/>
              <w:left w:val="nil"/>
              <w:bottom w:val="nil"/>
              <w:right w:val="nil"/>
            </w:tcBorders>
            <w:shd w:val="clear" w:color="auto" w:fill="auto"/>
            <w:noWrap/>
            <w:vAlign w:val="bottom"/>
            <w:hideMark/>
          </w:tcPr>
          <w:p w14:paraId="163CFDE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-6.8</w:t>
            </w:r>
          </w:p>
        </w:tc>
        <w:tc>
          <w:tcPr>
            <w:tcW w:w="673" w:type="dxa"/>
            <w:tcBorders>
              <w:top w:val="nil"/>
              <w:left w:val="nil"/>
              <w:bottom w:val="nil"/>
              <w:right w:val="nil"/>
            </w:tcBorders>
            <w:shd w:val="clear" w:color="auto" w:fill="auto"/>
            <w:noWrap/>
            <w:vAlign w:val="bottom"/>
            <w:hideMark/>
          </w:tcPr>
          <w:p w14:paraId="3CE5751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-6.8</w:t>
            </w:r>
          </w:p>
        </w:tc>
        <w:tc>
          <w:tcPr>
            <w:tcW w:w="410" w:type="dxa"/>
            <w:tcBorders>
              <w:top w:val="nil"/>
              <w:left w:val="nil"/>
              <w:bottom w:val="nil"/>
              <w:right w:val="nil"/>
            </w:tcBorders>
            <w:shd w:val="clear" w:color="000000" w:fill="BFBFBF"/>
            <w:noWrap/>
            <w:vAlign w:val="bottom"/>
            <w:hideMark/>
          </w:tcPr>
          <w:p w14:paraId="49C8C11A"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410" w:type="dxa"/>
            <w:tcBorders>
              <w:top w:val="nil"/>
              <w:left w:val="nil"/>
              <w:bottom w:val="nil"/>
              <w:right w:val="nil"/>
            </w:tcBorders>
            <w:shd w:val="clear" w:color="000000" w:fill="BFBFBF"/>
            <w:noWrap/>
            <w:vAlign w:val="bottom"/>
            <w:hideMark/>
          </w:tcPr>
          <w:p w14:paraId="35A4D791"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750" w:type="dxa"/>
            <w:tcBorders>
              <w:top w:val="nil"/>
              <w:left w:val="nil"/>
              <w:bottom w:val="nil"/>
              <w:right w:val="nil"/>
            </w:tcBorders>
            <w:shd w:val="clear" w:color="auto" w:fill="auto"/>
            <w:noWrap/>
            <w:vAlign w:val="bottom"/>
            <w:hideMark/>
          </w:tcPr>
          <w:p w14:paraId="0FEE965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-1.3</w:t>
            </w:r>
          </w:p>
        </w:tc>
        <w:tc>
          <w:tcPr>
            <w:tcW w:w="718" w:type="dxa"/>
            <w:tcBorders>
              <w:top w:val="nil"/>
              <w:left w:val="nil"/>
              <w:bottom w:val="nil"/>
              <w:right w:val="nil"/>
            </w:tcBorders>
            <w:shd w:val="clear" w:color="auto" w:fill="auto"/>
            <w:noWrap/>
            <w:vAlign w:val="bottom"/>
            <w:hideMark/>
          </w:tcPr>
          <w:p w14:paraId="4F0A581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-4.5</w:t>
            </w:r>
          </w:p>
        </w:tc>
        <w:tc>
          <w:tcPr>
            <w:tcW w:w="750" w:type="dxa"/>
            <w:tcBorders>
              <w:top w:val="nil"/>
              <w:left w:val="nil"/>
              <w:bottom w:val="nil"/>
              <w:right w:val="nil"/>
            </w:tcBorders>
            <w:shd w:val="clear" w:color="auto" w:fill="auto"/>
            <w:noWrap/>
            <w:vAlign w:val="bottom"/>
            <w:hideMark/>
          </w:tcPr>
          <w:p w14:paraId="5AE1D44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3.6</w:t>
            </w:r>
          </w:p>
        </w:tc>
        <w:tc>
          <w:tcPr>
            <w:tcW w:w="663" w:type="dxa"/>
            <w:tcBorders>
              <w:top w:val="nil"/>
              <w:left w:val="nil"/>
              <w:bottom w:val="nil"/>
              <w:right w:val="nil"/>
            </w:tcBorders>
            <w:shd w:val="clear" w:color="auto" w:fill="auto"/>
            <w:noWrap/>
            <w:vAlign w:val="bottom"/>
            <w:hideMark/>
          </w:tcPr>
          <w:p w14:paraId="2498850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-3.8</w:t>
            </w:r>
          </w:p>
        </w:tc>
        <w:tc>
          <w:tcPr>
            <w:tcW w:w="674" w:type="dxa"/>
            <w:tcBorders>
              <w:top w:val="nil"/>
              <w:left w:val="nil"/>
              <w:bottom w:val="nil"/>
              <w:right w:val="nil"/>
            </w:tcBorders>
            <w:shd w:val="clear" w:color="auto" w:fill="auto"/>
            <w:noWrap/>
            <w:vAlign w:val="bottom"/>
            <w:hideMark/>
          </w:tcPr>
          <w:p w14:paraId="0A35097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3.9</w:t>
            </w:r>
          </w:p>
        </w:tc>
        <w:tc>
          <w:tcPr>
            <w:tcW w:w="662" w:type="dxa"/>
            <w:tcBorders>
              <w:top w:val="nil"/>
              <w:left w:val="nil"/>
              <w:bottom w:val="nil"/>
              <w:right w:val="nil"/>
            </w:tcBorders>
            <w:shd w:val="clear" w:color="auto" w:fill="auto"/>
            <w:noWrap/>
            <w:vAlign w:val="bottom"/>
            <w:hideMark/>
          </w:tcPr>
          <w:p w14:paraId="2FB991A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-1.8</w:t>
            </w:r>
          </w:p>
        </w:tc>
        <w:tc>
          <w:tcPr>
            <w:tcW w:w="421" w:type="dxa"/>
            <w:tcBorders>
              <w:top w:val="nil"/>
              <w:left w:val="nil"/>
              <w:bottom w:val="nil"/>
              <w:right w:val="nil"/>
            </w:tcBorders>
            <w:shd w:val="clear" w:color="000000" w:fill="BFBFBF"/>
            <w:noWrap/>
            <w:vAlign w:val="bottom"/>
            <w:hideMark/>
          </w:tcPr>
          <w:p w14:paraId="7D15383C"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752" w:type="dxa"/>
            <w:tcBorders>
              <w:top w:val="nil"/>
              <w:left w:val="nil"/>
              <w:bottom w:val="nil"/>
              <w:right w:val="nil"/>
            </w:tcBorders>
            <w:shd w:val="clear" w:color="auto" w:fill="auto"/>
            <w:noWrap/>
            <w:vAlign w:val="bottom"/>
            <w:hideMark/>
          </w:tcPr>
          <w:p w14:paraId="321B591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6.2</w:t>
            </w:r>
          </w:p>
        </w:tc>
        <w:tc>
          <w:tcPr>
            <w:tcW w:w="785" w:type="dxa"/>
            <w:tcBorders>
              <w:top w:val="nil"/>
              <w:left w:val="nil"/>
              <w:bottom w:val="nil"/>
              <w:right w:val="nil"/>
            </w:tcBorders>
            <w:shd w:val="clear" w:color="auto" w:fill="auto"/>
            <w:noWrap/>
            <w:vAlign w:val="bottom"/>
            <w:hideMark/>
          </w:tcPr>
          <w:p w14:paraId="5E34EA5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-5.5</w:t>
            </w:r>
          </w:p>
        </w:tc>
      </w:tr>
      <w:tr w:rsidR="00634ABA" w:rsidRPr="00986F85" w14:paraId="4EEC274C" w14:textId="77777777" w:rsidTr="00476987">
        <w:trPr>
          <w:trHeight w:val="287"/>
        </w:trPr>
        <w:tc>
          <w:tcPr>
            <w:tcW w:w="444" w:type="dxa"/>
            <w:vMerge/>
            <w:tcBorders>
              <w:top w:val="nil"/>
              <w:left w:val="nil"/>
              <w:bottom w:val="nil"/>
              <w:right w:val="nil"/>
            </w:tcBorders>
            <w:vAlign w:val="center"/>
            <w:hideMark/>
          </w:tcPr>
          <w:p w14:paraId="151EC1EB" w14:textId="77777777" w:rsidR="00634ABA" w:rsidRPr="00986F85" w:rsidRDefault="00634ABA" w:rsidP="00476987">
            <w:pPr>
              <w:spacing w:after="0" w:line="240" w:lineRule="auto"/>
              <w:rPr>
                <w:rFonts w:eastAsia="Times New Roman"/>
                <w:color w:val="000000"/>
                <w:lang w:eastAsia="hu-HU"/>
              </w:rPr>
            </w:pPr>
          </w:p>
        </w:tc>
        <w:tc>
          <w:tcPr>
            <w:tcW w:w="1747" w:type="dxa"/>
            <w:tcBorders>
              <w:top w:val="nil"/>
              <w:left w:val="nil"/>
              <w:bottom w:val="nil"/>
              <w:right w:val="nil"/>
            </w:tcBorders>
            <w:shd w:val="clear" w:color="auto" w:fill="auto"/>
            <w:noWrap/>
            <w:vAlign w:val="bottom"/>
            <w:hideMark/>
          </w:tcPr>
          <w:p w14:paraId="580202D3"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Tárgyi eszköz (%)</w:t>
            </w:r>
          </w:p>
        </w:tc>
        <w:tc>
          <w:tcPr>
            <w:tcW w:w="757" w:type="dxa"/>
            <w:tcBorders>
              <w:top w:val="nil"/>
              <w:left w:val="nil"/>
              <w:bottom w:val="nil"/>
              <w:right w:val="nil"/>
            </w:tcBorders>
            <w:shd w:val="clear" w:color="auto" w:fill="auto"/>
            <w:noWrap/>
            <w:vAlign w:val="bottom"/>
            <w:hideMark/>
          </w:tcPr>
          <w:p w14:paraId="60334A2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7.9</w:t>
            </w:r>
          </w:p>
        </w:tc>
        <w:tc>
          <w:tcPr>
            <w:tcW w:w="705" w:type="dxa"/>
            <w:tcBorders>
              <w:top w:val="nil"/>
              <w:left w:val="nil"/>
              <w:bottom w:val="nil"/>
              <w:right w:val="nil"/>
            </w:tcBorders>
            <w:shd w:val="clear" w:color="auto" w:fill="auto"/>
            <w:noWrap/>
            <w:vAlign w:val="bottom"/>
            <w:hideMark/>
          </w:tcPr>
          <w:p w14:paraId="2AB1349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-13.3</w:t>
            </w:r>
          </w:p>
        </w:tc>
        <w:tc>
          <w:tcPr>
            <w:tcW w:w="863" w:type="dxa"/>
            <w:tcBorders>
              <w:top w:val="nil"/>
              <w:left w:val="nil"/>
              <w:bottom w:val="nil"/>
              <w:right w:val="nil"/>
            </w:tcBorders>
            <w:shd w:val="clear" w:color="auto" w:fill="auto"/>
            <w:noWrap/>
            <w:vAlign w:val="bottom"/>
            <w:hideMark/>
          </w:tcPr>
          <w:p w14:paraId="6B3AED4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44.7</w:t>
            </w:r>
          </w:p>
        </w:tc>
        <w:tc>
          <w:tcPr>
            <w:tcW w:w="673" w:type="dxa"/>
            <w:tcBorders>
              <w:top w:val="nil"/>
              <w:left w:val="nil"/>
              <w:bottom w:val="nil"/>
              <w:right w:val="nil"/>
            </w:tcBorders>
            <w:shd w:val="clear" w:color="auto" w:fill="auto"/>
            <w:noWrap/>
            <w:vAlign w:val="bottom"/>
            <w:hideMark/>
          </w:tcPr>
          <w:p w14:paraId="4EACA82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-3.1</w:t>
            </w:r>
          </w:p>
        </w:tc>
        <w:tc>
          <w:tcPr>
            <w:tcW w:w="664" w:type="dxa"/>
            <w:tcBorders>
              <w:top w:val="nil"/>
              <w:left w:val="nil"/>
              <w:bottom w:val="nil"/>
              <w:right w:val="nil"/>
            </w:tcBorders>
            <w:shd w:val="clear" w:color="auto" w:fill="auto"/>
            <w:noWrap/>
            <w:vAlign w:val="bottom"/>
            <w:hideMark/>
          </w:tcPr>
          <w:p w14:paraId="50BB122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-2.4</w:t>
            </w:r>
          </w:p>
        </w:tc>
        <w:tc>
          <w:tcPr>
            <w:tcW w:w="661" w:type="dxa"/>
            <w:tcBorders>
              <w:top w:val="nil"/>
              <w:left w:val="nil"/>
              <w:bottom w:val="nil"/>
              <w:right w:val="nil"/>
            </w:tcBorders>
            <w:shd w:val="clear" w:color="auto" w:fill="auto"/>
            <w:noWrap/>
            <w:vAlign w:val="bottom"/>
            <w:hideMark/>
          </w:tcPr>
          <w:p w14:paraId="33B4D21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9.6</w:t>
            </w:r>
          </w:p>
        </w:tc>
        <w:tc>
          <w:tcPr>
            <w:tcW w:w="759" w:type="dxa"/>
            <w:tcBorders>
              <w:top w:val="nil"/>
              <w:left w:val="nil"/>
              <w:bottom w:val="nil"/>
              <w:right w:val="nil"/>
            </w:tcBorders>
            <w:shd w:val="clear" w:color="auto" w:fill="auto"/>
            <w:noWrap/>
            <w:vAlign w:val="bottom"/>
            <w:hideMark/>
          </w:tcPr>
          <w:p w14:paraId="3AEC875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-0.5</w:t>
            </w:r>
          </w:p>
        </w:tc>
        <w:tc>
          <w:tcPr>
            <w:tcW w:w="748" w:type="dxa"/>
            <w:tcBorders>
              <w:top w:val="nil"/>
              <w:left w:val="nil"/>
              <w:bottom w:val="nil"/>
              <w:right w:val="nil"/>
            </w:tcBorders>
            <w:shd w:val="clear" w:color="auto" w:fill="auto"/>
            <w:noWrap/>
            <w:vAlign w:val="bottom"/>
            <w:hideMark/>
          </w:tcPr>
          <w:p w14:paraId="1F11A77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w:t>
            </w:r>
          </w:p>
        </w:tc>
        <w:tc>
          <w:tcPr>
            <w:tcW w:w="673" w:type="dxa"/>
            <w:tcBorders>
              <w:top w:val="nil"/>
              <w:left w:val="nil"/>
              <w:bottom w:val="nil"/>
              <w:right w:val="nil"/>
            </w:tcBorders>
            <w:shd w:val="clear" w:color="auto" w:fill="auto"/>
            <w:noWrap/>
            <w:vAlign w:val="bottom"/>
            <w:hideMark/>
          </w:tcPr>
          <w:p w14:paraId="03517DC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-0.9</w:t>
            </w:r>
          </w:p>
        </w:tc>
        <w:tc>
          <w:tcPr>
            <w:tcW w:w="410" w:type="dxa"/>
            <w:tcBorders>
              <w:top w:val="nil"/>
              <w:left w:val="nil"/>
              <w:bottom w:val="nil"/>
              <w:right w:val="nil"/>
            </w:tcBorders>
            <w:shd w:val="clear" w:color="000000" w:fill="BFBFBF"/>
            <w:noWrap/>
            <w:vAlign w:val="bottom"/>
            <w:hideMark/>
          </w:tcPr>
          <w:p w14:paraId="6853326D"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410" w:type="dxa"/>
            <w:tcBorders>
              <w:top w:val="nil"/>
              <w:left w:val="nil"/>
              <w:bottom w:val="nil"/>
              <w:right w:val="nil"/>
            </w:tcBorders>
            <w:shd w:val="clear" w:color="000000" w:fill="BFBFBF"/>
            <w:noWrap/>
            <w:vAlign w:val="bottom"/>
            <w:hideMark/>
          </w:tcPr>
          <w:p w14:paraId="5AC27875"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750" w:type="dxa"/>
            <w:tcBorders>
              <w:top w:val="nil"/>
              <w:left w:val="nil"/>
              <w:bottom w:val="nil"/>
              <w:right w:val="nil"/>
            </w:tcBorders>
            <w:shd w:val="clear" w:color="auto" w:fill="auto"/>
            <w:noWrap/>
            <w:vAlign w:val="bottom"/>
            <w:hideMark/>
          </w:tcPr>
          <w:p w14:paraId="719410D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-13.1</w:t>
            </w:r>
          </w:p>
        </w:tc>
        <w:tc>
          <w:tcPr>
            <w:tcW w:w="718" w:type="dxa"/>
            <w:tcBorders>
              <w:top w:val="nil"/>
              <w:left w:val="nil"/>
              <w:bottom w:val="nil"/>
              <w:right w:val="nil"/>
            </w:tcBorders>
            <w:shd w:val="clear" w:color="auto" w:fill="auto"/>
            <w:noWrap/>
            <w:vAlign w:val="bottom"/>
            <w:hideMark/>
          </w:tcPr>
          <w:p w14:paraId="58562CD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-10.7</w:t>
            </w:r>
          </w:p>
        </w:tc>
        <w:tc>
          <w:tcPr>
            <w:tcW w:w="750" w:type="dxa"/>
            <w:tcBorders>
              <w:top w:val="nil"/>
              <w:left w:val="nil"/>
              <w:bottom w:val="nil"/>
              <w:right w:val="nil"/>
            </w:tcBorders>
            <w:shd w:val="clear" w:color="auto" w:fill="auto"/>
            <w:noWrap/>
            <w:vAlign w:val="bottom"/>
            <w:hideMark/>
          </w:tcPr>
          <w:p w14:paraId="7D032B5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1.4</w:t>
            </w:r>
          </w:p>
        </w:tc>
        <w:tc>
          <w:tcPr>
            <w:tcW w:w="663" w:type="dxa"/>
            <w:tcBorders>
              <w:top w:val="nil"/>
              <w:left w:val="nil"/>
              <w:bottom w:val="nil"/>
              <w:right w:val="nil"/>
            </w:tcBorders>
            <w:shd w:val="clear" w:color="auto" w:fill="auto"/>
            <w:noWrap/>
            <w:vAlign w:val="bottom"/>
            <w:hideMark/>
          </w:tcPr>
          <w:p w14:paraId="7DA19BE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-4.1</w:t>
            </w:r>
          </w:p>
        </w:tc>
        <w:tc>
          <w:tcPr>
            <w:tcW w:w="674" w:type="dxa"/>
            <w:tcBorders>
              <w:top w:val="nil"/>
              <w:left w:val="nil"/>
              <w:bottom w:val="nil"/>
              <w:right w:val="nil"/>
            </w:tcBorders>
            <w:shd w:val="clear" w:color="auto" w:fill="auto"/>
            <w:noWrap/>
            <w:vAlign w:val="bottom"/>
            <w:hideMark/>
          </w:tcPr>
          <w:p w14:paraId="3BE64F2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4.8</w:t>
            </w:r>
          </w:p>
        </w:tc>
        <w:tc>
          <w:tcPr>
            <w:tcW w:w="662" w:type="dxa"/>
            <w:tcBorders>
              <w:top w:val="nil"/>
              <w:left w:val="nil"/>
              <w:bottom w:val="nil"/>
              <w:right w:val="nil"/>
            </w:tcBorders>
            <w:shd w:val="clear" w:color="auto" w:fill="auto"/>
            <w:noWrap/>
            <w:vAlign w:val="bottom"/>
            <w:hideMark/>
          </w:tcPr>
          <w:p w14:paraId="0D7820A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3.4</w:t>
            </w:r>
          </w:p>
        </w:tc>
        <w:tc>
          <w:tcPr>
            <w:tcW w:w="421" w:type="dxa"/>
            <w:tcBorders>
              <w:top w:val="nil"/>
              <w:left w:val="nil"/>
              <w:bottom w:val="nil"/>
              <w:right w:val="nil"/>
            </w:tcBorders>
            <w:shd w:val="clear" w:color="000000" w:fill="BFBFBF"/>
            <w:noWrap/>
            <w:vAlign w:val="bottom"/>
            <w:hideMark/>
          </w:tcPr>
          <w:p w14:paraId="54888B91"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752" w:type="dxa"/>
            <w:tcBorders>
              <w:top w:val="nil"/>
              <w:left w:val="nil"/>
              <w:bottom w:val="nil"/>
              <w:right w:val="nil"/>
            </w:tcBorders>
            <w:shd w:val="clear" w:color="auto" w:fill="auto"/>
            <w:noWrap/>
            <w:vAlign w:val="bottom"/>
            <w:hideMark/>
          </w:tcPr>
          <w:p w14:paraId="155F13A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4.6</w:t>
            </w:r>
          </w:p>
        </w:tc>
        <w:tc>
          <w:tcPr>
            <w:tcW w:w="785" w:type="dxa"/>
            <w:tcBorders>
              <w:top w:val="nil"/>
              <w:left w:val="nil"/>
              <w:bottom w:val="nil"/>
              <w:right w:val="nil"/>
            </w:tcBorders>
            <w:shd w:val="clear" w:color="auto" w:fill="auto"/>
            <w:noWrap/>
            <w:vAlign w:val="bottom"/>
            <w:hideMark/>
          </w:tcPr>
          <w:p w14:paraId="7B82405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-1.6</w:t>
            </w:r>
          </w:p>
        </w:tc>
      </w:tr>
      <w:tr w:rsidR="00634ABA" w:rsidRPr="00986F85" w14:paraId="12E2C11E" w14:textId="77777777" w:rsidTr="00476987">
        <w:trPr>
          <w:trHeight w:val="287"/>
        </w:trPr>
        <w:tc>
          <w:tcPr>
            <w:tcW w:w="444" w:type="dxa"/>
            <w:vMerge/>
            <w:tcBorders>
              <w:top w:val="nil"/>
              <w:left w:val="nil"/>
              <w:bottom w:val="nil"/>
              <w:right w:val="nil"/>
            </w:tcBorders>
            <w:vAlign w:val="center"/>
            <w:hideMark/>
          </w:tcPr>
          <w:p w14:paraId="54AC5DA8" w14:textId="77777777" w:rsidR="00634ABA" w:rsidRPr="00986F85" w:rsidRDefault="00634ABA" w:rsidP="00476987">
            <w:pPr>
              <w:spacing w:after="0" w:line="240" w:lineRule="auto"/>
              <w:rPr>
                <w:rFonts w:eastAsia="Times New Roman"/>
                <w:color w:val="000000"/>
                <w:lang w:eastAsia="hu-HU"/>
              </w:rPr>
            </w:pPr>
          </w:p>
        </w:tc>
        <w:tc>
          <w:tcPr>
            <w:tcW w:w="1747" w:type="dxa"/>
            <w:tcBorders>
              <w:top w:val="nil"/>
              <w:left w:val="nil"/>
              <w:bottom w:val="nil"/>
              <w:right w:val="nil"/>
            </w:tcBorders>
            <w:shd w:val="clear" w:color="auto" w:fill="auto"/>
            <w:noWrap/>
            <w:vAlign w:val="bottom"/>
            <w:hideMark/>
          </w:tcPr>
          <w:p w14:paraId="7391E812"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Tőkeintenzitás (%)</w:t>
            </w:r>
          </w:p>
        </w:tc>
        <w:tc>
          <w:tcPr>
            <w:tcW w:w="757" w:type="dxa"/>
            <w:tcBorders>
              <w:top w:val="nil"/>
              <w:left w:val="nil"/>
              <w:bottom w:val="nil"/>
              <w:right w:val="nil"/>
            </w:tcBorders>
            <w:shd w:val="clear" w:color="auto" w:fill="auto"/>
            <w:noWrap/>
            <w:vAlign w:val="bottom"/>
            <w:hideMark/>
          </w:tcPr>
          <w:p w14:paraId="3F80E5E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2.3</w:t>
            </w:r>
          </w:p>
        </w:tc>
        <w:tc>
          <w:tcPr>
            <w:tcW w:w="705" w:type="dxa"/>
            <w:tcBorders>
              <w:top w:val="nil"/>
              <w:left w:val="nil"/>
              <w:bottom w:val="nil"/>
              <w:right w:val="nil"/>
            </w:tcBorders>
            <w:shd w:val="clear" w:color="auto" w:fill="auto"/>
            <w:noWrap/>
            <w:vAlign w:val="bottom"/>
            <w:hideMark/>
          </w:tcPr>
          <w:p w14:paraId="4F0100B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-5.4</w:t>
            </w:r>
          </w:p>
        </w:tc>
        <w:tc>
          <w:tcPr>
            <w:tcW w:w="863" w:type="dxa"/>
            <w:tcBorders>
              <w:top w:val="nil"/>
              <w:left w:val="nil"/>
              <w:bottom w:val="nil"/>
              <w:right w:val="nil"/>
            </w:tcBorders>
            <w:shd w:val="clear" w:color="auto" w:fill="auto"/>
            <w:noWrap/>
            <w:vAlign w:val="bottom"/>
            <w:hideMark/>
          </w:tcPr>
          <w:p w14:paraId="7485945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67.6</w:t>
            </w:r>
          </w:p>
        </w:tc>
        <w:tc>
          <w:tcPr>
            <w:tcW w:w="673" w:type="dxa"/>
            <w:tcBorders>
              <w:top w:val="nil"/>
              <w:left w:val="nil"/>
              <w:bottom w:val="nil"/>
              <w:right w:val="nil"/>
            </w:tcBorders>
            <w:shd w:val="clear" w:color="auto" w:fill="auto"/>
            <w:noWrap/>
            <w:vAlign w:val="bottom"/>
            <w:hideMark/>
          </w:tcPr>
          <w:p w14:paraId="4397E2D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w:t>
            </w:r>
          </w:p>
        </w:tc>
        <w:tc>
          <w:tcPr>
            <w:tcW w:w="664" w:type="dxa"/>
            <w:tcBorders>
              <w:top w:val="nil"/>
              <w:left w:val="nil"/>
              <w:bottom w:val="nil"/>
              <w:right w:val="nil"/>
            </w:tcBorders>
            <w:shd w:val="clear" w:color="auto" w:fill="auto"/>
            <w:noWrap/>
            <w:vAlign w:val="bottom"/>
            <w:hideMark/>
          </w:tcPr>
          <w:p w14:paraId="34E5E58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7.4</w:t>
            </w:r>
          </w:p>
        </w:tc>
        <w:tc>
          <w:tcPr>
            <w:tcW w:w="661" w:type="dxa"/>
            <w:tcBorders>
              <w:top w:val="nil"/>
              <w:left w:val="nil"/>
              <w:bottom w:val="nil"/>
              <w:right w:val="nil"/>
            </w:tcBorders>
            <w:shd w:val="clear" w:color="auto" w:fill="auto"/>
            <w:noWrap/>
            <w:vAlign w:val="bottom"/>
            <w:hideMark/>
          </w:tcPr>
          <w:p w14:paraId="72A2AE2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2.6</w:t>
            </w:r>
          </w:p>
        </w:tc>
        <w:tc>
          <w:tcPr>
            <w:tcW w:w="759" w:type="dxa"/>
            <w:tcBorders>
              <w:top w:val="nil"/>
              <w:left w:val="nil"/>
              <w:bottom w:val="nil"/>
              <w:right w:val="nil"/>
            </w:tcBorders>
            <w:shd w:val="clear" w:color="auto" w:fill="auto"/>
            <w:noWrap/>
            <w:vAlign w:val="bottom"/>
            <w:hideMark/>
          </w:tcPr>
          <w:p w14:paraId="65FFE6A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-1.9</w:t>
            </w:r>
          </w:p>
        </w:tc>
        <w:tc>
          <w:tcPr>
            <w:tcW w:w="748" w:type="dxa"/>
            <w:tcBorders>
              <w:top w:val="nil"/>
              <w:left w:val="nil"/>
              <w:bottom w:val="nil"/>
              <w:right w:val="nil"/>
            </w:tcBorders>
            <w:shd w:val="clear" w:color="auto" w:fill="auto"/>
            <w:noWrap/>
            <w:vAlign w:val="bottom"/>
            <w:hideMark/>
          </w:tcPr>
          <w:p w14:paraId="2540A8C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26.2</w:t>
            </w:r>
          </w:p>
        </w:tc>
        <w:tc>
          <w:tcPr>
            <w:tcW w:w="673" w:type="dxa"/>
            <w:tcBorders>
              <w:top w:val="nil"/>
              <w:left w:val="nil"/>
              <w:bottom w:val="nil"/>
              <w:right w:val="nil"/>
            </w:tcBorders>
            <w:shd w:val="clear" w:color="auto" w:fill="auto"/>
            <w:noWrap/>
            <w:vAlign w:val="bottom"/>
            <w:hideMark/>
          </w:tcPr>
          <w:p w14:paraId="3C989E4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1.9</w:t>
            </w:r>
          </w:p>
        </w:tc>
        <w:tc>
          <w:tcPr>
            <w:tcW w:w="410" w:type="dxa"/>
            <w:tcBorders>
              <w:top w:val="nil"/>
              <w:left w:val="nil"/>
              <w:bottom w:val="nil"/>
              <w:right w:val="nil"/>
            </w:tcBorders>
            <w:shd w:val="clear" w:color="000000" w:fill="BFBFBF"/>
            <w:noWrap/>
            <w:vAlign w:val="bottom"/>
            <w:hideMark/>
          </w:tcPr>
          <w:p w14:paraId="45FD19E1"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410" w:type="dxa"/>
            <w:tcBorders>
              <w:top w:val="nil"/>
              <w:left w:val="nil"/>
              <w:bottom w:val="nil"/>
              <w:right w:val="nil"/>
            </w:tcBorders>
            <w:shd w:val="clear" w:color="000000" w:fill="BFBFBF"/>
            <w:noWrap/>
            <w:vAlign w:val="bottom"/>
            <w:hideMark/>
          </w:tcPr>
          <w:p w14:paraId="19D6B1E5"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750" w:type="dxa"/>
            <w:tcBorders>
              <w:top w:val="nil"/>
              <w:left w:val="nil"/>
              <w:bottom w:val="nil"/>
              <w:right w:val="nil"/>
            </w:tcBorders>
            <w:shd w:val="clear" w:color="auto" w:fill="auto"/>
            <w:noWrap/>
            <w:vAlign w:val="bottom"/>
            <w:hideMark/>
          </w:tcPr>
          <w:p w14:paraId="5C7359E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-13.1</w:t>
            </w:r>
          </w:p>
        </w:tc>
        <w:tc>
          <w:tcPr>
            <w:tcW w:w="718" w:type="dxa"/>
            <w:tcBorders>
              <w:top w:val="nil"/>
              <w:left w:val="nil"/>
              <w:bottom w:val="nil"/>
              <w:right w:val="nil"/>
            </w:tcBorders>
            <w:shd w:val="clear" w:color="auto" w:fill="auto"/>
            <w:noWrap/>
            <w:vAlign w:val="bottom"/>
            <w:hideMark/>
          </w:tcPr>
          <w:p w14:paraId="504D109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w:t>
            </w:r>
          </w:p>
        </w:tc>
        <w:tc>
          <w:tcPr>
            <w:tcW w:w="750" w:type="dxa"/>
            <w:tcBorders>
              <w:top w:val="nil"/>
              <w:left w:val="nil"/>
              <w:bottom w:val="nil"/>
              <w:right w:val="nil"/>
            </w:tcBorders>
            <w:shd w:val="clear" w:color="auto" w:fill="auto"/>
            <w:noWrap/>
            <w:vAlign w:val="bottom"/>
            <w:hideMark/>
          </w:tcPr>
          <w:p w14:paraId="37816B1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4.2</w:t>
            </w:r>
          </w:p>
        </w:tc>
        <w:tc>
          <w:tcPr>
            <w:tcW w:w="663" w:type="dxa"/>
            <w:tcBorders>
              <w:top w:val="nil"/>
              <w:left w:val="nil"/>
              <w:bottom w:val="nil"/>
              <w:right w:val="nil"/>
            </w:tcBorders>
            <w:shd w:val="clear" w:color="auto" w:fill="auto"/>
            <w:noWrap/>
            <w:vAlign w:val="bottom"/>
            <w:hideMark/>
          </w:tcPr>
          <w:p w14:paraId="7AF6E23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0.4</w:t>
            </w:r>
          </w:p>
        </w:tc>
        <w:tc>
          <w:tcPr>
            <w:tcW w:w="674" w:type="dxa"/>
            <w:tcBorders>
              <w:top w:val="nil"/>
              <w:left w:val="nil"/>
              <w:bottom w:val="nil"/>
              <w:right w:val="nil"/>
            </w:tcBorders>
            <w:shd w:val="clear" w:color="auto" w:fill="auto"/>
            <w:noWrap/>
            <w:vAlign w:val="bottom"/>
            <w:hideMark/>
          </w:tcPr>
          <w:p w14:paraId="6C5252E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5.3</w:t>
            </w:r>
          </w:p>
        </w:tc>
        <w:tc>
          <w:tcPr>
            <w:tcW w:w="662" w:type="dxa"/>
            <w:tcBorders>
              <w:top w:val="nil"/>
              <w:left w:val="nil"/>
              <w:bottom w:val="nil"/>
              <w:right w:val="nil"/>
            </w:tcBorders>
            <w:shd w:val="clear" w:color="auto" w:fill="auto"/>
            <w:noWrap/>
            <w:vAlign w:val="bottom"/>
            <w:hideMark/>
          </w:tcPr>
          <w:p w14:paraId="2D42E41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-5.8</w:t>
            </w:r>
          </w:p>
        </w:tc>
        <w:tc>
          <w:tcPr>
            <w:tcW w:w="421" w:type="dxa"/>
            <w:tcBorders>
              <w:top w:val="nil"/>
              <w:left w:val="nil"/>
              <w:bottom w:val="nil"/>
              <w:right w:val="nil"/>
            </w:tcBorders>
            <w:shd w:val="clear" w:color="000000" w:fill="BFBFBF"/>
            <w:noWrap/>
            <w:vAlign w:val="bottom"/>
            <w:hideMark/>
          </w:tcPr>
          <w:p w14:paraId="7A3562E1"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752" w:type="dxa"/>
            <w:tcBorders>
              <w:top w:val="nil"/>
              <w:left w:val="nil"/>
              <w:bottom w:val="nil"/>
              <w:right w:val="nil"/>
            </w:tcBorders>
            <w:shd w:val="clear" w:color="auto" w:fill="auto"/>
            <w:noWrap/>
            <w:vAlign w:val="bottom"/>
            <w:hideMark/>
          </w:tcPr>
          <w:p w14:paraId="6D1F3CB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-0.7</w:t>
            </w:r>
          </w:p>
        </w:tc>
        <w:tc>
          <w:tcPr>
            <w:tcW w:w="785" w:type="dxa"/>
            <w:tcBorders>
              <w:top w:val="nil"/>
              <w:left w:val="nil"/>
              <w:bottom w:val="nil"/>
              <w:right w:val="nil"/>
            </w:tcBorders>
            <w:shd w:val="clear" w:color="auto" w:fill="auto"/>
            <w:noWrap/>
            <w:vAlign w:val="bottom"/>
            <w:hideMark/>
          </w:tcPr>
          <w:p w14:paraId="6269E0D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2.4</w:t>
            </w:r>
          </w:p>
        </w:tc>
      </w:tr>
      <w:tr w:rsidR="00634ABA" w:rsidRPr="00986F85" w14:paraId="4281E348" w14:textId="77777777" w:rsidTr="00476987">
        <w:trPr>
          <w:trHeight w:val="287"/>
        </w:trPr>
        <w:tc>
          <w:tcPr>
            <w:tcW w:w="444" w:type="dxa"/>
            <w:vMerge/>
            <w:tcBorders>
              <w:top w:val="nil"/>
              <w:left w:val="nil"/>
              <w:bottom w:val="nil"/>
              <w:right w:val="nil"/>
            </w:tcBorders>
            <w:vAlign w:val="center"/>
            <w:hideMark/>
          </w:tcPr>
          <w:p w14:paraId="201753CC" w14:textId="77777777" w:rsidR="00634ABA" w:rsidRPr="00986F85" w:rsidRDefault="00634ABA" w:rsidP="00476987">
            <w:pPr>
              <w:spacing w:after="0" w:line="240" w:lineRule="auto"/>
              <w:rPr>
                <w:rFonts w:eastAsia="Times New Roman"/>
                <w:color w:val="000000"/>
                <w:lang w:eastAsia="hu-HU"/>
              </w:rPr>
            </w:pPr>
          </w:p>
        </w:tc>
        <w:tc>
          <w:tcPr>
            <w:tcW w:w="1747" w:type="dxa"/>
            <w:tcBorders>
              <w:top w:val="nil"/>
              <w:left w:val="nil"/>
              <w:bottom w:val="nil"/>
              <w:right w:val="nil"/>
            </w:tcBorders>
            <w:shd w:val="clear" w:color="auto" w:fill="auto"/>
            <w:noWrap/>
            <w:vAlign w:val="bottom"/>
            <w:hideMark/>
          </w:tcPr>
          <w:p w14:paraId="39F67FEB"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Jegyzett tőke</w:t>
            </w:r>
          </w:p>
        </w:tc>
        <w:tc>
          <w:tcPr>
            <w:tcW w:w="757" w:type="dxa"/>
            <w:tcBorders>
              <w:top w:val="nil"/>
              <w:left w:val="nil"/>
              <w:bottom w:val="nil"/>
              <w:right w:val="nil"/>
            </w:tcBorders>
            <w:shd w:val="clear" w:color="auto" w:fill="auto"/>
            <w:noWrap/>
            <w:vAlign w:val="bottom"/>
            <w:hideMark/>
          </w:tcPr>
          <w:p w14:paraId="409626C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705" w:type="dxa"/>
            <w:tcBorders>
              <w:top w:val="nil"/>
              <w:left w:val="nil"/>
              <w:bottom w:val="nil"/>
              <w:right w:val="nil"/>
            </w:tcBorders>
            <w:shd w:val="clear" w:color="auto" w:fill="auto"/>
            <w:noWrap/>
            <w:vAlign w:val="bottom"/>
            <w:hideMark/>
          </w:tcPr>
          <w:p w14:paraId="5B5B447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63" w:type="dxa"/>
            <w:tcBorders>
              <w:top w:val="nil"/>
              <w:left w:val="nil"/>
              <w:bottom w:val="nil"/>
              <w:right w:val="nil"/>
            </w:tcBorders>
            <w:shd w:val="clear" w:color="auto" w:fill="auto"/>
            <w:noWrap/>
            <w:vAlign w:val="bottom"/>
            <w:hideMark/>
          </w:tcPr>
          <w:p w14:paraId="575D5ED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73" w:type="dxa"/>
            <w:tcBorders>
              <w:top w:val="nil"/>
              <w:left w:val="nil"/>
              <w:bottom w:val="nil"/>
              <w:right w:val="nil"/>
            </w:tcBorders>
            <w:shd w:val="clear" w:color="auto" w:fill="auto"/>
            <w:noWrap/>
            <w:vAlign w:val="bottom"/>
            <w:hideMark/>
          </w:tcPr>
          <w:p w14:paraId="340C5C5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64" w:type="dxa"/>
            <w:tcBorders>
              <w:top w:val="nil"/>
              <w:left w:val="nil"/>
              <w:bottom w:val="nil"/>
              <w:right w:val="nil"/>
            </w:tcBorders>
            <w:shd w:val="clear" w:color="auto" w:fill="auto"/>
            <w:noWrap/>
            <w:vAlign w:val="bottom"/>
            <w:hideMark/>
          </w:tcPr>
          <w:p w14:paraId="594011B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61" w:type="dxa"/>
            <w:tcBorders>
              <w:top w:val="nil"/>
              <w:left w:val="nil"/>
              <w:bottom w:val="nil"/>
              <w:right w:val="nil"/>
            </w:tcBorders>
            <w:shd w:val="clear" w:color="auto" w:fill="auto"/>
            <w:noWrap/>
            <w:vAlign w:val="bottom"/>
            <w:hideMark/>
          </w:tcPr>
          <w:p w14:paraId="09F52AB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759" w:type="dxa"/>
            <w:tcBorders>
              <w:top w:val="nil"/>
              <w:left w:val="nil"/>
              <w:bottom w:val="nil"/>
              <w:right w:val="nil"/>
            </w:tcBorders>
            <w:shd w:val="clear" w:color="auto" w:fill="auto"/>
            <w:noWrap/>
            <w:vAlign w:val="bottom"/>
            <w:hideMark/>
          </w:tcPr>
          <w:p w14:paraId="1D75A5E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748" w:type="dxa"/>
            <w:tcBorders>
              <w:top w:val="nil"/>
              <w:left w:val="nil"/>
              <w:bottom w:val="nil"/>
              <w:right w:val="nil"/>
            </w:tcBorders>
            <w:shd w:val="clear" w:color="auto" w:fill="auto"/>
            <w:noWrap/>
            <w:vAlign w:val="bottom"/>
            <w:hideMark/>
          </w:tcPr>
          <w:p w14:paraId="4569369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73" w:type="dxa"/>
            <w:tcBorders>
              <w:top w:val="nil"/>
              <w:left w:val="nil"/>
              <w:bottom w:val="nil"/>
              <w:right w:val="nil"/>
            </w:tcBorders>
            <w:shd w:val="clear" w:color="auto" w:fill="auto"/>
            <w:noWrap/>
            <w:vAlign w:val="bottom"/>
            <w:hideMark/>
          </w:tcPr>
          <w:p w14:paraId="70607C9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410" w:type="dxa"/>
            <w:tcBorders>
              <w:top w:val="nil"/>
              <w:left w:val="nil"/>
              <w:bottom w:val="nil"/>
              <w:right w:val="nil"/>
            </w:tcBorders>
            <w:shd w:val="clear" w:color="000000" w:fill="BFBFBF"/>
            <w:noWrap/>
            <w:vAlign w:val="bottom"/>
            <w:hideMark/>
          </w:tcPr>
          <w:p w14:paraId="4097E9F2"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410" w:type="dxa"/>
            <w:tcBorders>
              <w:top w:val="nil"/>
              <w:left w:val="nil"/>
              <w:bottom w:val="nil"/>
              <w:right w:val="nil"/>
            </w:tcBorders>
            <w:shd w:val="clear" w:color="000000" w:fill="BFBFBF"/>
            <w:noWrap/>
            <w:vAlign w:val="bottom"/>
            <w:hideMark/>
          </w:tcPr>
          <w:p w14:paraId="1EF6BAF6"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750" w:type="dxa"/>
            <w:tcBorders>
              <w:top w:val="nil"/>
              <w:left w:val="nil"/>
              <w:bottom w:val="nil"/>
              <w:right w:val="nil"/>
            </w:tcBorders>
            <w:shd w:val="clear" w:color="auto" w:fill="auto"/>
            <w:noWrap/>
            <w:vAlign w:val="bottom"/>
            <w:hideMark/>
          </w:tcPr>
          <w:p w14:paraId="7A6F453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718" w:type="dxa"/>
            <w:tcBorders>
              <w:top w:val="nil"/>
              <w:left w:val="nil"/>
              <w:bottom w:val="nil"/>
              <w:right w:val="nil"/>
            </w:tcBorders>
            <w:shd w:val="clear" w:color="auto" w:fill="auto"/>
            <w:noWrap/>
            <w:vAlign w:val="bottom"/>
            <w:hideMark/>
          </w:tcPr>
          <w:p w14:paraId="19BFEEC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750" w:type="dxa"/>
            <w:tcBorders>
              <w:top w:val="nil"/>
              <w:left w:val="nil"/>
              <w:bottom w:val="nil"/>
              <w:right w:val="nil"/>
            </w:tcBorders>
            <w:shd w:val="clear" w:color="auto" w:fill="auto"/>
            <w:noWrap/>
            <w:vAlign w:val="bottom"/>
            <w:hideMark/>
          </w:tcPr>
          <w:p w14:paraId="73383C5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0.9</w:t>
            </w:r>
          </w:p>
        </w:tc>
        <w:tc>
          <w:tcPr>
            <w:tcW w:w="663" w:type="dxa"/>
            <w:tcBorders>
              <w:top w:val="nil"/>
              <w:left w:val="nil"/>
              <w:bottom w:val="nil"/>
              <w:right w:val="nil"/>
            </w:tcBorders>
            <w:shd w:val="clear" w:color="auto" w:fill="auto"/>
            <w:noWrap/>
            <w:vAlign w:val="bottom"/>
            <w:hideMark/>
          </w:tcPr>
          <w:p w14:paraId="4F7056C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74" w:type="dxa"/>
            <w:tcBorders>
              <w:top w:val="nil"/>
              <w:left w:val="nil"/>
              <w:bottom w:val="nil"/>
              <w:right w:val="nil"/>
            </w:tcBorders>
            <w:shd w:val="clear" w:color="auto" w:fill="auto"/>
            <w:noWrap/>
            <w:vAlign w:val="bottom"/>
            <w:hideMark/>
          </w:tcPr>
          <w:p w14:paraId="23BD394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62" w:type="dxa"/>
            <w:tcBorders>
              <w:top w:val="nil"/>
              <w:left w:val="nil"/>
              <w:bottom w:val="nil"/>
              <w:right w:val="nil"/>
            </w:tcBorders>
            <w:shd w:val="clear" w:color="auto" w:fill="auto"/>
            <w:noWrap/>
            <w:vAlign w:val="bottom"/>
            <w:hideMark/>
          </w:tcPr>
          <w:p w14:paraId="2D4C1D3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421" w:type="dxa"/>
            <w:tcBorders>
              <w:top w:val="nil"/>
              <w:left w:val="nil"/>
              <w:bottom w:val="nil"/>
              <w:right w:val="nil"/>
            </w:tcBorders>
            <w:shd w:val="clear" w:color="000000" w:fill="BFBFBF"/>
            <w:noWrap/>
            <w:vAlign w:val="bottom"/>
            <w:hideMark/>
          </w:tcPr>
          <w:p w14:paraId="5C0A4D9A"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752" w:type="dxa"/>
            <w:tcBorders>
              <w:top w:val="nil"/>
              <w:left w:val="nil"/>
              <w:bottom w:val="nil"/>
              <w:right w:val="nil"/>
            </w:tcBorders>
            <w:shd w:val="clear" w:color="auto" w:fill="auto"/>
            <w:noWrap/>
            <w:vAlign w:val="bottom"/>
            <w:hideMark/>
          </w:tcPr>
          <w:p w14:paraId="124FFFB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785" w:type="dxa"/>
            <w:tcBorders>
              <w:top w:val="nil"/>
              <w:left w:val="nil"/>
              <w:bottom w:val="nil"/>
              <w:right w:val="nil"/>
            </w:tcBorders>
            <w:shd w:val="clear" w:color="auto" w:fill="auto"/>
            <w:noWrap/>
            <w:vAlign w:val="bottom"/>
            <w:hideMark/>
          </w:tcPr>
          <w:p w14:paraId="2212B3A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r>
      <w:tr w:rsidR="00634ABA" w:rsidRPr="00986F85" w14:paraId="26D807A4" w14:textId="77777777" w:rsidTr="00476987">
        <w:trPr>
          <w:trHeight w:val="287"/>
        </w:trPr>
        <w:tc>
          <w:tcPr>
            <w:tcW w:w="444" w:type="dxa"/>
            <w:vMerge/>
            <w:tcBorders>
              <w:top w:val="nil"/>
              <w:left w:val="nil"/>
              <w:bottom w:val="nil"/>
              <w:right w:val="nil"/>
            </w:tcBorders>
            <w:vAlign w:val="center"/>
            <w:hideMark/>
          </w:tcPr>
          <w:p w14:paraId="0BF9190D" w14:textId="77777777" w:rsidR="00634ABA" w:rsidRPr="00986F85" w:rsidRDefault="00634ABA" w:rsidP="00476987">
            <w:pPr>
              <w:spacing w:after="0" w:line="240" w:lineRule="auto"/>
              <w:rPr>
                <w:rFonts w:eastAsia="Times New Roman"/>
                <w:color w:val="000000"/>
                <w:lang w:eastAsia="hu-HU"/>
              </w:rPr>
            </w:pPr>
          </w:p>
        </w:tc>
        <w:tc>
          <w:tcPr>
            <w:tcW w:w="1747" w:type="dxa"/>
            <w:tcBorders>
              <w:top w:val="nil"/>
              <w:left w:val="nil"/>
              <w:bottom w:val="nil"/>
              <w:right w:val="nil"/>
            </w:tcBorders>
            <w:shd w:val="clear" w:color="auto" w:fill="auto"/>
            <w:noWrap/>
            <w:vAlign w:val="bottom"/>
            <w:hideMark/>
          </w:tcPr>
          <w:p w14:paraId="6E42BDAB"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Egy foglalkoztatottra eső jegyzett tőke (%)</w:t>
            </w:r>
          </w:p>
        </w:tc>
        <w:tc>
          <w:tcPr>
            <w:tcW w:w="757" w:type="dxa"/>
            <w:tcBorders>
              <w:top w:val="nil"/>
              <w:left w:val="nil"/>
              <w:bottom w:val="nil"/>
              <w:right w:val="nil"/>
            </w:tcBorders>
            <w:shd w:val="clear" w:color="auto" w:fill="auto"/>
            <w:noWrap/>
            <w:vAlign w:val="bottom"/>
            <w:hideMark/>
          </w:tcPr>
          <w:p w14:paraId="117340E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-3.3</w:t>
            </w:r>
          </w:p>
        </w:tc>
        <w:tc>
          <w:tcPr>
            <w:tcW w:w="705" w:type="dxa"/>
            <w:tcBorders>
              <w:top w:val="nil"/>
              <w:left w:val="nil"/>
              <w:bottom w:val="nil"/>
              <w:right w:val="nil"/>
            </w:tcBorders>
            <w:shd w:val="clear" w:color="auto" w:fill="auto"/>
            <w:noWrap/>
            <w:vAlign w:val="bottom"/>
            <w:hideMark/>
          </w:tcPr>
          <w:p w14:paraId="0D8ED56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9.1</w:t>
            </w:r>
          </w:p>
        </w:tc>
        <w:tc>
          <w:tcPr>
            <w:tcW w:w="863" w:type="dxa"/>
            <w:tcBorders>
              <w:top w:val="nil"/>
              <w:left w:val="nil"/>
              <w:bottom w:val="nil"/>
              <w:right w:val="nil"/>
            </w:tcBorders>
            <w:shd w:val="clear" w:color="auto" w:fill="auto"/>
            <w:noWrap/>
            <w:vAlign w:val="bottom"/>
            <w:hideMark/>
          </w:tcPr>
          <w:p w14:paraId="3B9CF22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10.4</w:t>
            </w:r>
          </w:p>
        </w:tc>
        <w:tc>
          <w:tcPr>
            <w:tcW w:w="673" w:type="dxa"/>
            <w:tcBorders>
              <w:top w:val="nil"/>
              <w:left w:val="nil"/>
              <w:bottom w:val="nil"/>
              <w:right w:val="nil"/>
            </w:tcBorders>
            <w:shd w:val="clear" w:color="auto" w:fill="auto"/>
            <w:noWrap/>
            <w:vAlign w:val="bottom"/>
            <w:hideMark/>
          </w:tcPr>
          <w:p w14:paraId="0F02D56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64" w:type="dxa"/>
            <w:tcBorders>
              <w:top w:val="nil"/>
              <w:left w:val="nil"/>
              <w:bottom w:val="nil"/>
              <w:right w:val="nil"/>
            </w:tcBorders>
            <w:shd w:val="clear" w:color="auto" w:fill="auto"/>
            <w:noWrap/>
            <w:vAlign w:val="bottom"/>
            <w:hideMark/>
          </w:tcPr>
          <w:p w14:paraId="7AC1A75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61" w:type="dxa"/>
            <w:tcBorders>
              <w:top w:val="nil"/>
              <w:left w:val="nil"/>
              <w:bottom w:val="nil"/>
              <w:right w:val="nil"/>
            </w:tcBorders>
            <w:shd w:val="clear" w:color="auto" w:fill="auto"/>
            <w:noWrap/>
            <w:vAlign w:val="bottom"/>
            <w:hideMark/>
          </w:tcPr>
          <w:p w14:paraId="723D5CB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759" w:type="dxa"/>
            <w:tcBorders>
              <w:top w:val="nil"/>
              <w:left w:val="nil"/>
              <w:bottom w:val="nil"/>
              <w:right w:val="nil"/>
            </w:tcBorders>
            <w:shd w:val="clear" w:color="auto" w:fill="auto"/>
            <w:noWrap/>
            <w:vAlign w:val="bottom"/>
            <w:hideMark/>
          </w:tcPr>
          <w:p w14:paraId="3719D30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1.4</w:t>
            </w:r>
          </w:p>
        </w:tc>
        <w:tc>
          <w:tcPr>
            <w:tcW w:w="748" w:type="dxa"/>
            <w:tcBorders>
              <w:top w:val="nil"/>
              <w:left w:val="nil"/>
              <w:bottom w:val="nil"/>
              <w:right w:val="nil"/>
            </w:tcBorders>
            <w:shd w:val="clear" w:color="auto" w:fill="auto"/>
            <w:noWrap/>
            <w:vAlign w:val="bottom"/>
            <w:hideMark/>
          </w:tcPr>
          <w:p w14:paraId="74C1C6E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19.2</w:t>
            </w:r>
          </w:p>
        </w:tc>
        <w:tc>
          <w:tcPr>
            <w:tcW w:w="673" w:type="dxa"/>
            <w:tcBorders>
              <w:top w:val="nil"/>
              <w:left w:val="nil"/>
              <w:bottom w:val="nil"/>
              <w:right w:val="nil"/>
            </w:tcBorders>
            <w:shd w:val="clear" w:color="auto" w:fill="auto"/>
            <w:noWrap/>
            <w:vAlign w:val="bottom"/>
            <w:hideMark/>
          </w:tcPr>
          <w:p w14:paraId="48F956F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410" w:type="dxa"/>
            <w:tcBorders>
              <w:top w:val="nil"/>
              <w:left w:val="nil"/>
              <w:bottom w:val="nil"/>
              <w:right w:val="nil"/>
            </w:tcBorders>
            <w:shd w:val="clear" w:color="000000" w:fill="BFBFBF"/>
            <w:noWrap/>
            <w:vAlign w:val="bottom"/>
            <w:hideMark/>
          </w:tcPr>
          <w:p w14:paraId="20899500"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410" w:type="dxa"/>
            <w:tcBorders>
              <w:top w:val="nil"/>
              <w:left w:val="nil"/>
              <w:bottom w:val="nil"/>
              <w:right w:val="nil"/>
            </w:tcBorders>
            <w:shd w:val="clear" w:color="000000" w:fill="BFBFBF"/>
            <w:noWrap/>
            <w:vAlign w:val="bottom"/>
            <w:hideMark/>
          </w:tcPr>
          <w:p w14:paraId="5925E9FB"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750" w:type="dxa"/>
            <w:tcBorders>
              <w:top w:val="nil"/>
              <w:left w:val="nil"/>
              <w:bottom w:val="nil"/>
              <w:right w:val="nil"/>
            </w:tcBorders>
            <w:shd w:val="clear" w:color="auto" w:fill="auto"/>
            <w:noWrap/>
            <w:vAlign w:val="bottom"/>
            <w:hideMark/>
          </w:tcPr>
          <w:p w14:paraId="1E8E18E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718" w:type="dxa"/>
            <w:tcBorders>
              <w:top w:val="nil"/>
              <w:left w:val="nil"/>
              <w:bottom w:val="nil"/>
              <w:right w:val="nil"/>
            </w:tcBorders>
            <w:shd w:val="clear" w:color="auto" w:fill="auto"/>
            <w:noWrap/>
            <w:vAlign w:val="bottom"/>
            <w:hideMark/>
          </w:tcPr>
          <w:p w14:paraId="4C5D294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11.5</w:t>
            </w:r>
          </w:p>
        </w:tc>
        <w:tc>
          <w:tcPr>
            <w:tcW w:w="750" w:type="dxa"/>
            <w:tcBorders>
              <w:top w:val="nil"/>
              <w:left w:val="nil"/>
              <w:bottom w:val="nil"/>
              <w:right w:val="nil"/>
            </w:tcBorders>
            <w:shd w:val="clear" w:color="auto" w:fill="auto"/>
            <w:noWrap/>
            <w:vAlign w:val="bottom"/>
            <w:hideMark/>
          </w:tcPr>
          <w:p w14:paraId="2D059C2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5.2</w:t>
            </w:r>
          </w:p>
        </w:tc>
        <w:tc>
          <w:tcPr>
            <w:tcW w:w="663" w:type="dxa"/>
            <w:tcBorders>
              <w:top w:val="nil"/>
              <w:left w:val="nil"/>
              <w:bottom w:val="nil"/>
              <w:right w:val="nil"/>
            </w:tcBorders>
            <w:shd w:val="clear" w:color="auto" w:fill="auto"/>
            <w:noWrap/>
            <w:vAlign w:val="bottom"/>
            <w:hideMark/>
          </w:tcPr>
          <w:p w14:paraId="4B454F3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74" w:type="dxa"/>
            <w:tcBorders>
              <w:top w:val="nil"/>
              <w:left w:val="nil"/>
              <w:bottom w:val="nil"/>
              <w:right w:val="nil"/>
            </w:tcBorders>
            <w:shd w:val="clear" w:color="auto" w:fill="auto"/>
            <w:noWrap/>
            <w:vAlign w:val="bottom"/>
            <w:hideMark/>
          </w:tcPr>
          <w:p w14:paraId="3CFC441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62" w:type="dxa"/>
            <w:tcBorders>
              <w:top w:val="nil"/>
              <w:left w:val="nil"/>
              <w:bottom w:val="nil"/>
              <w:right w:val="nil"/>
            </w:tcBorders>
            <w:shd w:val="clear" w:color="auto" w:fill="auto"/>
            <w:noWrap/>
            <w:vAlign w:val="bottom"/>
            <w:hideMark/>
          </w:tcPr>
          <w:p w14:paraId="34CD547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421" w:type="dxa"/>
            <w:tcBorders>
              <w:top w:val="nil"/>
              <w:left w:val="nil"/>
              <w:bottom w:val="nil"/>
              <w:right w:val="nil"/>
            </w:tcBorders>
            <w:shd w:val="clear" w:color="000000" w:fill="BFBFBF"/>
            <w:noWrap/>
            <w:vAlign w:val="bottom"/>
            <w:hideMark/>
          </w:tcPr>
          <w:p w14:paraId="442F1E58"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752" w:type="dxa"/>
            <w:tcBorders>
              <w:top w:val="nil"/>
              <w:left w:val="nil"/>
              <w:bottom w:val="nil"/>
              <w:right w:val="nil"/>
            </w:tcBorders>
            <w:shd w:val="clear" w:color="auto" w:fill="auto"/>
            <w:noWrap/>
            <w:vAlign w:val="bottom"/>
            <w:hideMark/>
          </w:tcPr>
          <w:p w14:paraId="5EABF52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-8.9</w:t>
            </w:r>
          </w:p>
        </w:tc>
        <w:tc>
          <w:tcPr>
            <w:tcW w:w="785" w:type="dxa"/>
            <w:tcBorders>
              <w:top w:val="nil"/>
              <w:left w:val="nil"/>
              <w:bottom w:val="nil"/>
              <w:right w:val="nil"/>
            </w:tcBorders>
            <w:shd w:val="clear" w:color="auto" w:fill="auto"/>
            <w:noWrap/>
            <w:vAlign w:val="bottom"/>
            <w:hideMark/>
          </w:tcPr>
          <w:p w14:paraId="05E7C0B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r>
      <w:tr w:rsidR="00634ABA" w:rsidRPr="00986F85" w14:paraId="67741450" w14:textId="77777777" w:rsidTr="00476987">
        <w:trPr>
          <w:trHeight w:val="287"/>
        </w:trPr>
        <w:tc>
          <w:tcPr>
            <w:tcW w:w="444" w:type="dxa"/>
            <w:vMerge/>
            <w:tcBorders>
              <w:top w:val="nil"/>
              <w:left w:val="nil"/>
              <w:bottom w:val="nil"/>
              <w:right w:val="nil"/>
            </w:tcBorders>
            <w:vAlign w:val="center"/>
            <w:hideMark/>
          </w:tcPr>
          <w:p w14:paraId="48A9E10A" w14:textId="77777777" w:rsidR="00634ABA" w:rsidRPr="00986F85" w:rsidRDefault="00634ABA" w:rsidP="00476987">
            <w:pPr>
              <w:spacing w:after="0" w:line="240" w:lineRule="auto"/>
              <w:rPr>
                <w:rFonts w:eastAsia="Times New Roman"/>
                <w:color w:val="000000"/>
                <w:lang w:eastAsia="hu-HU"/>
              </w:rPr>
            </w:pPr>
          </w:p>
        </w:tc>
        <w:tc>
          <w:tcPr>
            <w:tcW w:w="1747" w:type="dxa"/>
            <w:tcBorders>
              <w:top w:val="nil"/>
              <w:left w:val="nil"/>
              <w:bottom w:val="nil"/>
              <w:right w:val="nil"/>
            </w:tcBorders>
            <w:shd w:val="clear" w:color="auto" w:fill="auto"/>
            <w:noWrap/>
            <w:vAlign w:val="bottom"/>
            <w:hideMark/>
          </w:tcPr>
          <w:p w14:paraId="382B1AE5"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Likviditás</w:t>
            </w:r>
          </w:p>
        </w:tc>
        <w:tc>
          <w:tcPr>
            <w:tcW w:w="757" w:type="dxa"/>
            <w:tcBorders>
              <w:top w:val="nil"/>
              <w:left w:val="nil"/>
              <w:bottom w:val="nil"/>
              <w:right w:val="nil"/>
            </w:tcBorders>
            <w:shd w:val="clear" w:color="auto" w:fill="auto"/>
            <w:noWrap/>
            <w:vAlign w:val="bottom"/>
            <w:hideMark/>
          </w:tcPr>
          <w:p w14:paraId="68B389F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61.7</w:t>
            </w:r>
          </w:p>
        </w:tc>
        <w:tc>
          <w:tcPr>
            <w:tcW w:w="705" w:type="dxa"/>
            <w:tcBorders>
              <w:top w:val="nil"/>
              <w:left w:val="nil"/>
              <w:bottom w:val="nil"/>
              <w:right w:val="nil"/>
            </w:tcBorders>
            <w:shd w:val="clear" w:color="auto" w:fill="auto"/>
            <w:noWrap/>
            <w:vAlign w:val="bottom"/>
            <w:hideMark/>
          </w:tcPr>
          <w:p w14:paraId="4AC1EE6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15.3</w:t>
            </w:r>
          </w:p>
        </w:tc>
        <w:tc>
          <w:tcPr>
            <w:tcW w:w="863" w:type="dxa"/>
            <w:tcBorders>
              <w:top w:val="nil"/>
              <w:left w:val="nil"/>
              <w:bottom w:val="nil"/>
              <w:right w:val="nil"/>
            </w:tcBorders>
            <w:shd w:val="clear" w:color="auto" w:fill="auto"/>
            <w:noWrap/>
            <w:vAlign w:val="bottom"/>
            <w:hideMark/>
          </w:tcPr>
          <w:p w14:paraId="0CE4AFE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-18.9</w:t>
            </w:r>
          </w:p>
        </w:tc>
        <w:tc>
          <w:tcPr>
            <w:tcW w:w="673" w:type="dxa"/>
            <w:tcBorders>
              <w:top w:val="nil"/>
              <w:left w:val="nil"/>
              <w:bottom w:val="nil"/>
              <w:right w:val="nil"/>
            </w:tcBorders>
            <w:shd w:val="clear" w:color="auto" w:fill="auto"/>
            <w:noWrap/>
            <w:vAlign w:val="bottom"/>
            <w:hideMark/>
          </w:tcPr>
          <w:p w14:paraId="3C3DF94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17.9</w:t>
            </w:r>
          </w:p>
        </w:tc>
        <w:tc>
          <w:tcPr>
            <w:tcW w:w="664" w:type="dxa"/>
            <w:tcBorders>
              <w:top w:val="nil"/>
              <w:left w:val="nil"/>
              <w:bottom w:val="nil"/>
              <w:right w:val="nil"/>
            </w:tcBorders>
            <w:shd w:val="clear" w:color="auto" w:fill="auto"/>
            <w:noWrap/>
            <w:vAlign w:val="bottom"/>
            <w:hideMark/>
          </w:tcPr>
          <w:p w14:paraId="30900A8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7.9</w:t>
            </w:r>
          </w:p>
        </w:tc>
        <w:tc>
          <w:tcPr>
            <w:tcW w:w="661" w:type="dxa"/>
            <w:tcBorders>
              <w:top w:val="nil"/>
              <w:left w:val="nil"/>
              <w:bottom w:val="nil"/>
              <w:right w:val="nil"/>
            </w:tcBorders>
            <w:shd w:val="clear" w:color="auto" w:fill="auto"/>
            <w:noWrap/>
            <w:vAlign w:val="bottom"/>
            <w:hideMark/>
          </w:tcPr>
          <w:p w14:paraId="20EFD32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-31.9</w:t>
            </w:r>
          </w:p>
        </w:tc>
        <w:tc>
          <w:tcPr>
            <w:tcW w:w="759" w:type="dxa"/>
            <w:tcBorders>
              <w:top w:val="nil"/>
              <w:left w:val="nil"/>
              <w:bottom w:val="nil"/>
              <w:right w:val="nil"/>
            </w:tcBorders>
            <w:shd w:val="clear" w:color="auto" w:fill="auto"/>
            <w:noWrap/>
            <w:vAlign w:val="bottom"/>
            <w:hideMark/>
          </w:tcPr>
          <w:p w14:paraId="2B8536C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-2.7</w:t>
            </w:r>
          </w:p>
        </w:tc>
        <w:tc>
          <w:tcPr>
            <w:tcW w:w="748" w:type="dxa"/>
            <w:tcBorders>
              <w:top w:val="nil"/>
              <w:left w:val="nil"/>
              <w:bottom w:val="nil"/>
              <w:right w:val="nil"/>
            </w:tcBorders>
            <w:shd w:val="clear" w:color="auto" w:fill="auto"/>
            <w:noWrap/>
            <w:vAlign w:val="bottom"/>
            <w:hideMark/>
          </w:tcPr>
          <w:p w14:paraId="3093F49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2.1</w:t>
            </w:r>
          </w:p>
        </w:tc>
        <w:tc>
          <w:tcPr>
            <w:tcW w:w="673" w:type="dxa"/>
            <w:tcBorders>
              <w:top w:val="nil"/>
              <w:left w:val="nil"/>
              <w:bottom w:val="nil"/>
              <w:right w:val="nil"/>
            </w:tcBorders>
            <w:shd w:val="clear" w:color="auto" w:fill="auto"/>
            <w:noWrap/>
            <w:vAlign w:val="bottom"/>
            <w:hideMark/>
          </w:tcPr>
          <w:p w14:paraId="371B45C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3.1</w:t>
            </w:r>
          </w:p>
        </w:tc>
        <w:tc>
          <w:tcPr>
            <w:tcW w:w="410" w:type="dxa"/>
            <w:tcBorders>
              <w:top w:val="nil"/>
              <w:left w:val="nil"/>
              <w:bottom w:val="nil"/>
              <w:right w:val="nil"/>
            </w:tcBorders>
            <w:shd w:val="clear" w:color="000000" w:fill="BFBFBF"/>
            <w:noWrap/>
            <w:vAlign w:val="bottom"/>
            <w:hideMark/>
          </w:tcPr>
          <w:p w14:paraId="2C51E0D4"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410" w:type="dxa"/>
            <w:tcBorders>
              <w:top w:val="nil"/>
              <w:left w:val="nil"/>
              <w:bottom w:val="nil"/>
              <w:right w:val="nil"/>
            </w:tcBorders>
            <w:shd w:val="clear" w:color="000000" w:fill="BFBFBF"/>
            <w:noWrap/>
            <w:vAlign w:val="bottom"/>
            <w:hideMark/>
          </w:tcPr>
          <w:p w14:paraId="5C2AFB8E"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750" w:type="dxa"/>
            <w:tcBorders>
              <w:top w:val="nil"/>
              <w:left w:val="nil"/>
              <w:bottom w:val="nil"/>
              <w:right w:val="nil"/>
            </w:tcBorders>
            <w:shd w:val="clear" w:color="auto" w:fill="auto"/>
            <w:noWrap/>
            <w:vAlign w:val="bottom"/>
            <w:hideMark/>
          </w:tcPr>
          <w:p w14:paraId="78016EE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34</w:t>
            </w:r>
          </w:p>
        </w:tc>
        <w:tc>
          <w:tcPr>
            <w:tcW w:w="718" w:type="dxa"/>
            <w:tcBorders>
              <w:top w:val="nil"/>
              <w:left w:val="nil"/>
              <w:bottom w:val="nil"/>
              <w:right w:val="nil"/>
            </w:tcBorders>
            <w:shd w:val="clear" w:color="auto" w:fill="auto"/>
            <w:noWrap/>
            <w:vAlign w:val="bottom"/>
            <w:hideMark/>
          </w:tcPr>
          <w:p w14:paraId="6A0922A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28.8</w:t>
            </w:r>
          </w:p>
        </w:tc>
        <w:tc>
          <w:tcPr>
            <w:tcW w:w="750" w:type="dxa"/>
            <w:tcBorders>
              <w:top w:val="nil"/>
              <w:left w:val="nil"/>
              <w:bottom w:val="nil"/>
              <w:right w:val="nil"/>
            </w:tcBorders>
            <w:shd w:val="clear" w:color="auto" w:fill="auto"/>
            <w:noWrap/>
            <w:vAlign w:val="bottom"/>
            <w:hideMark/>
          </w:tcPr>
          <w:p w14:paraId="7B82850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w:t>
            </w:r>
          </w:p>
        </w:tc>
        <w:tc>
          <w:tcPr>
            <w:tcW w:w="663" w:type="dxa"/>
            <w:tcBorders>
              <w:top w:val="nil"/>
              <w:left w:val="nil"/>
              <w:bottom w:val="nil"/>
              <w:right w:val="nil"/>
            </w:tcBorders>
            <w:shd w:val="clear" w:color="auto" w:fill="auto"/>
            <w:noWrap/>
            <w:vAlign w:val="bottom"/>
            <w:hideMark/>
          </w:tcPr>
          <w:p w14:paraId="5936582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8.6</w:t>
            </w:r>
          </w:p>
        </w:tc>
        <w:tc>
          <w:tcPr>
            <w:tcW w:w="674" w:type="dxa"/>
            <w:tcBorders>
              <w:top w:val="nil"/>
              <w:left w:val="nil"/>
              <w:bottom w:val="nil"/>
              <w:right w:val="nil"/>
            </w:tcBorders>
            <w:shd w:val="clear" w:color="auto" w:fill="auto"/>
            <w:noWrap/>
            <w:vAlign w:val="bottom"/>
            <w:hideMark/>
          </w:tcPr>
          <w:p w14:paraId="14DFA3C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-14.4</w:t>
            </w:r>
          </w:p>
        </w:tc>
        <w:tc>
          <w:tcPr>
            <w:tcW w:w="662" w:type="dxa"/>
            <w:tcBorders>
              <w:top w:val="nil"/>
              <w:left w:val="nil"/>
              <w:bottom w:val="nil"/>
              <w:right w:val="nil"/>
            </w:tcBorders>
            <w:shd w:val="clear" w:color="auto" w:fill="auto"/>
            <w:noWrap/>
            <w:vAlign w:val="bottom"/>
            <w:hideMark/>
          </w:tcPr>
          <w:p w14:paraId="629A250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w:t>
            </w:r>
          </w:p>
        </w:tc>
        <w:tc>
          <w:tcPr>
            <w:tcW w:w="421" w:type="dxa"/>
            <w:tcBorders>
              <w:top w:val="nil"/>
              <w:left w:val="nil"/>
              <w:bottom w:val="nil"/>
              <w:right w:val="nil"/>
            </w:tcBorders>
            <w:shd w:val="clear" w:color="000000" w:fill="BFBFBF"/>
            <w:noWrap/>
            <w:vAlign w:val="bottom"/>
            <w:hideMark/>
          </w:tcPr>
          <w:p w14:paraId="4E8BC91F"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752" w:type="dxa"/>
            <w:tcBorders>
              <w:top w:val="nil"/>
              <w:left w:val="nil"/>
              <w:bottom w:val="nil"/>
              <w:right w:val="nil"/>
            </w:tcBorders>
            <w:shd w:val="clear" w:color="auto" w:fill="auto"/>
            <w:noWrap/>
            <w:vAlign w:val="bottom"/>
            <w:hideMark/>
          </w:tcPr>
          <w:p w14:paraId="63AF97F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-14.3</w:t>
            </w:r>
          </w:p>
        </w:tc>
        <w:tc>
          <w:tcPr>
            <w:tcW w:w="785" w:type="dxa"/>
            <w:tcBorders>
              <w:top w:val="nil"/>
              <w:left w:val="nil"/>
              <w:bottom w:val="nil"/>
              <w:right w:val="nil"/>
            </w:tcBorders>
            <w:shd w:val="clear" w:color="auto" w:fill="auto"/>
            <w:noWrap/>
            <w:vAlign w:val="bottom"/>
            <w:hideMark/>
          </w:tcPr>
          <w:p w14:paraId="626568D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5.8</w:t>
            </w:r>
          </w:p>
        </w:tc>
      </w:tr>
      <w:tr w:rsidR="00634ABA" w:rsidRPr="00986F85" w14:paraId="568C250E" w14:textId="77777777" w:rsidTr="00476987">
        <w:trPr>
          <w:trHeight w:val="287"/>
        </w:trPr>
        <w:tc>
          <w:tcPr>
            <w:tcW w:w="444" w:type="dxa"/>
            <w:vMerge/>
            <w:tcBorders>
              <w:top w:val="nil"/>
              <w:left w:val="nil"/>
              <w:bottom w:val="nil"/>
              <w:right w:val="nil"/>
            </w:tcBorders>
            <w:vAlign w:val="center"/>
            <w:hideMark/>
          </w:tcPr>
          <w:p w14:paraId="6B3C25D7" w14:textId="77777777" w:rsidR="00634ABA" w:rsidRPr="00986F85" w:rsidRDefault="00634ABA" w:rsidP="00476987">
            <w:pPr>
              <w:spacing w:after="0" w:line="240" w:lineRule="auto"/>
              <w:rPr>
                <w:rFonts w:eastAsia="Times New Roman"/>
                <w:color w:val="000000"/>
                <w:lang w:eastAsia="hu-HU"/>
              </w:rPr>
            </w:pPr>
          </w:p>
        </w:tc>
        <w:tc>
          <w:tcPr>
            <w:tcW w:w="1747" w:type="dxa"/>
            <w:tcBorders>
              <w:top w:val="nil"/>
              <w:left w:val="nil"/>
              <w:bottom w:val="nil"/>
              <w:right w:val="nil"/>
            </w:tcBorders>
            <w:shd w:val="clear" w:color="auto" w:fill="auto"/>
            <w:noWrap/>
            <w:vAlign w:val="bottom"/>
            <w:hideMark/>
          </w:tcPr>
          <w:p w14:paraId="7D848EB4"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Üzemi eredmény</w:t>
            </w:r>
          </w:p>
        </w:tc>
        <w:tc>
          <w:tcPr>
            <w:tcW w:w="757" w:type="dxa"/>
            <w:tcBorders>
              <w:top w:val="nil"/>
              <w:left w:val="nil"/>
              <w:bottom w:val="nil"/>
              <w:right w:val="nil"/>
            </w:tcBorders>
            <w:shd w:val="clear" w:color="auto" w:fill="auto"/>
            <w:noWrap/>
            <w:vAlign w:val="bottom"/>
            <w:hideMark/>
          </w:tcPr>
          <w:p w14:paraId="61639B4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4630</w:t>
            </w:r>
          </w:p>
        </w:tc>
        <w:tc>
          <w:tcPr>
            <w:tcW w:w="705" w:type="dxa"/>
            <w:tcBorders>
              <w:top w:val="nil"/>
              <w:left w:val="nil"/>
              <w:bottom w:val="nil"/>
              <w:right w:val="nil"/>
            </w:tcBorders>
            <w:shd w:val="clear" w:color="auto" w:fill="auto"/>
            <w:noWrap/>
            <w:vAlign w:val="bottom"/>
            <w:hideMark/>
          </w:tcPr>
          <w:p w14:paraId="4548F7C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11280</w:t>
            </w:r>
          </w:p>
        </w:tc>
        <w:tc>
          <w:tcPr>
            <w:tcW w:w="863" w:type="dxa"/>
            <w:tcBorders>
              <w:top w:val="nil"/>
              <w:left w:val="nil"/>
              <w:bottom w:val="nil"/>
              <w:right w:val="nil"/>
            </w:tcBorders>
            <w:shd w:val="clear" w:color="auto" w:fill="auto"/>
            <w:noWrap/>
            <w:vAlign w:val="bottom"/>
            <w:hideMark/>
          </w:tcPr>
          <w:p w14:paraId="1B56EA0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15753.5</w:t>
            </w:r>
          </w:p>
        </w:tc>
        <w:tc>
          <w:tcPr>
            <w:tcW w:w="673" w:type="dxa"/>
            <w:tcBorders>
              <w:top w:val="nil"/>
              <w:left w:val="nil"/>
              <w:bottom w:val="nil"/>
              <w:right w:val="nil"/>
            </w:tcBorders>
            <w:shd w:val="clear" w:color="auto" w:fill="auto"/>
            <w:noWrap/>
            <w:vAlign w:val="bottom"/>
            <w:hideMark/>
          </w:tcPr>
          <w:p w14:paraId="705D131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-2460</w:t>
            </w:r>
          </w:p>
        </w:tc>
        <w:tc>
          <w:tcPr>
            <w:tcW w:w="664" w:type="dxa"/>
            <w:tcBorders>
              <w:top w:val="nil"/>
              <w:left w:val="nil"/>
              <w:bottom w:val="nil"/>
              <w:right w:val="nil"/>
            </w:tcBorders>
            <w:shd w:val="clear" w:color="auto" w:fill="auto"/>
            <w:noWrap/>
            <w:vAlign w:val="bottom"/>
            <w:hideMark/>
          </w:tcPr>
          <w:p w14:paraId="3DB23F8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-3078</w:t>
            </w:r>
          </w:p>
        </w:tc>
        <w:tc>
          <w:tcPr>
            <w:tcW w:w="661" w:type="dxa"/>
            <w:tcBorders>
              <w:top w:val="nil"/>
              <w:left w:val="nil"/>
              <w:bottom w:val="nil"/>
              <w:right w:val="nil"/>
            </w:tcBorders>
            <w:shd w:val="clear" w:color="auto" w:fill="auto"/>
            <w:noWrap/>
            <w:vAlign w:val="bottom"/>
            <w:hideMark/>
          </w:tcPr>
          <w:p w14:paraId="7A3D217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-2815</w:t>
            </w:r>
          </w:p>
        </w:tc>
        <w:tc>
          <w:tcPr>
            <w:tcW w:w="759" w:type="dxa"/>
            <w:tcBorders>
              <w:top w:val="nil"/>
              <w:left w:val="nil"/>
              <w:bottom w:val="nil"/>
              <w:right w:val="nil"/>
            </w:tcBorders>
            <w:shd w:val="clear" w:color="auto" w:fill="auto"/>
            <w:noWrap/>
            <w:vAlign w:val="bottom"/>
            <w:hideMark/>
          </w:tcPr>
          <w:p w14:paraId="163AE91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-2807.5</w:t>
            </w:r>
          </w:p>
        </w:tc>
        <w:tc>
          <w:tcPr>
            <w:tcW w:w="748" w:type="dxa"/>
            <w:tcBorders>
              <w:top w:val="nil"/>
              <w:left w:val="nil"/>
              <w:bottom w:val="nil"/>
              <w:right w:val="nil"/>
            </w:tcBorders>
            <w:shd w:val="clear" w:color="auto" w:fill="auto"/>
            <w:noWrap/>
            <w:vAlign w:val="bottom"/>
            <w:hideMark/>
          </w:tcPr>
          <w:p w14:paraId="6D0CFD2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-9318</w:t>
            </w:r>
          </w:p>
        </w:tc>
        <w:tc>
          <w:tcPr>
            <w:tcW w:w="673" w:type="dxa"/>
            <w:tcBorders>
              <w:top w:val="nil"/>
              <w:left w:val="nil"/>
              <w:bottom w:val="nil"/>
              <w:right w:val="nil"/>
            </w:tcBorders>
            <w:shd w:val="clear" w:color="auto" w:fill="auto"/>
            <w:noWrap/>
            <w:vAlign w:val="bottom"/>
            <w:hideMark/>
          </w:tcPr>
          <w:p w14:paraId="2659C82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-944</w:t>
            </w:r>
          </w:p>
        </w:tc>
        <w:tc>
          <w:tcPr>
            <w:tcW w:w="410" w:type="dxa"/>
            <w:tcBorders>
              <w:top w:val="nil"/>
              <w:left w:val="nil"/>
              <w:bottom w:val="nil"/>
              <w:right w:val="nil"/>
            </w:tcBorders>
            <w:shd w:val="clear" w:color="000000" w:fill="BFBFBF"/>
            <w:noWrap/>
            <w:vAlign w:val="bottom"/>
            <w:hideMark/>
          </w:tcPr>
          <w:p w14:paraId="5D6005C9"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410" w:type="dxa"/>
            <w:tcBorders>
              <w:top w:val="nil"/>
              <w:left w:val="nil"/>
              <w:bottom w:val="nil"/>
              <w:right w:val="nil"/>
            </w:tcBorders>
            <w:shd w:val="clear" w:color="000000" w:fill="BFBFBF"/>
            <w:noWrap/>
            <w:vAlign w:val="bottom"/>
            <w:hideMark/>
          </w:tcPr>
          <w:p w14:paraId="47CAE1C3"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750" w:type="dxa"/>
            <w:tcBorders>
              <w:top w:val="nil"/>
              <w:left w:val="nil"/>
              <w:bottom w:val="nil"/>
              <w:right w:val="nil"/>
            </w:tcBorders>
            <w:shd w:val="clear" w:color="auto" w:fill="auto"/>
            <w:noWrap/>
            <w:vAlign w:val="bottom"/>
            <w:hideMark/>
          </w:tcPr>
          <w:p w14:paraId="4D43C55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-9236</w:t>
            </w:r>
          </w:p>
        </w:tc>
        <w:tc>
          <w:tcPr>
            <w:tcW w:w="718" w:type="dxa"/>
            <w:tcBorders>
              <w:top w:val="nil"/>
              <w:left w:val="nil"/>
              <w:bottom w:val="nil"/>
              <w:right w:val="nil"/>
            </w:tcBorders>
            <w:shd w:val="clear" w:color="auto" w:fill="auto"/>
            <w:noWrap/>
            <w:vAlign w:val="bottom"/>
            <w:hideMark/>
          </w:tcPr>
          <w:p w14:paraId="3BF669B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-12123</w:t>
            </w:r>
          </w:p>
        </w:tc>
        <w:tc>
          <w:tcPr>
            <w:tcW w:w="750" w:type="dxa"/>
            <w:tcBorders>
              <w:top w:val="nil"/>
              <w:left w:val="nil"/>
              <w:bottom w:val="nil"/>
              <w:right w:val="nil"/>
            </w:tcBorders>
            <w:shd w:val="clear" w:color="auto" w:fill="auto"/>
            <w:noWrap/>
            <w:vAlign w:val="bottom"/>
            <w:hideMark/>
          </w:tcPr>
          <w:p w14:paraId="7742FD9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-4013</w:t>
            </w:r>
          </w:p>
        </w:tc>
        <w:tc>
          <w:tcPr>
            <w:tcW w:w="663" w:type="dxa"/>
            <w:tcBorders>
              <w:top w:val="nil"/>
              <w:left w:val="nil"/>
              <w:bottom w:val="nil"/>
              <w:right w:val="nil"/>
            </w:tcBorders>
            <w:shd w:val="clear" w:color="auto" w:fill="auto"/>
            <w:noWrap/>
            <w:vAlign w:val="bottom"/>
            <w:hideMark/>
          </w:tcPr>
          <w:p w14:paraId="6006FE0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-2341</w:t>
            </w:r>
          </w:p>
        </w:tc>
        <w:tc>
          <w:tcPr>
            <w:tcW w:w="674" w:type="dxa"/>
            <w:tcBorders>
              <w:top w:val="nil"/>
              <w:left w:val="nil"/>
              <w:bottom w:val="nil"/>
              <w:right w:val="nil"/>
            </w:tcBorders>
            <w:shd w:val="clear" w:color="auto" w:fill="auto"/>
            <w:noWrap/>
            <w:vAlign w:val="bottom"/>
            <w:hideMark/>
          </w:tcPr>
          <w:p w14:paraId="074BC4F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112</w:t>
            </w:r>
          </w:p>
        </w:tc>
        <w:tc>
          <w:tcPr>
            <w:tcW w:w="662" w:type="dxa"/>
            <w:tcBorders>
              <w:top w:val="nil"/>
              <w:left w:val="nil"/>
              <w:bottom w:val="nil"/>
              <w:right w:val="nil"/>
            </w:tcBorders>
            <w:shd w:val="clear" w:color="auto" w:fill="auto"/>
            <w:noWrap/>
            <w:vAlign w:val="bottom"/>
            <w:hideMark/>
          </w:tcPr>
          <w:p w14:paraId="00D0AFB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-228</w:t>
            </w:r>
          </w:p>
        </w:tc>
        <w:tc>
          <w:tcPr>
            <w:tcW w:w="421" w:type="dxa"/>
            <w:tcBorders>
              <w:top w:val="nil"/>
              <w:left w:val="nil"/>
              <w:bottom w:val="nil"/>
              <w:right w:val="nil"/>
            </w:tcBorders>
            <w:shd w:val="clear" w:color="000000" w:fill="BFBFBF"/>
            <w:noWrap/>
            <w:vAlign w:val="bottom"/>
            <w:hideMark/>
          </w:tcPr>
          <w:p w14:paraId="60F2EEB4"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752" w:type="dxa"/>
            <w:tcBorders>
              <w:top w:val="nil"/>
              <w:left w:val="nil"/>
              <w:bottom w:val="nil"/>
              <w:right w:val="nil"/>
            </w:tcBorders>
            <w:shd w:val="clear" w:color="auto" w:fill="auto"/>
            <w:noWrap/>
            <w:vAlign w:val="bottom"/>
            <w:hideMark/>
          </w:tcPr>
          <w:p w14:paraId="62BC51B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-1583.5</w:t>
            </w:r>
          </w:p>
        </w:tc>
        <w:tc>
          <w:tcPr>
            <w:tcW w:w="785" w:type="dxa"/>
            <w:tcBorders>
              <w:top w:val="nil"/>
              <w:left w:val="nil"/>
              <w:bottom w:val="nil"/>
              <w:right w:val="nil"/>
            </w:tcBorders>
            <w:shd w:val="clear" w:color="auto" w:fill="auto"/>
            <w:noWrap/>
            <w:vAlign w:val="bottom"/>
            <w:hideMark/>
          </w:tcPr>
          <w:p w14:paraId="6D970AF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-2042.5</w:t>
            </w:r>
          </w:p>
        </w:tc>
      </w:tr>
      <w:tr w:rsidR="00634ABA" w:rsidRPr="00986F85" w14:paraId="6E65EBC3" w14:textId="77777777" w:rsidTr="00476987">
        <w:trPr>
          <w:trHeight w:val="287"/>
        </w:trPr>
        <w:tc>
          <w:tcPr>
            <w:tcW w:w="444" w:type="dxa"/>
            <w:vMerge/>
            <w:tcBorders>
              <w:top w:val="nil"/>
              <w:left w:val="nil"/>
              <w:bottom w:val="nil"/>
              <w:right w:val="nil"/>
            </w:tcBorders>
            <w:vAlign w:val="center"/>
            <w:hideMark/>
          </w:tcPr>
          <w:p w14:paraId="59767203" w14:textId="77777777" w:rsidR="00634ABA" w:rsidRPr="00986F85" w:rsidRDefault="00634ABA" w:rsidP="00476987">
            <w:pPr>
              <w:spacing w:after="0" w:line="240" w:lineRule="auto"/>
              <w:rPr>
                <w:rFonts w:eastAsia="Times New Roman"/>
                <w:color w:val="000000"/>
                <w:lang w:eastAsia="hu-HU"/>
              </w:rPr>
            </w:pPr>
          </w:p>
        </w:tc>
        <w:tc>
          <w:tcPr>
            <w:tcW w:w="1747" w:type="dxa"/>
            <w:tcBorders>
              <w:top w:val="nil"/>
              <w:left w:val="nil"/>
              <w:bottom w:val="nil"/>
              <w:right w:val="nil"/>
            </w:tcBorders>
            <w:shd w:val="clear" w:color="auto" w:fill="auto"/>
            <w:noWrap/>
            <w:vAlign w:val="bottom"/>
            <w:hideMark/>
          </w:tcPr>
          <w:p w14:paraId="3000B475"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xml:space="preserve">Egy foglalkoztatottra </w:t>
            </w:r>
            <w:r w:rsidRPr="00986F85">
              <w:rPr>
                <w:rFonts w:eastAsia="Times New Roman"/>
                <w:color w:val="000000"/>
                <w:lang w:eastAsia="hu-HU"/>
              </w:rPr>
              <w:lastRenderedPageBreak/>
              <w:t>eső üzemi eredmény</w:t>
            </w:r>
          </w:p>
        </w:tc>
        <w:tc>
          <w:tcPr>
            <w:tcW w:w="757" w:type="dxa"/>
            <w:tcBorders>
              <w:top w:val="nil"/>
              <w:left w:val="nil"/>
              <w:bottom w:val="nil"/>
              <w:right w:val="nil"/>
            </w:tcBorders>
            <w:shd w:val="clear" w:color="auto" w:fill="auto"/>
            <w:noWrap/>
            <w:vAlign w:val="bottom"/>
            <w:hideMark/>
          </w:tcPr>
          <w:p w14:paraId="2617BE6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lastRenderedPageBreak/>
              <w:t>56.5</w:t>
            </w:r>
          </w:p>
        </w:tc>
        <w:tc>
          <w:tcPr>
            <w:tcW w:w="705" w:type="dxa"/>
            <w:tcBorders>
              <w:top w:val="nil"/>
              <w:left w:val="nil"/>
              <w:bottom w:val="nil"/>
              <w:right w:val="nil"/>
            </w:tcBorders>
            <w:shd w:val="clear" w:color="auto" w:fill="auto"/>
            <w:noWrap/>
            <w:vAlign w:val="bottom"/>
            <w:hideMark/>
          </w:tcPr>
          <w:p w14:paraId="77F03D5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599.6</w:t>
            </w:r>
          </w:p>
        </w:tc>
        <w:tc>
          <w:tcPr>
            <w:tcW w:w="863" w:type="dxa"/>
            <w:tcBorders>
              <w:top w:val="nil"/>
              <w:left w:val="nil"/>
              <w:bottom w:val="nil"/>
              <w:right w:val="nil"/>
            </w:tcBorders>
            <w:shd w:val="clear" w:color="auto" w:fill="auto"/>
            <w:noWrap/>
            <w:vAlign w:val="bottom"/>
            <w:hideMark/>
          </w:tcPr>
          <w:p w14:paraId="566E678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2075.7</w:t>
            </w:r>
          </w:p>
        </w:tc>
        <w:tc>
          <w:tcPr>
            <w:tcW w:w="673" w:type="dxa"/>
            <w:tcBorders>
              <w:top w:val="nil"/>
              <w:left w:val="nil"/>
              <w:bottom w:val="nil"/>
              <w:right w:val="nil"/>
            </w:tcBorders>
            <w:shd w:val="clear" w:color="auto" w:fill="auto"/>
            <w:noWrap/>
            <w:vAlign w:val="bottom"/>
            <w:hideMark/>
          </w:tcPr>
          <w:p w14:paraId="6487A5E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-162.6</w:t>
            </w:r>
          </w:p>
        </w:tc>
        <w:tc>
          <w:tcPr>
            <w:tcW w:w="664" w:type="dxa"/>
            <w:tcBorders>
              <w:top w:val="nil"/>
              <w:left w:val="nil"/>
              <w:bottom w:val="nil"/>
              <w:right w:val="nil"/>
            </w:tcBorders>
            <w:shd w:val="clear" w:color="auto" w:fill="auto"/>
            <w:noWrap/>
            <w:vAlign w:val="bottom"/>
            <w:hideMark/>
          </w:tcPr>
          <w:p w14:paraId="42F4574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-142.4</w:t>
            </w:r>
          </w:p>
        </w:tc>
        <w:tc>
          <w:tcPr>
            <w:tcW w:w="661" w:type="dxa"/>
            <w:tcBorders>
              <w:top w:val="nil"/>
              <w:left w:val="nil"/>
              <w:bottom w:val="nil"/>
              <w:right w:val="nil"/>
            </w:tcBorders>
            <w:shd w:val="clear" w:color="auto" w:fill="auto"/>
            <w:noWrap/>
            <w:vAlign w:val="bottom"/>
            <w:hideMark/>
          </w:tcPr>
          <w:p w14:paraId="32C5EA4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-396.3</w:t>
            </w:r>
          </w:p>
        </w:tc>
        <w:tc>
          <w:tcPr>
            <w:tcW w:w="759" w:type="dxa"/>
            <w:tcBorders>
              <w:top w:val="nil"/>
              <w:left w:val="nil"/>
              <w:bottom w:val="nil"/>
              <w:right w:val="nil"/>
            </w:tcBorders>
            <w:shd w:val="clear" w:color="auto" w:fill="auto"/>
            <w:noWrap/>
            <w:vAlign w:val="bottom"/>
            <w:hideMark/>
          </w:tcPr>
          <w:p w14:paraId="6DB9A6A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-273</w:t>
            </w:r>
          </w:p>
        </w:tc>
        <w:tc>
          <w:tcPr>
            <w:tcW w:w="748" w:type="dxa"/>
            <w:tcBorders>
              <w:top w:val="nil"/>
              <w:left w:val="nil"/>
              <w:bottom w:val="nil"/>
              <w:right w:val="nil"/>
            </w:tcBorders>
            <w:shd w:val="clear" w:color="auto" w:fill="auto"/>
            <w:noWrap/>
            <w:vAlign w:val="bottom"/>
            <w:hideMark/>
          </w:tcPr>
          <w:p w14:paraId="063BD82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-1428.7</w:t>
            </w:r>
          </w:p>
        </w:tc>
        <w:tc>
          <w:tcPr>
            <w:tcW w:w="673" w:type="dxa"/>
            <w:tcBorders>
              <w:top w:val="nil"/>
              <w:left w:val="nil"/>
              <w:bottom w:val="nil"/>
              <w:right w:val="nil"/>
            </w:tcBorders>
            <w:shd w:val="clear" w:color="auto" w:fill="auto"/>
            <w:noWrap/>
            <w:vAlign w:val="bottom"/>
            <w:hideMark/>
          </w:tcPr>
          <w:p w14:paraId="40DFDE2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-142.3</w:t>
            </w:r>
          </w:p>
        </w:tc>
        <w:tc>
          <w:tcPr>
            <w:tcW w:w="410" w:type="dxa"/>
            <w:tcBorders>
              <w:top w:val="nil"/>
              <w:left w:val="nil"/>
              <w:bottom w:val="nil"/>
              <w:right w:val="nil"/>
            </w:tcBorders>
            <w:shd w:val="clear" w:color="000000" w:fill="BFBFBF"/>
            <w:noWrap/>
            <w:vAlign w:val="bottom"/>
            <w:hideMark/>
          </w:tcPr>
          <w:p w14:paraId="675B6346"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410" w:type="dxa"/>
            <w:tcBorders>
              <w:top w:val="nil"/>
              <w:left w:val="nil"/>
              <w:bottom w:val="nil"/>
              <w:right w:val="nil"/>
            </w:tcBorders>
            <w:shd w:val="clear" w:color="000000" w:fill="BFBFBF"/>
            <w:noWrap/>
            <w:vAlign w:val="bottom"/>
            <w:hideMark/>
          </w:tcPr>
          <w:p w14:paraId="37FC6918"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750" w:type="dxa"/>
            <w:tcBorders>
              <w:top w:val="nil"/>
              <w:left w:val="nil"/>
              <w:bottom w:val="nil"/>
              <w:right w:val="nil"/>
            </w:tcBorders>
            <w:shd w:val="clear" w:color="auto" w:fill="auto"/>
            <w:noWrap/>
            <w:vAlign w:val="bottom"/>
            <w:hideMark/>
          </w:tcPr>
          <w:p w14:paraId="6958907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-1154.5</w:t>
            </w:r>
          </w:p>
        </w:tc>
        <w:tc>
          <w:tcPr>
            <w:tcW w:w="718" w:type="dxa"/>
            <w:tcBorders>
              <w:top w:val="nil"/>
              <w:left w:val="nil"/>
              <w:bottom w:val="nil"/>
              <w:right w:val="nil"/>
            </w:tcBorders>
            <w:shd w:val="clear" w:color="auto" w:fill="auto"/>
            <w:noWrap/>
            <w:vAlign w:val="bottom"/>
            <w:hideMark/>
          </w:tcPr>
          <w:p w14:paraId="05AA06E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-647.6</w:t>
            </w:r>
          </w:p>
        </w:tc>
        <w:tc>
          <w:tcPr>
            <w:tcW w:w="750" w:type="dxa"/>
            <w:tcBorders>
              <w:top w:val="nil"/>
              <w:left w:val="nil"/>
              <w:bottom w:val="nil"/>
              <w:right w:val="nil"/>
            </w:tcBorders>
            <w:shd w:val="clear" w:color="auto" w:fill="auto"/>
            <w:noWrap/>
            <w:vAlign w:val="bottom"/>
            <w:hideMark/>
          </w:tcPr>
          <w:p w14:paraId="66D7D38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-75</w:t>
            </w:r>
          </w:p>
        </w:tc>
        <w:tc>
          <w:tcPr>
            <w:tcW w:w="663" w:type="dxa"/>
            <w:tcBorders>
              <w:top w:val="nil"/>
              <w:left w:val="nil"/>
              <w:bottom w:val="nil"/>
              <w:right w:val="nil"/>
            </w:tcBorders>
            <w:shd w:val="clear" w:color="auto" w:fill="auto"/>
            <w:noWrap/>
            <w:vAlign w:val="bottom"/>
            <w:hideMark/>
          </w:tcPr>
          <w:p w14:paraId="00DB262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-257.8</w:t>
            </w:r>
          </w:p>
        </w:tc>
        <w:tc>
          <w:tcPr>
            <w:tcW w:w="674" w:type="dxa"/>
            <w:tcBorders>
              <w:top w:val="nil"/>
              <w:left w:val="nil"/>
              <w:bottom w:val="nil"/>
              <w:right w:val="nil"/>
            </w:tcBorders>
            <w:shd w:val="clear" w:color="auto" w:fill="auto"/>
            <w:noWrap/>
            <w:vAlign w:val="bottom"/>
            <w:hideMark/>
          </w:tcPr>
          <w:p w14:paraId="7252A76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21.2</w:t>
            </w:r>
          </w:p>
        </w:tc>
        <w:tc>
          <w:tcPr>
            <w:tcW w:w="662" w:type="dxa"/>
            <w:tcBorders>
              <w:top w:val="nil"/>
              <w:left w:val="nil"/>
              <w:bottom w:val="nil"/>
              <w:right w:val="nil"/>
            </w:tcBorders>
            <w:shd w:val="clear" w:color="auto" w:fill="auto"/>
            <w:noWrap/>
            <w:vAlign w:val="bottom"/>
            <w:hideMark/>
          </w:tcPr>
          <w:p w14:paraId="67EC744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-78.3</w:t>
            </w:r>
          </w:p>
        </w:tc>
        <w:tc>
          <w:tcPr>
            <w:tcW w:w="421" w:type="dxa"/>
            <w:tcBorders>
              <w:top w:val="nil"/>
              <w:left w:val="nil"/>
              <w:bottom w:val="nil"/>
              <w:right w:val="nil"/>
            </w:tcBorders>
            <w:shd w:val="clear" w:color="000000" w:fill="BFBFBF"/>
            <w:noWrap/>
            <w:vAlign w:val="bottom"/>
            <w:hideMark/>
          </w:tcPr>
          <w:p w14:paraId="7535C226"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752" w:type="dxa"/>
            <w:tcBorders>
              <w:top w:val="nil"/>
              <w:left w:val="nil"/>
              <w:bottom w:val="nil"/>
              <w:right w:val="nil"/>
            </w:tcBorders>
            <w:shd w:val="clear" w:color="auto" w:fill="auto"/>
            <w:noWrap/>
            <w:vAlign w:val="bottom"/>
            <w:hideMark/>
          </w:tcPr>
          <w:p w14:paraId="2A661D6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-226.7</w:t>
            </w:r>
          </w:p>
        </w:tc>
        <w:tc>
          <w:tcPr>
            <w:tcW w:w="785" w:type="dxa"/>
            <w:tcBorders>
              <w:top w:val="nil"/>
              <w:left w:val="nil"/>
              <w:bottom w:val="nil"/>
              <w:right w:val="nil"/>
            </w:tcBorders>
            <w:shd w:val="clear" w:color="auto" w:fill="auto"/>
            <w:noWrap/>
            <w:vAlign w:val="bottom"/>
            <w:hideMark/>
          </w:tcPr>
          <w:p w14:paraId="2A82939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-137.4</w:t>
            </w:r>
          </w:p>
        </w:tc>
      </w:tr>
      <w:tr w:rsidR="00634ABA" w:rsidRPr="00986F85" w14:paraId="1A9D3303" w14:textId="77777777" w:rsidTr="00476987">
        <w:trPr>
          <w:trHeight w:val="287"/>
        </w:trPr>
        <w:tc>
          <w:tcPr>
            <w:tcW w:w="444" w:type="dxa"/>
            <w:vMerge/>
            <w:tcBorders>
              <w:top w:val="nil"/>
              <w:left w:val="nil"/>
              <w:bottom w:val="nil"/>
              <w:right w:val="nil"/>
            </w:tcBorders>
            <w:vAlign w:val="center"/>
            <w:hideMark/>
          </w:tcPr>
          <w:p w14:paraId="57129019" w14:textId="77777777" w:rsidR="00634ABA" w:rsidRPr="00986F85" w:rsidRDefault="00634ABA" w:rsidP="00476987">
            <w:pPr>
              <w:spacing w:after="0" w:line="240" w:lineRule="auto"/>
              <w:rPr>
                <w:rFonts w:eastAsia="Times New Roman"/>
                <w:color w:val="000000"/>
                <w:lang w:eastAsia="hu-HU"/>
              </w:rPr>
            </w:pPr>
          </w:p>
        </w:tc>
        <w:tc>
          <w:tcPr>
            <w:tcW w:w="1747" w:type="dxa"/>
            <w:tcBorders>
              <w:top w:val="nil"/>
              <w:left w:val="nil"/>
              <w:bottom w:val="nil"/>
              <w:right w:val="nil"/>
            </w:tcBorders>
            <w:shd w:val="clear" w:color="auto" w:fill="auto"/>
            <w:noWrap/>
            <w:vAlign w:val="bottom"/>
            <w:hideMark/>
          </w:tcPr>
          <w:p w14:paraId="7E2EFD73"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Hozzáadott érték</w:t>
            </w:r>
          </w:p>
        </w:tc>
        <w:tc>
          <w:tcPr>
            <w:tcW w:w="757" w:type="dxa"/>
            <w:tcBorders>
              <w:top w:val="nil"/>
              <w:left w:val="nil"/>
              <w:bottom w:val="nil"/>
              <w:right w:val="nil"/>
            </w:tcBorders>
            <w:shd w:val="clear" w:color="auto" w:fill="auto"/>
            <w:noWrap/>
            <w:vAlign w:val="bottom"/>
            <w:hideMark/>
          </w:tcPr>
          <w:p w14:paraId="6BBE13F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-17176</w:t>
            </w:r>
          </w:p>
        </w:tc>
        <w:tc>
          <w:tcPr>
            <w:tcW w:w="705" w:type="dxa"/>
            <w:tcBorders>
              <w:top w:val="nil"/>
              <w:left w:val="nil"/>
              <w:bottom w:val="nil"/>
              <w:right w:val="nil"/>
            </w:tcBorders>
            <w:shd w:val="clear" w:color="auto" w:fill="auto"/>
            <w:noWrap/>
            <w:vAlign w:val="bottom"/>
            <w:hideMark/>
          </w:tcPr>
          <w:p w14:paraId="7611003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-6448</w:t>
            </w:r>
          </w:p>
        </w:tc>
        <w:tc>
          <w:tcPr>
            <w:tcW w:w="863" w:type="dxa"/>
            <w:tcBorders>
              <w:top w:val="nil"/>
              <w:left w:val="nil"/>
              <w:bottom w:val="nil"/>
              <w:right w:val="nil"/>
            </w:tcBorders>
            <w:shd w:val="clear" w:color="auto" w:fill="auto"/>
            <w:noWrap/>
            <w:vAlign w:val="bottom"/>
            <w:hideMark/>
          </w:tcPr>
          <w:p w14:paraId="0541FFD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16708.5</w:t>
            </w:r>
          </w:p>
        </w:tc>
        <w:tc>
          <w:tcPr>
            <w:tcW w:w="673" w:type="dxa"/>
            <w:tcBorders>
              <w:top w:val="nil"/>
              <w:left w:val="nil"/>
              <w:bottom w:val="nil"/>
              <w:right w:val="nil"/>
            </w:tcBorders>
            <w:shd w:val="clear" w:color="auto" w:fill="auto"/>
            <w:noWrap/>
            <w:vAlign w:val="bottom"/>
            <w:hideMark/>
          </w:tcPr>
          <w:p w14:paraId="5000CE6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-1089</w:t>
            </w:r>
          </w:p>
        </w:tc>
        <w:tc>
          <w:tcPr>
            <w:tcW w:w="664" w:type="dxa"/>
            <w:tcBorders>
              <w:top w:val="nil"/>
              <w:left w:val="nil"/>
              <w:bottom w:val="nil"/>
              <w:right w:val="nil"/>
            </w:tcBorders>
            <w:shd w:val="clear" w:color="auto" w:fill="auto"/>
            <w:noWrap/>
            <w:vAlign w:val="bottom"/>
            <w:hideMark/>
          </w:tcPr>
          <w:p w14:paraId="49FBCD9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-4664</w:t>
            </w:r>
          </w:p>
        </w:tc>
        <w:tc>
          <w:tcPr>
            <w:tcW w:w="661" w:type="dxa"/>
            <w:tcBorders>
              <w:top w:val="nil"/>
              <w:left w:val="nil"/>
              <w:bottom w:val="nil"/>
              <w:right w:val="nil"/>
            </w:tcBorders>
            <w:shd w:val="clear" w:color="auto" w:fill="auto"/>
            <w:noWrap/>
            <w:vAlign w:val="bottom"/>
            <w:hideMark/>
          </w:tcPr>
          <w:p w14:paraId="5C0BEBB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-2286</w:t>
            </w:r>
          </w:p>
        </w:tc>
        <w:tc>
          <w:tcPr>
            <w:tcW w:w="759" w:type="dxa"/>
            <w:tcBorders>
              <w:top w:val="nil"/>
              <w:left w:val="nil"/>
              <w:bottom w:val="nil"/>
              <w:right w:val="nil"/>
            </w:tcBorders>
            <w:shd w:val="clear" w:color="auto" w:fill="auto"/>
            <w:noWrap/>
            <w:vAlign w:val="bottom"/>
            <w:hideMark/>
          </w:tcPr>
          <w:p w14:paraId="505E594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3136.5</w:t>
            </w:r>
          </w:p>
        </w:tc>
        <w:tc>
          <w:tcPr>
            <w:tcW w:w="748" w:type="dxa"/>
            <w:tcBorders>
              <w:top w:val="nil"/>
              <w:left w:val="nil"/>
              <w:bottom w:val="nil"/>
              <w:right w:val="nil"/>
            </w:tcBorders>
            <w:shd w:val="clear" w:color="auto" w:fill="auto"/>
            <w:noWrap/>
            <w:vAlign w:val="bottom"/>
            <w:hideMark/>
          </w:tcPr>
          <w:p w14:paraId="4E936FB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-9116</w:t>
            </w:r>
          </w:p>
        </w:tc>
        <w:tc>
          <w:tcPr>
            <w:tcW w:w="673" w:type="dxa"/>
            <w:tcBorders>
              <w:top w:val="nil"/>
              <w:left w:val="nil"/>
              <w:bottom w:val="nil"/>
              <w:right w:val="nil"/>
            </w:tcBorders>
            <w:shd w:val="clear" w:color="auto" w:fill="auto"/>
            <w:noWrap/>
            <w:vAlign w:val="bottom"/>
            <w:hideMark/>
          </w:tcPr>
          <w:p w14:paraId="09320D3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-1667</w:t>
            </w:r>
          </w:p>
        </w:tc>
        <w:tc>
          <w:tcPr>
            <w:tcW w:w="410" w:type="dxa"/>
            <w:tcBorders>
              <w:top w:val="nil"/>
              <w:left w:val="nil"/>
              <w:bottom w:val="nil"/>
              <w:right w:val="nil"/>
            </w:tcBorders>
            <w:shd w:val="clear" w:color="000000" w:fill="BFBFBF"/>
            <w:noWrap/>
            <w:vAlign w:val="bottom"/>
            <w:hideMark/>
          </w:tcPr>
          <w:p w14:paraId="60328864"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410" w:type="dxa"/>
            <w:tcBorders>
              <w:top w:val="nil"/>
              <w:left w:val="nil"/>
              <w:bottom w:val="nil"/>
              <w:right w:val="nil"/>
            </w:tcBorders>
            <w:shd w:val="clear" w:color="000000" w:fill="BFBFBF"/>
            <w:noWrap/>
            <w:vAlign w:val="bottom"/>
            <w:hideMark/>
          </w:tcPr>
          <w:p w14:paraId="0DA75D1E"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750" w:type="dxa"/>
            <w:tcBorders>
              <w:top w:val="nil"/>
              <w:left w:val="nil"/>
              <w:bottom w:val="nil"/>
              <w:right w:val="nil"/>
            </w:tcBorders>
            <w:shd w:val="clear" w:color="auto" w:fill="auto"/>
            <w:noWrap/>
            <w:vAlign w:val="bottom"/>
            <w:hideMark/>
          </w:tcPr>
          <w:p w14:paraId="68ABF3E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4152</w:t>
            </w:r>
          </w:p>
        </w:tc>
        <w:tc>
          <w:tcPr>
            <w:tcW w:w="718" w:type="dxa"/>
            <w:tcBorders>
              <w:top w:val="nil"/>
              <w:left w:val="nil"/>
              <w:bottom w:val="nil"/>
              <w:right w:val="nil"/>
            </w:tcBorders>
            <w:shd w:val="clear" w:color="auto" w:fill="auto"/>
            <w:noWrap/>
            <w:vAlign w:val="bottom"/>
            <w:hideMark/>
          </w:tcPr>
          <w:p w14:paraId="27B7F07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-12475</w:t>
            </w:r>
          </w:p>
        </w:tc>
        <w:tc>
          <w:tcPr>
            <w:tcW w:w="750" w:type="dxa"/>
            <w:tcBorders>
              <w:top w:val="nil"/>
              <w:left w:val="nil"/>
              <w:bottom w:val="nil"/>
              <w:right w:val="nil"/>
            </w:tcBorders>
            <w:shd w:val="clear" w:color="auto" w:fill="auto"/>
            <w:noWrap/>
            <w:vAlign w:val="bottom"/>
            <w:hideMark/>
          </w:tcPr>
          <w:p w14:paraId="56916E2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1445.5</w:t>
            </w:r>
          </w:p>
        </w:tc>
        <w:tc>
          <w:tcPr>
            <w:tcW w:w="663" w:type="dxa"/>
            <w:tcBorders>
              <w:top w:val="nil"/>
              <w:left w:val="nil"/>
              <w:bottom w:val="nil"/>
              <w:right w:val="nil"/>
            </w:tcBorders>
            <w:shd w:val="clear" w:color="auto" w:fill="auto"/>
            <w:noWrap/>
            <w:vAlign w:val="bottom"/>
            <w:hideMark/>
          </w:tcPr>
          <w:p w14:paraId="243CD03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-2434</w:t>
            </w:r>
          </w:p>
        </w:tc>
        <w:tc>
          <w:tcPr>
            <w:tcW w:w="674" w:type="dxa"/>
            <w:tcBorders>
              <w:top w:val="nil"/>
              <w:left w:val="nil"/>
              <w:bottom w:val="nil"/>
              <w:right w:val="nil"/>
            </w:tcBorders>
            <w:shd w:val="clear" w:color="auto" w:fill="auto"/>
            <w:noWrap/>
            <w:vAlign w:val="bottom"/>
            <w:hideMark/>
          </w:tcPr>
          <w:p w14:paraId="4C0C072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322</w:t>
            </w:r>
          </w:p>
        </w:tc>
        <w:tc>
          <w:tcPr>
            <w:tcW w:w="662" w:type="dxa"/>
            <w:tcBorders>
              <w:top w:val="nil"/>
              <w:left w:val="nil"/>
              <w:bottom w:val="nil"/>
              <w:right w:val="nil"/>
            </w:tcBorders>
            <w:shd w:val="clear" w:color="auto" w:fill="auto"/>
            <w:noWrap/>
            <w:vAlign w:val="bottom"/>
            <w:hideMark/>
          </w:tcPr>
          <w:p w14:paraId="047C0A3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1059</w:t>
            </w:r>
          </w:p>
        </w:tc>
        <w:tc>
          <w:tcPr>
            <w:tcW w:w="421" w:type="dxa"/>
            <w:tcBorders>
              <w:top w:val="nil"/>
              <w:left w:val="nil"/>
              <w:bottom w:val="nil"/>
              <w:right w:val="nil"/>
            </w:tcBorders>
            <w:shd w:val="clear" w:color="000000" w:fill="BFBFBF"/>
            <w:noWrap/>
            <w:vAlign w:val="bottom"/>
            <w:hideMark/>
          </w:tcPr>
          <w:p w14:paraId="25A1852D"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752" w:type="dxa"/>
            <w:tcBorders>
              <w:top w:val="nil"/>
              <w:left w:val="nil"/>
              <w:bottom w:val="nil"/>
              <w:right w:val="nil"/>
            </w:tcBorders>
            <w:shd w:val="clear" w:color="auto" w:fill="auto"/>
            <w:noWrap/>
            <w:vAlign w:val="bottom"/>
            <w:hideMark/>
          </w:tcPr>
          <w:p w14:paraId="407EDFF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2613</w:t>
            </w:r>
          </w:p>
        </w:tc>
        <w:tc>
          <w:tcPr>
            <w:tcW w:w="785" w:type="dxa"/>
            <w:tcBorders>
              <w:top w:val="nil"/>
              <w:left w:val="nil"/>
              <w:bottom w:val="nil"/>
              <w:right w:val="nil"/>
            </w:tcBorders>
            <w:shd w:val="clear" w:color="auto" w:fill="auto"/>
            <w:noWrap/>
            <w:vAlign w:val="bottom"/>
            <w:hideMark/>
          </w:tcPr>
          <w:p w14:paraId="5E63180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-2274.5</w:t>
            </w:r>
          </w:p>
        </w:tc>
      </w:tr>
      <w:tr w:rsidR="00634ABA" w:rsidRPr="00986F85" w14:paraId="787754E5" w14:textId="77777777" w:rsidTr="00476987">
        <w:trPr>
          <w:trHeight w:val="287"/>
        </w:trPr>
        <w:tc>
          <w:tcPr>
            <w:tcW w:w="444" w:type="dxa"/>
            <w:vMerge/>
            <w:tcBorders>
              <w:top w:val="nil"/>
              <w:left w:val="nil"/>
              <w:bottom w:val="nil"/>
              <w:right w:val="nil"/>
            </w:tcBorders>
            <w:vAlign w:val="center"/>
            <w:hideMark/>
          </w:tcPr>
          <w:p w14:paraId="1BBAC09A" w14:textId="77777777" w:rsidR="00634ABA" w:rsidRPr="00986F85" w:rsidRDefault="00634ABA" w:rsidP="00476987">
            <w:pPr>
              <w:spacing w:after="0" w:line="240" w:lineRule="auto"/>
              <w:rPr>
                <w:rFonts w:eastAsia="Times New Roman"/>
                <w:color w:val="000000"/>
                <w:lang w:eastAsia="hu-HU"/>
              </w:rPr>
            </w:pPr>
          </w:p>
        </w:tc>
        <w:tc>
          <w:tcPr>
            <w:tcW w:w="1747" w:type="dxa"/>
            <w:tcBorders>
              <w:top w:val="nil"/>
              <w:left w:val="nil"/>
              <w:bottom w:val="nil"/>
              <w:right w:val="nil"/>
            </w:tcBorders>
            <w:shd w:val="clear" w:color="auto" w:fill="auto"/>
            <w:noWrap/>
            <w:vAlign w:val="bottom"/>
            <w:hideMark/>
          </w:tcPr>
          <w:p w14:paraId="667B847F"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Egy foglalkoztatottra eső hozzáadott érték</w:t>
            </w:r>
          </w:p>
        </w:tc>
        <w:tc>
          <w:tcPr>
            <w:tcW w:w="757" w:type="dxa"/>
            <w:tcBorders>
              <w:top w:val="nil"/>
              <w:left w:val="nil"/>
              <w:bottom w:val="nil"/>
              <w:right w:val="nil"/>
            </w:tcBorders>
            <w:shd w:val="clear" w:color="auto" w:fill="auto"/>
            <w:noWrap/>
            <w:vAlign w:val="bottom"/>
            <w:hideMark/>
          </w:tcPr>
          <w:p w14:paraId="2B96F0F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-1025.8</w:t>
            </w:r>
          </w:p>
        </w:tc>
        <w:tc>
          <w:tcPr>
            <w:tcW w:w="705" w:type="dxa"/>
            <w:tcBorders>
              <w:top w:val="nil"/>
              <w:left w:val="nil"/>
              <w:bottom w:val="nil"/>
              <w:right w:val="nil"/>
            </w:tcBorders>
            <w:shd w:val="clear" w:color="auto" w:fill="auto"/>
            <w:noWrap/>
            <w:vAlign w:val="bottom"/>
            <w:hideMark/>
          </w:tcPr>
          <w:p w14:paraId="58A67AE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153.5</w:t>
            </w:r>
          </w:p>
        </w:tc>
        <w:tc>
          <w:tcPr>
            <w:tcW w:w="863" w:type="dxa"/>
            <w:tcBorders>
              <w:top w:val="nil"/>
              <w:left w:val="nil"/>
              <w:bottom w:val="nil"/>
              <w:right w:val="nil"/>
            </w:tcBorders>
            <w:shd w:val="clear" w:color="auto" w:fill="auto"/>
            <w:noWrap/>
            <w:vAlign w:val="bottom"/>
            <w:hideMark/>
          </w:tcPr>
          <w:p w14:paraId="05C708C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2446.2</w:t>
            </w:r>
          </w:p>
        </w:tc>
        <w:tc>
          <w:tcPr>
            <w:tcW w:w="673" w:type="dxa"/>
            <w:tcBorders>
              <w:top w:val="nil"/>
              <w:left w:val="nil"/>
              <w:bottom w:val="nil"/>
              <w:right w:val="nil"/>
            </w:tcBorders>
            <w:shd w:val="clear" w:color="auto" w:fill="auto"/>
            <w:noWrap/>
            <w:vAlign w:val="bottom"/>
            <w:hideMark/>
          </w:tcPr>
          <w:p w14:paraId="3FA9827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-39.4</w:t>
            </w:r>
          </w:p>
        </w:tc>
        <w:tc>
          <w:tcPr>
            <w:tcW w:w="664" w:type="dxa"/>
            <w:tcBorders>
              <w:top w:val="nil"/>
              <w:left w:val="nil"/>
              <w:bottom w:val="nil"/>
              <w:right w:val="nil"/>
            </w:tcBorders>
            <w:shd w:val="clear" w:color="auto" w:fill="auto"/>
            <w:noWrap/>
            <w:vAlign w:val="bottom"/>
            <w:hideMark/>
          </w:tcPr>
          <w:p w14:paraId="64FF72A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-119.8</w:t>
            </w:r>
          </w:p>
        </w:tc>
        <w:tc>
          <w:tcPr>
            <w:tcW w:w="661" w:type="dxa"/>
            <w:tcBorders>
              <w:top w:val="nil"/>
              <w:left w:val="nil"/>
              <w:bottom w:val="nil"/>
              <w:right w:val="nil"/>
            </w:tcBorders>
            <w:shd w:val="clear" w:color="auto" w:fill="auto"/>
            <w:noWrap/>
            <w:vAlign w:val="bottom"/>
            <w:hideMark/>
          </w:tcPr>
          <w:p w14:paraId="36DDBBC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-490.9</w:t>
            </w:r>
          </w:p>
        </w:tc>
        <w:tc>
          <w:tcPr>
            <w:tcW w:w="759" w:type="dxa"/>
            <w:tcBorders>
              <w:top w:val="nil"/>
              <w:left w:val="nil"/>
              <w:bottom w:val="nil"/>
              <w:right w:val="nil"/>
            </w:tcBorders>
            <w:shd w:val="clear" w:color="auto" w:fill="auto"/>
            <w:noWrap/>
            <w:vAlign w:val="bottom"/>
            <w:hideMark/>
          </w:tcPr>
          <w:p w14:paraId="7379454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-68.1</w:t>
            </w:r>
          </w:p>
        </w:tc>
        <w:tc>
          <w:tcPr>
            <w:tcW w:w="748" w:type="dxa"/>
            <w:tcBorders>
              <w:top w:val="nil"/>
              <w:left w:val="nil"/>
              <w:bottom w:val="nil"/>
              <w:right w:val="nil"/>
            </w:tcBorders>
            <w:shd w:val="clear" w:color="auto" w:fill="auto"/>
            <w:noWrap/>
            <w:vAlign w:val="bottom"/>
            <w:hideMark/>
          </w:tcPr>
          <w:p w14:paraId="0E630D3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-169.5</w:t>
            </w:r>
          </w:p>
        </w:tc>
        <w:tc>
          <w:tcPr>
            <w:tcW w:w="673" w:type="dxa"/>
            <w:tcBorders>
              <w:top w:val="nil"/>
              <w:left w:val="nil"/>
              <w:bottom w:val="nil"/>
              <w:right w:val="nil"/>
            </w:tcBorders>
            <w:shd w:val="clear" w:color="auto" w:fill="auto"/>
            <w:noWrap/>
            <w:vAlign w:val="bottom"/>
            <w:hideMark/>
          </w:tcPr>
          <w:p w14:paraId="08FF6DD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-31.8</w:t>
            </w:r>
          </w:p>
        </w:tc>
        <w:tc>
          <w:tcPr>
            <w:tcW w:w="410" w:type="dxa"/>
            <w:tcBorders>
              <w:top w:val="nil"/>
              <w:left w:val="nil"/>
              <w:bottom w:val="nil"/>
              <w:right w:val="nil"/>
            </w:tcBorders>
            <w:shd w:val="clear" w:color="000000" w:fill="BFBFBF"/>
            <w:noWrap/>
            <w:vAlign w:val="bottom"/>
            <w:hideMark/>
          </w:tcPr>
          <w:p w14:paraId="4A26CAE5"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410" w:type="dxa"/>
            <w:tcBorders>
              <w:top w:val="nil"/>
              <w:left w:val="nil"/>
              <w:bottom w:val="nil"/>
              <w:right w:val="nil"/>
            </w:tcBorders>
            <w:shd w:val="clear" w:color="000000" w:fill="BFBFBF"/>
            <w:noWrap/>
            <w:vAlign w:val="bottom"/>
            <w:hideMark/>
          </w:tcPr>
          <w:p w14:paraId="4D428696"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750" w:type="dxa"/>
            <w:tcBorders>
              <w:top w:val="nil"/>
              <w:left w:val="nil"/>
              <w:bottom w:val="nil"/>
              <w:right w:val="nil"/>
            </w:tcBorders>
            <w:shd w:val="clear" w:color="auto" w:fill="auto"/>
            <w:noWrap/>
            <w:vAlign w:val="bottom"/>
            <w:hideMark/>
          </w:tcPr>
          <w:p w14:paraId="0C3208B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519</w:t>
            </w:r>
          </w:p>
        </w:tc>
        <w:tc>
          <w:tcPr>
            <w:tcW w:w="718" w:type="dxa"/>
            <w:tcBorders>
              <w:top w:val="nil"/>
              <w:left w:val="nil"/>
              <w:bottom w:val="nil"/>
              <w:right w:val="nil"/>
            </w:tcBorders>
            <w:shd w:val="clear" w:color="auto" w:fill="auto"/>
            <w:noWrap/>
            <w:vAlign w:val="bottom"/>
            <w:hideMark/>
          </w:tcPr>
          <w:p w14:paraId="76849D8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-778.5</w:t>
            </w:r>
          </w:p>
        </w:tc>
        <w:tc>
          <w:tcPr>
            <w:tcW w:w="750" w:type="dxa"/>
            <w:tcBorders>
              <w:top w:val="nil"/>
              <w:left w:val="nil"/>
              <w:bottom w:val="nil"/>
              <w:right w:val="nil"/>
            </w:tcBorders>
            <w:shd w:val="clear" w:color="auto" w:fill="auto"/>
            <w:noWrap/>
            <w:vAlign w:val="bottom"/>
            <w:hideMark/>
          </w:tcPr>
          <w:p w14:paraId="589D4B5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97.1</w:t>
            </w:r>
          </w:p>
        </w:tc>
        <w:tc>
          <w:tcPr>
            <w:tcW w:w="663" w:type="dxa"/>
            <w:tcBorders>
              <w:top w:val="nil"/>
              <w:left w:val="nil"/>
              <w:bottom w:val="nil"/>
              <w:right w:val="nil"/>
            </w:tcBorders>
            <w:shd w:val="clear" w:color="auto" w:fill="auto"/>
            <w:noWrap/>
            <w:vAlign w:val="bottom"/>
            <w:hideMark/>
          </w:tcPr>
          <w:p w14:paraId="255F50A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48.6</w:t>
            </w:r>
          </w:p>
        </w:tc>
        <w:tc>
          <w:tcPr>
            <w:tcW w:w="674" w:type="dxa"/>
            <w:tcBorders>
              <w:top w:val="nil"/>
              <w:left w:val="nil"/>
              <w:bottom w:val="nil"/>
              <w:right w:val="nil"/>
            </w:tcBorders>
            <w:shd w:val="clear" w:color="auto" w:fill="auto"/>
            <w:noWrap/>
            <w:vAlign w:val="bottom"/>
            <w:hideMark/>
          </w:tcPr>
          <w:p w14:paraId="54A5AB3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9.4</w:t>
            </w:r>
          </w:p>
        </w:tc>
        <w:tc>
          <w:tcPr>
            <w:tcW w:w="662" w:type="dxa"/>
            <w:tcBorders>
              <w:top w:val="nil"/>
              <w:left w:val="nil"/>
              <w:bottom w:val="nil"/>
              <w:right w:val="nil"/>
            </w:tcBorders>
            <w:shd w:val="clear" w:color="auto" w:fill="auto"/>
            <w:noWrap/>
            <w:vAlign w:val="bottom"/>
            <w:hideMark/>
          </w:tcPr>
          <w:p w14:paraId="72A5948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131.4</w:t>
            </w:r>
          </w:p>
        </w:tc>
        <w:tc>
          <w:tcPr>
            <w:tcW w:w="421" w:type="dxa"/>
            <w:tcBorders>
              <w:top w:val="nil"/>
              <w:left w:val="nil"/>
              <w:bottom w:val="nil"/>
              <w:right w:val="nil"/>
            </w:tcBorders>
            <w:shd w:val="clear" w:color="000000" w:fill="BFBFBF"/>
            <w:noWrap/>
            <w:vAlign w:val="bottom"/>
            <w:hideMark/>
          </w:tcPr>
          <w:p w14:paraId="553FC014"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752" w:type="dxa"/>
            <w:tcBorders>
              <w:top w:val="nil"/>
              <w:left w:val="nil"/>
              <w:bottom w:val="nil"/>
              <w:right w:val="nil"/>
            </w:tcBorders>
            <w:shd w:val="clear" w:color="auto" w:fill="auto"/>
            <w:noWrap/>
            <w:vAlign w:val="bottom"/>
            <w:hideMark/>
          </w:tcPr>
          <w:p w14:paraId="09B8B29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-195.9</w:t>
            </w:r>
          </w:p>
        </w:tc>
        <w:tc>
          <w:tcPr>
            <w:tcW w:w="785" w:type="dxa"/>
            <w:tcBorders>
              <w:top w:val="nil"/>
              <w:left w:val="nil"/>
              <w:bottom w:val="nil"/>
              <w:right w:val="nil"/>
            </w:tcBorders>
            <w:shd w:val="clear" w:color="auto" w:fill="auto"/>
            <w:noWrap/>
            <w:vAlign w:val="bottom"/>
            <w:hideMark/>
          </w:tcPr>
          <w:p w14:paraId="0DA7C68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-49.5</w:t>
            </w:r>
          </w:p>
        </w:tc>
      </w:tr>
      <w:tr w:rsidR="00634ABA" w:rsidRPr="00986F85" w14:paraId="5629808B" w14:textId="77777777" w:rsidTr="00476987">
        <w:trPr>
          <w:trHeight w:val="287"/>
        </w:trPr>
        <w:tc>
          <w:tcPr>
            <w:tcW w:w="444" w:type="dxa"/>
            <w:vMerge/>
            <w:tcBorders>
              <w:top w:val="nil"/>
              <w:left w:val="nil"/>
              <w:bottom w:val="nil"/>
              <w:right w:val="nil"/>
            </w:tcBorders>
            <w:vAlign w:val="center"/>
            <w:hideMark/>
          </w:tcPr>
          <w:p w14:paraId="1500D612" w14:textId="77777777" w:rsidR="00634ABA" w:rsidRPr="00986F85" w:rsidRDefault="00634ABA" w:rsidP="00476987">
            <w:pPr>
              <w:spacing w:after="0" w:line="240" w:lineRule="auto"/>
              <w:rPr>
                <w:rFonts w:eastAsia="Times New Roman"/>
                <w:color w:val="000000"/>
                <w:lang w:eastAsia="hu-HU"/>
              </w:rPr>
            </w:pPr>
          </w:p>
        </w:tc>
        <w:tc>
          <w:tcPr>
            <w:tcW w:w="1747" w:type="dxa"/>
            <w:tcBorders>
              <w:top w:val="nil"/>
              <w:left w:val="nil"/>
              <w:bottom w:val="nil"/>
              <w:right w:val="nil"/>
            </w:tcBorders>
            <w:shd w:val="clear" w:color="auto" w:fill="auto"/>
            <w:noWrap/>
            <w:vAlign w:val="bottom"/>
            <w:hideMark/>
          </w:tcPr>
          <w:p w14:paraId="5C213433"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ROA</w:t>
            </w:r>
          </w:p>
        </w:tc>
        <w:tc>
          <w:tcPr>
            <w:tcW w:w="757" w:type="dxa"/>
            <w:tcBorders>
              <w:top w:val="nil"/>
              <w:left w:val="nil"/>
              <w:bottom w:val="nil"/>
              <w:right w:val="nil"/>
            </w:tcBorders>
            <w:shd w:val="clear" w:color="auto" w:fill="auto"/>
            <w:noWrap/>
            <w:vAlign w:val="bottom"/>
            <w:hideMark/>
          </w:tcPr>
          <w:p w14:paraId="00DC633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0.029</w:t>
            </w:r>
          </w:p>
        </w:tc>
        <w:tc>
          <w:tcPr>
            <w:tcW w:w="705" w:type="dxa"/>
            <w:tcBorders>
              <w:top w:val="nil"/>
              <w:left w:val="nil"/>
              <w:bottom w:val="nil"/>
              <w:right w:val="nil"/>
            </w:tcBorders>
            <w:shd w:val="clear" w:color="auto" w:fill="auto"/>
            <w:noWrap/>
            <w:vAlign w:val="bottom"/>
            <w:hideMark/>
          </w:tcPr>
          <w:p w14:paraId="21D6206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0.04</w:t>
            </w:r>
          </w:p>
        </w:tc>
        <w:tc>
          <w:tcPr>
            <w:tcW w:w="863" w:type="dxa"/>
            <w:tcBorders>
              <w:top w:val="nil"/>
              <w:left w:val="nil"/>
              <w:bottom w:val="nil"/>
              <w:right w:val="nil"/>
            </w:tcBorders>
            <w:shd w:val="clear" w:color="auto" w:fill="auto"/>
            <w:noWrap/>
            <w:vAlign w:val="bottom"/>
            <w:hideMark/>
          </w:tcPr>
          <w:p w14:paraId="2EA5BB7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0.141</w:t>
            </w:r>
          </w:p>
        </w:tc>
        <w:tc>
          <w:tcPr>
            <w:tcW w:w="673" w:type="dxa"/>
            <w:tcBorders>
              <w:top w:val="nil"/>
              <w:left w:val="nil"/>
              <w:bottom w:val="nil"/>
              <w:right w:val="nil"/>
            </w:tcBorders>
            <w:shd w:val="clear" w:color="auto" w:fill="auto"/>
            <w:noWrap/>
            <w:vAlign w:val="bottom"/>
            <w:hideMark/>
          </w:tcPr>
          <w:p w14:paraId="2716152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-0.019</w:t>
            </w:r>
          </w:p>
        </w:tc>
        <w:tc>
          <w:tcPr>
            <w:tcW w:w="664" w:type="dxa"/>
            <w:tcBorders>
              <w:top w:val="nil"/>
              <w:left w:val="nil"/>
              <w:bottom w:val="nil"/>
              <w:right w:val="nil"/>
            </w:tcBorders>
            <w:shd w:val="clear" w:color="auto" w:fill="auto"/>
            <w:noWrap/>
            <w:vAlign w:val="bottom"/>
            <w:hideMark/>
          </w:tcPr>
          <w:p w14:paraId="1536ECA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-0.03</w:t>
            </w:r>
          </w:p>
        </w:tc>
        <w:tc>
          <w:tcPr>
            <w:tcW w:w="661" w:type="dxa"/>
            <w:tcBorders>
              <w:top w:val="nil"/>
              <w:left w:val="nil"/>
              <w:bottom w:val="nil"/>
              <w:right w:val="nil"/>
            </w:tcBorders>
            <w:shd w:val="clear" w:color="auto" w:fill="auto"/>
            <w:noWrap/>
            <w:vAlign w:val="bottom"/>
            <w:hideMark/>
          </w:tcPr>
          <w:p w14:paraId="77216C3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-0.069</w:t>
            </w:r>
          </w:p>
        </w:tc>
        <w:tc>
          <w:tcPr>
            <w:tcW w:w="759" w:type="dxa"/>
            <w:tcBorders>
              <w:top w:val="nil"/>
              <w:left w:val="nil"/>
              <w:bottom w:val="nil"/>
              <w:right w:val="nil"/>
            </w:tcBorders>
            <w:shd w:val="clear" w:color="auto" w:fill="auto"/>
            <w:noWrap/>
            <w:vAlign w:val="bottom"/>
            <w:hideMark/>
          </w:tcPr>
          <w:p w14:paraId="58415C3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-0.02</w:t>
            </w:r>
          </w:p>
        </w:tc>
        <w:tc>
          <w:tcPr>
            <w:tcW w:w="748" w:type="dxa"/>
            <w:tcBorders>
              <w:top w:val="nil"/>
              <w:left w:val="nil"/>
              <w:bottom w:val="nil"/>
              <w:right w:val="nil"/>
            </w:tcBorders>
            <w:shd w:val="clear" w:color="auto" w:fill="auto"/>
            <w:noWrap/>
            <w:vAlign w:val="bottom"/>
            <w:hideMark/>
          </w:tcPr>
          <w:p w14:paraId="5E7CD27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-0.039</w:t>
            </w:r>
          </w:p>
        </w:tc>
        <w:tc>
          <w:tcPr>
            <w:tcW w:w="673" w:type="dxa"/>
            <w:tcBorders>
              <w:top w:val="nil"/>
              <w:left w:val="nil"/>
              <w:bottom w:val="nil"/>
              <w:right w:val="nil"/>
            </w:tcBorders>
            <w:shd w:val="clear" w:color="auto" w:fill="auto"/>
            <w:noWrap/>
            <w:vAlign w:val="bottom"/>
            <w:hideMark/>
          </w:tcPr>
          <w:p w14:paraId="75A25F6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-0.014</w:t>
            </w:r>
          </w:p>
        </w:tc>
        <w:tc>
          <w:tcPr>
            <w:tcW w:w="410" w:type="dxa"/>
            <w:tcBorders>
              <w:top w:val="nil"/>
              <w:left w:val="nil"/>
              <w:bottom w:val="nil"/>
              <w:right w:val="nil"/>
            </w:tcBorders>
            <w:shd w:val="clear" w:color="000000" w:fill="BFBFBF"/>
            <w:noWrap/>
            <w:vAlign w:val="bottom"/>
            <w:hideMark/>
          </w:tcPr>
          <w:p w14:paraId="71326275"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410" w:type="dxa"/>
            <w:tcBorders>
              <w:top w:val="nil"/>
              <w:left w:val="nil"/>
              <w:bottom w:val="nil"/>
              <w:right w:val="nil"/>
            </w:tcBorders>
            <w:shd w:val="clear" w:color="000000" w:fill="BFBFBF"/>
            <w:noWrap/>
            <w:vAlign w:val="bottom"/>
            <w:hideMark/>
          </w:tcPr>
          <w:p w14:paraId="34F80855"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750" w:type="dxa"/>
            <w:tcBorders>
              <w:top w:val="nil"/>
              <w:left w:val="nil"/>
              <w:bottom w:val="nil"/>
              <w:right w:val="nil"/>
            </w:tcBorders>
            <w:shd w:val="clear" w:color="auto" w:fill="auto"/>
            <w:noWrap/>
            <w:vAlign w:val="bottom"/>
            <w:hideMark/>
          </w:tcPr>
          <w:p w14:paraId="2A64790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-0.065</w:t>
            </w:r>
          </w:p>
        </w:tc>
        <w:tc>
          <w:tcPr>
            <w:tcW w:w="718" w:type="dxa"/>
            <w:tcBorders>
              <w:top w:val="nil"/>
              <w:left w:val="nil"/>
              <w:bottom w:val="nil"/>
              <w:right w:val="nil"/>
            </w:tcBorders>
            <w:shd w:val="clear" w:color="auto" w:fill="auto"/>
            <w:noWrap/>
            <w:vAlign w:val="bottom"/>
            <w:hideMark/>
          </w:tcPr>
          <w:p w14:paraId="6B83B45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-0.114</w:t>
            </w:r>
          </w:p>
        </w:tc>
        <w:tc>
          <w:tcPr>
            <w:tcW w:w="750" w:type="dxa"/>
            <w:tcBorders>
              <w:top w:val="nil"/>
              <w:left w:val="nil"/>
              <w:bottom w:val="nil"/>
              <w:right w:val="nil"/>
            </w:tcBorders>
            <w:shd w:val="clear" w:color="auto" w:fill="auto"/>
            <w:noWrap/>
            <w:vAlign w:val="bottom"/>
            <w:hideMark/>
          </w:tcPr>
          <w:p w14:paraId="36AA73A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-0.001</w:t>
            </w:r>
          </w:p>
        </w:tc>
        <w:tc>
          <w:tcPr>
            <w:tcW w:w="663" w:type="dxa"/>
            <w:tcBorders>
              <w:top w:val="nil"/>
              <w:left w:val="nil"/>
              <w:bottom w:val="nil"/>
              <w:right w:val="nil"/>
            </w:tcBorders>
            <w:shd w:val="clear" w:color="auto" w:fill="auto"/>
            <w:noWrap/>
            <w:vAlign w:val="bottom"/>
            <w:hideMark/>
          </w:tcPr>
          <w:p w14:paraId="4423A5D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-0.039</w:t>
            </w:r>
          </w:p>
        </w:tc>
        <w:tc>
          <w:tcPr>
            <w:tcW w:w="674" w:type="dxa"/>
            <w:tcBorders>
              <w:top w:val="nil"/>
              <w:left w:val="nil"/>
              <w:bottom w:val="nil"/>
              <w:right w:val="nil"/>
            </w:tcBorders>
            <w:shd w:val="clear" w:color="auto" w:fill="auto"/>
            <w:noWrap/>
            <w:vAlign w:val="bottom"/>
            <w:hideMark/>
          </w:tcPr>
          <w:p w14:paraId="269EBAB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-0.008</w:t>
            </w:r>
          </w:p>
        </w:tc>
        <w:tc>
          <w:tcPr>
            <w:tcW w:w="662" w:type="dxa"/>
            <w:tcBorders>
              <w:top w:val="nil"/>
              <w:left w:val="nil"/>
              <w:bottom w:val="nil"/>
              <w:right w:val="nil"/>
            </w:tcBorders>
            <w:shd w:val="clear" w:color="auto" w:fill="auto"/>
            <w:noWrap/>
            <w:vAlign w:val="bottom"/>
            <w:hideMark/>
          </w:tcPr>
          <w:p w14:paraId="326EF25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-0.009</w:t>
            </w:r>
          </w:p>
        </w:tc>
        <w:tc>
          <w:tcPr>
            <w:tcW w:w="421" w:type="dxa"/>
            <w:tcBorders>
              <w:top w:val="nil"/>
              <w:left w:val="nil"/>
              <w:bottom w:val="nil"/>
              <w:right w:val="nil"/>
            </w:tcBorders>
            <w:shd w:val="clear" w:color="000000" w:fill="BFBFBF"/>
            <w:noWrap/>
            <w:vAlign w:val="bottom"/>
            <w:hideMark/>
          </w:tcPr>
          <w:p w14:paraId="65542CAD"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752" w:type="dxa"/>
            <w:tcBorders>
              <w:top w:val="nil"/>
              <w:left w:val="nil"/>
              <w:bottom w:val="nil"/>
              <w:right w:val="nil"/>
            </w:tcBorders>
            <w:shd w:val="clear" w:color="auto" w:fill="auto"/>
            <w:noWrap/>
            <w:vAlign w:val="bottom"/>
            <w:hideMark/>
          </w:tcPr>
          <w:p w14:paraId="6942DBB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-0.014</w:t>
            </w:r>
          </w:p>
        </w:tc>
        <w:tc>
          <w:tcPr>
            <w:tcW w:w="785" w:type="dxa"/>
            <w:tcBorders>
              <w:top w:val="nil"/>
              <w:left w:val="nil"/>
              <w:bottom w:val="nil"/>
              <w:right w:val="nil"/>
            </w:tcBorders>
            <w:shd w:val="clear" w:color="auto" w:fill="auto"/>
            <w:noWrap/>
            <w:vAlign w:val="bottom"/>
            <w:hideMark/>
          </w:tcPr>
          <w:p w14:paraId="44F3C06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-0.018</w:t>
            </w:r>
          </w:p>
        </w:tc>
      </w:tr>
    </w:tbl>
    <w:p w14:paraId="11352CC4" w14:textId="77777777" w:rsidR="00634ABA" w:rsidRPr="00986F85" w:rsidRDefault="00634ABA" w:rsidP="00634ABA">
      <w:pPr>
        <w:rPr>
          <w:rFonts w:cs="Times New Roman"/>
        </w:rPr>
      </w:pPr>
    </w:p>
    <w:p w14:paraId="40030DA1" w14:textId="77777777" w:rsidR="00A078CF" w:rsidRPr="00986F85" w:rsidRDefault="00A078CF" w:rsidP="00634ABA">
      <w:pPr>
        <w:rPr>
          <w:rFonts w:cs="Times New Roman"/>
        </w:rPr>
      </w:pPr>
    </w:p>
    <w:tbl>
      <w:tblPr>
        <w:tblW w:w="16649" w:type="dxa"/>
        <w:tblInd w:w="-497" w:type="dxa"/>
        <w:tblCellMar>
          <w:left w:w="70" w:type="dxa"/>
          <w:right w:w="70" w:type="dxa"/>
        </w:tblCellMar>
        <w:tblLook w:val="04A0" w:firstRow="1" w:lastRow="0" w:firstColumn="1" w:lastColumn="0" w:noHBand="0" w:noVBand="1"/>
      </w:tblPr>
      <w:tblGrid>
        <w:gridCol w:w="444"/>
        <w:gridCol w:w="1893"/>
        <w:gridCol w:w="683"/>
        <w:gridCol w:w="756"/>
        <w:gridCol w:w="683"/>
        <w:gridCol w:w="683"/>
        <w:gridCol w:w="683"/>
        <w:gridCol w:w="683"/>
        <w:gridCol w:w="683"/>
        <w:gridCol w:w="806"/>
        <w:gridCol w:w="683"/>
        <w:gridCol w:w="683"/>
        <w:gridCol w:w="806"/>
        <w:gridCol w:w="806"/>
        <w:gridCol w:w="683"/>
        <w:gridCol w:w="683"/>
        <w:gridCol w:w="806"/>
        <w:gridCol w:w="683"/>
        <w:gridCol w:w="683"/>
        <w:gridCol w:w="756"/>
        <w:gridCol w:w="695"/>
        <w:gridCol w:w="695"/>
      </w:tblGrid>
      <w:tr w:rsidR="00A078CF" w:rsidRPr="00986F85" w14:paraId="2C09BF06" w14:textId="77777777" w:rsidTr="00A078CF">
        <w:trPr>
          <w:trHeight w:val="299"/>
        </w:trPr>
        <w:tc>
          <w:tcPr>
            <w:tcW w:w="16649" w:type="dxa"/>
            <w:gridSpan w:val="22"/>
            <w:tcBorders>
              <w:top w:val="nil"/>
              <w:left w:val="nil"/>
              <w:right w:val="nil"/>
            </w:tcBorders>
            <w:shd w:val="clear" w:color="000000" w:fill="B10000"/>
            <w:noWrap/>
            <w:vAlign w:val="bottom"/>
          </w:tcPr>
          <w:p w14:paraId="502EBCB1" w14:textId="77777777" w:rsidR="00A078CF" w:rsidRPr="00986F85" w:rsidRDefault="00A078CF" w:rsidP="00476987">
            <w:pPr>
              <w:spacing w:after="0" w:line="240" w:lineRule="auto"/>
              <w:jc w:val="center"/>
              <w:rPr>
                <w:rFonts w:eastAsia="Times New Roman"/>
                <w:b/>
                <w:bCs/>
                <w:lang w:eastAsia="hu-HU"/>
              </w:rPr>
            </w:pPr>
            <w:r w:rsidRPr="00986F85">
              <w:rPr>
                <w:rFonts w:eastAsia="Times New Roman"/>
                <w:b/>
                <w:bCs/>
                <w:lang w:eastAsia="hu-HU"/>
              </w:rPr>
              <w:t>Főbb indikátorok változásának mediánja iparági bontásban (2011/2006)</w:t>
            </w:r>
          </w:p>
        </w:tc>
      </w:tr>
      <w:tr w:rsidR="00634ABA" w:rsidRPr="00986F85" w14:paraId="3DAF8596" w14:textId="77777777" w:rsidTr="00A078CF">
        <w:trPr>
          <w:trHeight w:val="299"/>
        </w:trPr>
        <w:tc>
          <w:tcPr>
            <w:tcW w:w="16649" w:type="dxa"/>
            <w:gridSpan w:val="22"/>
            <w:tcBorders>
              <w:top w:val="nil"/>
              <w:left w:val="nil"/>
              <w:right w:val="nil"/>
            </w:tcBorders>
            <w:shd w:val="clear" w:color="000000" w:fill="B10000"/>
            <w:noWrap/>
            <w:vAlign w:val="bottom"/>
          </w:tcPr>
          <w:p w14:paraId="0CF2122A" w14:textId="77777777" w:rsidR="00634ABA" w:rsidRPr="00986F85" w:rsidRDefault="00634ABA" w:rsidP="00476987">
            <w:pPr>
              <w:spacing w:after="0" w:line="240" w:lineRule="auto"/>
              <w:jc w:val="center"/>
              <w:rPr>
                <w:rFonts w:eastAsia="Times New Roman"/>
                <w:b/>
                <w:bCs/>
                <w:lang w:eastAsia="hu-HU"/>
              </w:rPr>
            </w:pPr>
          </w:p>
        </w:tc>
      </w:tr>
      <w:tr w:rsidR="00634ABA" w:rsidRPr="00986F85" w14:paraId="69063EBF" w14:textId="77777777" w:rsidTr="00A078CF">
        <w:trPr>
          <w:trHeight w:val="2820"/>
        </w:trPr>
        <w:tc>
          <w:tcPr>
            <w:tcW w:w="434" w:type="dxa"/>
            <w:tcBorders>
              <w:top w:val="nil"/>
              <w:left w:val="nil"/>
              <w:bottom w:val="nil"/>
              <w:right w:val="nil"/>
            </w:tcBorders>
            <w:shd w:val="clear" w:color="auto" w:fill="B10000"/>
            <w:noWrap/>
            <w:vAlign w:val="bottom"/>
            <w:hideMark/>
          </w:tcPr>
          <w:p w14:paraId="11A4AB67" w14:textId="77777777" w:rsidR="00634ABA" w:rsidRPr="00986F85" w:rsidRDefault="00634ABA" w:rsidP="00476987">
            <w:pPr>
              <w:spacing w:after="0" w:line="240" w:lineRule="auto"/>
              <w:rPr>
                <w:rFonts w:eastAsia="Times New Roman"/>
                <w:color w:val="FFFFFF" w:themeColor="background1"/>
                <w:lang w:eastAsia="hu-HU"/>
              </w:rPr>
            </w:pPr>
          </w:p>
        </w:tc>
        <w:tc>
          <w:tcPr>
            <w:tcW w:w="1893" w:type="dxa"/>
            <w:tcBorders>
              <w:top w:val="nil"/>
              <w:left w:val="nil"/>
              <w:bottom w:val="nil"/>
              <w:right w:val="nil"/>
            </w:tcBorders>
            <w:shd w:val="clear" w:color="auto" w:fill="B10000"/>
            <w:noWrap/>
            <w:vAlign w:val="bottom"/>
            <w:hideMark/>
          </w:tcPr>
          <w:p w14:paraId="75505513" w14:textId="77777777" w:rsidR="00634ABA" w:rsidRPr="00986F85" w:rsidRDefault="00634ABA" w:rsidP="00476987">
            <w:pPr>
              <w:spacing w:after="0" w:line="240" w:lineRule="auto"/>
              <w:rPr>
                <w:rFonts w:eastAsia="Times New Roman"/>
                <w:color w:val="FFFFFF" w:themeColor="background1"/>
                <w:lang w:eastAsia="hu-HU"/>
              </w:rPr>
            </w:pPr>
          </w:p>
        </w:tc>
        <w:tc>
          <w:tcPr>
            <w:tcW w:w="683" w:type="dxa"/>
            <w:tcBorders>
              <w:top w:val="nil"/>
              <w:left w:val="nil"/>
              <w:bottom w:val="nil"/>
              <w:right w:val="nil"/>
            </w:tcBorders>
            <w:shd w:val="clear" w:color="auto" w:fill="B10000"/>
            <w:noWrap/>
            <w:textDirection w:val="btLr"/>
            <w:vAlign w:val="bottom"/>
            <w:hideMark/>
          </w:tcPr>
          <w:p w14:paraId="25DC9EC2"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Adminisztratív és szolgáltatás</w:t>
            </w:r>
          </w:p>
        </w:tc>
        <w:tc>
          <w:tcPr>
            <w:tcW w:w="756" w:type="dxa"/>
            <w:tcBorders>
              <w:top w:val="nil"/>
              <w:left w:val="nil"/>
              <w:bottom w:val="nil"/>
              <w:right w:val="nil"/>
            </w:tcBorders>
            <w:shd w:val="clear" w:color="auto" w:fill="B10000"/>
            <w:noWrap/>
            <w:textDirection w:val="btLr"/>
            <w:vAlign w:val="bottom"/>
            <w:hideMark/>
          </w:tcPr>
          <w:p w14:paraId="1BC33ED6"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Bányászat, kőfejtés</w:t>
            </w:r>
          </w:p>
        </w:tc>
        <w:tc>
          <w:tcPr>
            <w:tcW w:w="683" w:type="dxa"/>
            <w:tcBorders>
              <w:top w:val="nil"/>
              <w:left w:val="nil"/>
              <w:bottom w:val="nil"/>
              <w:right w:val="nil"/>
            </w:tcBorders>
            <w:shd w:val="clear" w:color="auto" w:fill="B10000"/>
            <w:noWrap/>
            <w:textDirection w:val="btLr"/>
            <w:vAlign w:val="bottom"/>
            <w:hideMark/>
          </w:tcPr>
          <w:p w14:paraId="2C4E60B9"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Egyéb szolgáltatás</w:t>
            </w:r>
          </w:p>
        </w:tc>
        <w:tc>
          <w:tcPr>
            <w:tcW w:w="683" w:type="dxa"/>
            <w:tcBorders>
              <w:top w:val="nil"/>
              <w:left w:val="nil"/>
              <w:bottom w:val="nil"/>
              <w:right w:val="nil"/>
            </w:tcBorders>
            <w:shd w:val="clear" w:color="auto" w:fill="B10000"/>
            <w:noWrap/>
            <w:textDirection w:val="btLr"/>
            <w:vAlign w:val="bottom"/>
            <w:hideMark/>
          </w:tcPr>
          <w:p w14:paraId="55E16FE6"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Epítőipar</w:t>
            </w:r>
          </w:p>
        </w:tc>
        <w:tc>
          <w:tcPr>
            <w:tcW w:w="683" w:type="dxa"/>
            <w:tcBorders>
              <w:top w:val="nil"/>
              <w:left w:val="nil"/>
              <w:bottom w:val="nil"/>
              <w:right w:val="nil"/>
            </w:tcBorders>
            <w:shd w:val="clear" w:color="auto" w:fill="B10000"/>
            <w:noWrap/>
            <w:textDirection w:val="btLr"/>
            <w:vAlign w:val="bottom"/>
            <w:hideMark/>
          </w:tcPr>
          <w:p w14:paraId="448EAA77"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Feldolgozóipar</w:t>
            </w:r>
          </w:p>
        </w:tc>
        <w:tc>
          <w:tcPr>
            <w:tcW w:w="683" w:type="dxa"/>
            <w:tcBorders>
              <w:top w:val="nil"/>
              <w:left w:val="nil"/>
              <w:bottom w:val="nil"/>
              <w:right w:val="nil"/>
            </w:tcBorders>
            <w:shd w:val="clear" w:color="auto" w:fill="B10000"/>
            <w:noWrap/>
            <w:textDirection w:val="btLr"/>
            <w:vAlign w:val="bottom"/>
            <w:hideMark/>
          </w:tcPr>
          <w:p w14:paraId="302E5DE4"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Humán-egészségügyi, szociális el.</w:t>
            </w:r>
          </w:p>
        </w:tc>
        <w:tc>
          <w:tcPr>
            <w:tcW w:w="683" w:type="dxa"/>
            <w:tcBorders>
              <w:top w:val="nil"/>
              <w:left w:val="nil"/>
              <w:bottom w:val="nil"/>
              <w:right w:val="nil"/>
            </w:tcBorders>
            <w:shd w:val="clear" w:color="auto" w:fill="B10000"/>
            <w:noWrap/>
            <w:textDirection w:val="btLr"/>
            <w:vAlign w:val="bottom"/>
            <w:hideMark/>
          </w:tcPr>
          <w:p w14:paraId="7DD4B251"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Információ, kommunikáció</w:t>
            </w:r>
          </w:p>
        </w:tc>
        <w:tc>
          <w:tcPr>
            <w:tcW w:w="806" w:type="dxa"/>
            <w:tcBorders>
              <w:top w:val="nil"/>
              <w:left w:val="nil"/>
              <w:bottom w:val="nil"/>
              <w:right w:val="nil"/>
            </w:tcBorders>
            <w:shd w:val="clear" w:color="auto" w:fill="B10000"/>
            <w:noWrap/>
            <w:textDirection w:val="btLr"/>
            <w:vAlign w:val="bottom"/>
            <w:hideMark/>
          </w:tcPr>
          <w:p w14:paraId="63C9B9FF"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Ingatlanügyek</w:t>
            </w:r>
          </w:p>
        </w:tc>
        <w:tc>
          <w:tcPr>
            <w:tcW w:w="683" w:type="dxa"/>
            <w:tcBorders>
              <w:top w:val="nil"/>
              <w:left w:val="nil"/>
              <w:bottom w:val="nil"/>
              <w:right w:val="nil"/>
            </w:tcBorders>
            <w:shd w:val="clear" w:color="auto" w:fill="B10000"/>
            <w:noWrap/>
            <w:textDirection w:val="btLr"/>
            <w:vAlign w:val="bottom"/>
            <w:hideMark/>
          </w:tcPr>
          <w:p w14:paraId="4CF14D1E"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Kereskedelem, gépjárműjavítás</w:t>
            </w:r>
          </w:p>
        </w:tc>
        <w:tc>
          <w:tcPr>
            <w:tcW w:w="683" w:type="dxa"/>
            <w:tcBorders>
              <w:top w:val="nil"/>
              <w:left w:val="nil"/>
              <w:bottom w:val="nil"/>
              <w:right w:val="nil"/>
            </w:tcBorders>
            <w:shd w:val="clear" w:color="auto" w:fill="B10000"/>
            <w:noWrap/>
            <w:textDirection w:val="btLr"/>
            <w:vAlign w:val="bottom"/>
            <w:hideMark/>
          </w:tcPr>
          <w:p w14:paraId="60285DCD"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Közigazgatás, védelem</w:t>
            </w:r>
          </w:p>
        </w:tc>
        <w:tc>
          <w:tcPr>
            <w:tcW w:w="806" w:type="dxa"/>
            <w:tcBorders>
              <w:top w:val="nil"/>
              <w:left w:val="nil"/>
              <w:bottom w:val="nil"/>
              <w:right w:val="nil"/>
            </w:tcBorders>
            <w:shd w:val="clear" w:color="auto" w:fill="B10000"/>
            <w:noWrap/>
            <w:textDirection w:val="btLr"/>
            <w:vAlign w:val="bottom"/>
            <w:hideMark/>
          </w:tcPr>
          <w:p w14:paraId="07A35C84"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Mezőgazdaság, erdőgazdaság, hal.</w:t>
            </w:r>
          </w:p>
        </w:tc>
        <w:tc>
          <w:tcPr>
            <w:tcW w:w="806" w:type="dxa"/>
            <w:tcBorders>
              <w:top w:val="nil"/>
              <w:left w:val="nil"/>
              <w:bottom w:val="nil"/>
              <w:right w:val="nil"/>
            </w:tcBorders>
            <w:shd w:val="clear" w:color="auto" w:fill="B10000"/>
            <w:noWrap/>
            <w:textDirection w:val="btLr"/>
            <w:vAlign w:val="bottom"/>
            <w:hideMark/>
          </w:tcPr>
          <w:p w14:paraId="2120DBAB"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Művészet, szórakoztatás</w:t>
            </w:r>
          </w:p>
        </w:tc>
        <w:tc>
          <w:tcPr>
            <w:tcW w:w="683" w:type="dxa"/>
            <w:tcBorders>
              <w:top w:val="nil"/>
              <w:left w:val="nil"/>
              <w:bottom w:val="nil"/>
              <w:right w:val="nil"/>
            </w:tcBorders>
            <w:shd w:val="clear" w:color="auto" w:fill="B10000"/>
            <w:noWrap/>
            <w:textDirection w:val="btLr"/>
            <w:vAlign w:val="bottom"/>
            <w:hideMark/>
          </w:tcPr>
          <w:p w14:paraId="0497ECF1"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Oktatás</w:t>
            </w:r>
          </w:p>
        </w:tc>
        <w:tc>
          <w:tcPr>
            <w:tcW w:w="683" w:type="dxa"/>
            <w:tcBorders>
              <w:top w:val="nil"/>
              <w:left w:val="nil"/>
              <w:bottom w:val="nil"/>
              <w:right w:val="nil"/>
            </w:tcBorders>
            <w:shd w:val="clear" w:color="auto" w:fill="B10000"/>
            <w:noWrap/>
            <w:textDirection w:val="btLr"/>
            <w:vAlign w:val="bottom"/>
            <w:hideMark/>
          </w:tcPr>
          <w:p w14:paraId="53698768"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Pénzügyi, biztosítási tev.</w:t>
            </w:r>
          </w:p>
        </w:tc>
        <w:tc>
          <w:tcPr>
            <w:tcW w:w="806" w:type="dxa"/>
            <w:tcBorders>
              <w:top w:val="nil"/>
              <w:left w:val="nil"/>
              <w:bottom w:val="nil"/>
              <w:right w:val="nil"/>
            </w:tcBorders>
            <w:shd w:val="clear" w:color="auto" w:fill="B10000"/>
            <w:noWrap/>
            <w:textDirection w:val="btLr"/>
            <w:vAlign w:val="bottom"/>
            <w:hideMark/>
          </w:tcPr>
          <w:p w14:paraId="127C80EB"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Szakmai, tudományos, műszaki tev.</w:t>
            </w:r>
          </w:p>
        </w:tc>
        <w:tc>
          <w:tcPr>
            <w:tcW w:w="683" w:type="dxa"/>
            <w:tcBorders>
              <w:top w:val="nil"/>
              <w:left w:val="nil"/>
              <w:bottom w:val="nil"/>
              <w:right w:val="nil"/>
            </w:tcBorders>
            <w:shd w:val="clear" w:color="auto" w:fill="B10000"/>
            <w:noWrap/>
            <w:textDirection w:val="btLr"/>
            <w:vAlign w:val="bottom"/>
            <w:hideMark/>
          </w:tcPr>
          <w:p w14:paraId="4D6A6C92"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Szálláshely-szolgáltatás, vendégl.</w:t>
            </w:r>
          </w:p>
        </w:tc>
        <w:tc>
          <w:tcPr>
            <w:tcW w:w="683" w:type="dxa"/>
            <w:tcBorders>
              <w:top w:val="nil"/>
              <w:left w:val="nil"/>
              <w:bottom w:val="nil"/>
              <w:right w:val="nil"/>
            </w:tcBorders>
            <w:shd w:val="clear" w:color="auto" w:fill="B10000"/>
            <w:noWrap/>
            <w:textDirection w:val="btLr"/>
            <w:vAlign w:val="bottom"/>
            <w:hideMark/>
          </w:tcPr>
          <w:p w14:paraId="06D3F588"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Szállítás, raktározás</w:t>
            </w:r>
          </w:p>
        </w:tc>
        <w:tc>
          <w:tcPr>
            <w:tcW w:w="756" w:type="dxa"/>
            <w:tcBorders>
              <w:top w:val="nil"/>
              <w:left w:val="nil"/>
              <w:bottom w:val="nil"/>
              <w:right w:val="nil"/>
            </w:tcBorders>
            <w:shd w:val="clear" w:color="auto" w:fill="B10000"/>
            <w:noWrap/>
            <w:textDirection w:val="btLr"/>
            <w:vAlign w:val="bottom"/>
            <w:hideMark/>
          </w:tcPr>
          <w:p w14:paraId="0C7F29BE"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Villamosenergia-, gáz-,gőzellátás</w:t>
            </w:r>
          </w:p>
        </w:tc>
        <w:tc>
          <w:tcPr>
            <w:tcW w:w="695" w:type="dxa"/>
            <w:tcBorders>
              <w:top w:val="nil"/>
              <w:left w:val="nil"/>
              <w:bottom w:val="nil"/>
              <w:right w:val="nil"/>
            </w:tcBorders>
            <w:shd w:val="clear" w:color="auto" w:fill="B10000"/>
            <w:noWrap/>
            <w:textDirection w:val="btLr"/>
            <w:vAlign w:val="bottom"/>
            <w:hideMark/>
          </w:tcPr>
          <w:p w14:paraId="05710E82"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Vízellátás; szennyvízgyűjtése</w:t>
            </w:r>
          </w:p>
        </w:tc>
        <w:tc>
          <w:tcPr>
            <w:tcW w:w="695" w:type="dxa"/>
            <w:tcBorders>
              <w:top w:val="nil"/>
              <w:left w:val="nil"/>
              <w:bottom w:val="nil"/>
              <w:right w:val="nil"/>
            </w:tcBorders>
            <w:shd w:val="clear" w:color="auto" w:fill="B10000"/>
            <w:noWrap/>
            <w:textDirection w:val="btLr"/>
            <w:vAlign w:val="bottom"/>
            <w:hideMark/>
          </w:tcPr>
          <w:p w14:paraId="5D463258"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Országos átlag</w:t>
            </w:r>
          </w:p>
        </w:tc>
      </w:tr>
      <w:tr w:rsidR="00634ABA" w:rsidRPr="00986F85" w14:paraId="79ACBAD1" w14:textId="77777777" w:rsidTr="00A078CF">
        <w:trPr>
          <w:trHeight w:val="284"/>
        </w:trPr>
        <w:tc>
          <w:tcPr>
            <w:tcW w:w="434" w:type="dxa"/>
            <w:vMerge w:val="restart"/>
            <w:tcBorders>
              <w:top w:val="nil"/>
              <w:left w:val="nil"/>
              <w:bottom w:val="nil"/>
              <w:right w:val="nil"/>
            </w:tcBorders>
            <w:shd w:val="clear" w:color="auto" w:fill="auto"/>
            <w:noWrap/>
            <w:textDirection w:val="btLr"/>
            <w:vAlign w:val="bottom"/>
            <w:hideMark/>
          </w:tcPr>
          <w:p w14:paraId="2FA20AFE" w14:textId="77777777" w:rsidR="00634ABA" w:rsidRPr="00986F85" w:rsidRDefault="00634ABA" w:rsidP="00476987">
            <w:pPr>
              <w:spacing w:after="0" w:line="240" w:lineRule="auto"/>
              <w:jc w:val="center"/>
              <w:rPr>
                <w:rFonts w:eastAsia="Times New Roman"/>
                <w:b/>
                <w:color w:val="000000"/>
                <w:lang w:eastAsia="hu-HU"/>
              </w:rPr>
            </w:pPr>
            <w:r w:rsidRPr="00986F85">
              <w:rPr>
                <w:rFonts w:eastAsia="Times New Roman"/>
                <w:b/>
                <w:color w:val="000000"/>
                <w:lang w:eastAsia="hu-HU"/>
              </w:rPr>
              <w:t>Kontroll</w:t>
            </w:r>
          </w:p>
        </w:tc>
        <w:tc>
          <w:tcPr>
            <w:tcW w:w="1893" w:type="dxa"/>
            <w:tcBorders>
              <w:top w:val="nil"/>
              <w:left w:val="nil"/>
              <w:bottom w:val="nil"/>
              <w:right w:val="nil"/>
            </w:tcBorders>
            <w:shd w:val="clear" w:color="auto" w:fill="auto"/>
            <w:noWrap/>
            <w:vAlign w:val="bottom"/>
            <w:hideMark/>
          </w:tcPr>
          <w:p w14:paraId="768C716F"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Foglalkoztatottak száma (%)</w:t>
            </w:r>
          </w:p>
        </w:tc>
        <w:tc>
          <w:tcPr>
            <w:tcW w:w="683" w:type="dxa"/>
            <w:tcBorders>
              <w:top w:val="nil"/>
              <w:left w:val="nil"/>
              <w:bottom w:val="nil"/>
              <w:right w:val="nil"/>
            </w:tcBorders>
            <w:shd w:val="clear" w:color="auto" w:fill="auto"/>
            <w:noWrap/>
            <w:vAlign w:val="bottom"/>
            <w:hideMark/>
          </w:tcPr>
          <w:p w14:paraId="04E8B44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-25</w:t>
            </w:r>
          </w:p>
        </w:tc>
        <w:tc>
          <w:tcPr>
            <w:tcW w:w="756" w:type="dxa"/>
            <w:tcBorders>
              <w:top w:val="nil"/>
              <w:left w:val="nil"/>
              <w:bottom w:val="nil"/>
              <w:right w:val="nil"/>
            </w:tcBorders>
            <w:shd w:val="clear" w:color="auto" w:fill="auto"/>
            <w:noWrap/>
            <w:vAlign w:val="bottom"/>
            <w:hideMark/>
          </w:tcPr>
          <w:p w14:paraId="6E57B7B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-27.3</w:t>
            </w:r>
          </w:p>
        </w:tc>
        <w:tc>
          <w:tcPr>
            <w:tcW w:w="683" w:type="dxa"/>
            <w:tcBorders>
              <w:top w:val="nil"/>
              <w:left w:val="nil"/>
              <w:bottom w:val="nil"/>
              <w:right w:val="nil"/>
            </w:tcBorders>
            <w:shd w:val="clear" w:color="auto" w:fill="auto"/>
            <w:noWrap/>
            <w:vAlign w:val="bottom"/>
            <w:hideMark/>
          </w:tcPr>
          <w:p w14:paraId="362FD7B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-20</w:t>
            </w:r>
          </w:p>
        </w:tc>
        <w:tc>
          <w:tcPr>
            <w:tcW w:w="683" w:type="dxa"/>
            <w:tcBorders>
              <w:top w:val="nil"/>
              <w:left w:val="nil"/>
              <w:bottom w:val="nil"/>
              <w:right w:val="nil"/>
            </w:tcBorders>
            <w:shd w:val="clear" w:color="auto" w:fill="auto"/>
            <w:noWrap/>
            <w:vAlign w:val="bottom"/>
            <w:hideMark/>
          </w:tcPr>
          <w:p w14:paraId="6473B1F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-33.3</w:t>
            </w:r>
          </w:p>
        </w:tc>
        <w:tc>
          <w:tcPr>
            <w:tcW w:w="683" w:type="dxa"/>
            <w:tcBorders>
              <w:top w:val="nil"/>
              <w:left w:val="nil"/>
              <w:bottom w:val="nil"/>
              <w:right w:val="nil"/>
            </w:tcBorders>
            <w:shd w:val="clear" w:color="auto" w:fill="auto"/>
            <w:noWrap/>
            <w:vAlign w:val="bottom"/>
            <w:hideMark/>
          </w:tcPr>
          <w:p w14:paraId="457E4D4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-21.4</w:t>
            </w:r>
          </w:p>
        </w:tc>
        <w:tc>
          <w:tcPr>
            <w:tcW w:w="683" w:type="dxa"/>
            <w:tcBorders>
              <w:top w:val="nil"/>
              <w:left w:val="nil"/>
              <w:bottom w:val="nil"/>
              <w:right w:val="nil"/>
            </w:tcBorders>
            <w:shd w:val="clear" w:color="auto" w:fill="auto"/>
            <w:noWrap/>
            <w:vAlign w:val="bottom"/>
            <w:hideMark/>
          </w:tcPr>
          <w:p w14:paraId="1968929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-16.7</w:t>
            </w:r>
          </w:p>
        </w:tc>
        <w:tc>
          <w:tcPr>
            <w:tcW w:w="683" w:type="dxa"/>
            <w:tcBorders>
              <w:top w:val="nil"/>
              <w:left w:val="nil"/>
              <w:bottom w:val="nil"/>
              <w:right w:val="nil"/>
            </w:tcBorders>
            <w:shd w:val="clear" w:color="auto" w:fill="auto"/>
            <w:noWrap/>
            <w:vAlign w:val="bottom"/>
            <w:hideMark/>
          </w:tcPr>
          <w:p w14:paraId="5BCD4C6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-19.8</w:t>
            </w:r>
          </w:p>
        </w:tc>
        <w:tc>
          <w:tcPr>
            <w:tcW w:w="806" w:type="dxa"/>
            <w:tcBorders>
              <w:top w:val="nil"/>
              <w:left w:val="nil"/>
              <w:bottom w:val="nil"/>
              <w:right w:val="nil"/>
            </w:tcBorders>
            <w:shd w:val="clear" w:color="auto" w:fill="auto"/>
            <w:noWrap/>
            <w:vAlign w:val="bottom"/>
            <w:hideMark/>
          </w:tcPr>
          <w:p w14:paraId="6DF7F9A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-41.7</w:t>
            </w:r>
          </w:p>
        </w:tc>
        <w:tc>
          <w:tcPr>
            <w:tcW w:w="683" w:type="dxa"/>
            <w:tcBorders>
              <w:top w:val="nil"/>
              <w:left w:val="nil"/>
              <w:bottom w:val="nil"/>
              <w:right w:val="nil"/>
            </w:tcBorders>
            <w:shd w:val="clear" w:color="auto" w:fill="auto"/>
            <w:noWrap/>
            <w:vAlign w:val="bottom"/>
            <w:hideMark/>
          </w:tcPr>
          <w:p w14:paraId="5D327D3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-16.7</w:t>
            </w:r>
          </w:p>
        </w:tc>
        <w:tc>
          <w:tcPr>
            <w:tcW w:w="683" w:type="dxa"/>
            <w:tcBorders>
              <w:top w:val="nil"/>
              <w:left w:val="nil"/>
              <w:bottom w:val="nil"/>
              <w:right w:val="nil"/>
            </w:tcBorders>
            <w:shd w:val="clear" w:color="auto" w:fill="auto"/>
            <w:noWrap/>
            <w:vAlign w:val="bottom"/>
            <w:hideMark/>
          </w:tcPr>
          <w:p w14:paraId="74FBCF9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-53.1</w:t>
            </w:r>
          </w:p>
        </w:tc>
        <w:tc>
          <w:tcPr>
            <w:tcW w:w="806" w:type="dxa"/>
            <w:tcBorders>
              <w:top w:val="nil"/>
              <w:left w:val="nil"/>
              <w:bottom w:val="nil"/>
              <w:right w:val="nil"/>
            </w:tcBorders>
            <w:shd w:val="clear" w:color="auto" w:fill="auto"/>
            <w:noWrap/>
            <w:vAlign w:val="bottom"/>
            <w:hideMark/>
          </w:tcPr>
          <w:p w14:paraId="7B58082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-14.3</w:t>
            </w:r>
          </w:p>
        </w:tc>
        <w:tc>
          <w:tcPr>
            <w:tcW w:w="806" w:type="dxa"/>
            <w:tcBorders>
              <w:top w:val="nil"/>
              <w:left w:val="nil"/>
              <w:bottom w:val="nil"/>
              <w:right w:val="nil"/>
            </w:tcBorders>
            <w:shd w:val="clear" w:color="auto" w:fill="auto"/>
            <w:noWrap/>
            <w:vAlign w:val="bottom"/>
            <w:hideMark/>
          </w:tcPr>
          <w:p w14:paraId="7B3CDB6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-14.3</w:t>
            </w:r>
          </w:p>
        </w:tc>
        <w:tc>
          <w:tcPr>
            <w:tcW w:w="683" w:type="dxa"/>
            <w:tcBorders>
              <w:top w:val="nil"/>
              <w:left w:val="nil"/>
              <w:bottom w:val="nil"/>
              <w:right w:val="nil"/>
            </w:tcBorders>
            <w:shd w:val="clear" w:color="auto" w:fill="auto"/>
            <w:noWrap/>
            <w:vAlign w:val="bottom"/>
            <w:hideMark/>
          </w:tcPr>
          <w:p w14:paraId="68B9597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-29.6</w:t>
            </w:r>
          </w:p>
        </w:tc>
        <w:tc>
          <w:tcPr>
            <w:tcW w:w="683" w:type="dxa"/>
            <w:tcBorders>
              <w:top w:val="nil"/>
              <w:left w:val="nil"/>
              <w:bottom w:val="nil"/>
              <w:right w:val="nil"/>
            </w:tcBorders>
            <w:shd w:val="clear" w:color="auto" w:fill="auto"/>
            <w:noWrap/>
            <w:vAlign w:val="bottom"/>
            <w:hideMark/>
          </w:tcPr>
          <w:p w14:paraId="29AA888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-3.8</w:t>
            </w:r>
          </w:p>
        </w:tc>
        <w:tc>
          <w:tcPr>
            <w:tcW w:w="806" w:type="dxa"/>
            <w:tcBorders>
              <w:top w:val="nil"/>
              <w:left w:val="nil"/>
              <w:bottom w:val="nil"/>
              <w:right w:val="nil"/>
            </w:tcBorders>
            <w:shd w:val="clear" w:color="auto" w:fill="auto"/>
            <w:noWrap/>
            <w:vAlign w:val="bottom"/>
            <w:hideMark/>
          </w:tcPr>
          <w:p w14:paraId="0E45139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-16.7</w:t>
            </w:r>
          </w:p>
        </w:tc>
        <w:tc>
          <w:tcPr>
            <w:tcW w:w="683" w:type="dxa"/>
            <w:tcBorders>
              <w:top w:val="nil"/>
              <w:left w:val="nil"/>
              <w:bottom w:val="nil"/>
              <w:right w:val="nil"/>
            </w:tcBorders>
            <w:shd w:val="clear" w:color="auto" w:fill="auto"/>
            <w:noWrap/>
            <w:vAlign w:val="bottom"/>
            <w:hideMark/>
          </w:tcPr>
          <w:p w14:paraId="0B0C57B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-21.4</w:t>
            </w:r>
          </w:p>
        </w:tc>
        <w:tc>
          <w:tcPr>
            <w:tcW w:w="683" w:type="dxa"/>
            <w:tcBorders>
              <w:top w:val="nil"/>
              <w:left w:val="nil"/>
              <w:bottom w:val="nil"/>
              <w:right w:val="nil"/>
            </w:tcBorders>
            <w:shd w:val="clear" w:color="auto" w:fill="auto"/>
            <w:noWrap/>
            <w:vAlign w:val="bottom"/>
            <w:hideMark/>
          </w:tcPr>
          <w:p w14:paraId="738D467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-14.3</w:t>
            </w:r>
          </w:p>
        </w:tc>
        <w:tc>
          <w:tcPr>
            <w:tcW w:w="756" w:type="dxa"/>
            <w:tcBorders>
              <w:top w:val="nil"/>
              <w:left w:val="nil"/>
              <w:bottom w:val="nil"/>
              <w:right w:val="nil"/>
            </w:tcBorders>
            <w:shd w:val="clear" w:color="auto" w:fill="auto"/>
            <w:noWrap/>
            <w:vAlign w:val="bottom"/>
            <w:hideMark/>
          </w:tcPr>
          <w:p w14:paraId="0DD443C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-9.3</w:t>
            </w:r>
          </w:p>
        </w:tc>
        <w:tc>
          <w:tcPr>
            <w:tcW w:w="695" w:type="dxa"/>
            <w:tcBorders>
              <w:top w:val="nil"/>
              <w:left w:val="nil"/>
              <w:bottom w:val="nil"/>
              <w:right w:val="nil"/>
            </w:tcBorders>
            <w:shd w:val="clear" w:color="auto" w:fill="auto"/>
            <w:noWrap/>
            <w:vAlign w:val="bottom"/>
            <w:hideMark/>
          </w:tcPr>
          <w:p w14:paraId="2339045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-8.3</w:t>
            </w:r>
          </w:p>
        </w:tc>
        <w:tc>
          <w:tcPr>
            <w:tcW w:w="695" w:type="dxa"/>
            <w:tcBorders>
              <w:top w:val="nil"/>
              <w:left w:val="nil"/>
              <w:bottom w:val="nil"/>
              <w:right w:val="nil"/>
            </w:tcBorders>
            <w:shd w:val="clear" w:color="auto" w:fill="auto"/>
            <w:noWrap/>
            <w:vAlign w:val="bottom"/>
            <w:hideMark/>
          </w:tcPr>
          <w:p w14:paraId="5D67FEF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-20</w:t>
            </w:r>
          </w:p>
        </w:tc>
      </w:tr>
      <w:tr w:rsidR="00634ABA" w:rsidRPr="00986F85" w14:paraId="47B50977" w14:textId="77777777" w:rsidTr="00A078CF">
        <w:trPr>
          <w:trHeight w:val="284"/>
        </w:trPr>
        <w:tc>
          <w:tcPr>
            <w:tcW w:w="434" w:type="dxa"/>
            <w:vMerge/>
            <w:tcBorders>
              <w:top w:val="nil"/>
              <w:left w:val="nil"/>
              <w:bottom w:val="nil"/>
              <w:right w:val="nil"/>
            </w:tcBorders>
            <w:vAlign w:val="center"/>
            <w:hideMark/>
          </w:tcPr>
          <w:p w14:paraId="7287DE81" w14:textId="77777777" w:rsidR="00634ABA" w:rsidRPr="00986F85" w:rsidRDefault="00634ABA" w:rsidP="00476987">
            <w:pPr>
              <w:spacing w:after="0" w:line="240" w:lineRule="auto"/>
              <w:rPr>
                <w:rFonts w:eastAsia="Times New Roman"/>
                <w:color w:val="000000"/>
                <w:lang w:eastAsia="hu-HU"/>
              </w:rPr>
            </w:pPr>
          </w:p>
        </w:tc>
        <w:tc>
          <w:tcPr>
            <w:tcW w:w="1893" w:type="dxa"/>
            <w:tcBorders>
              <w:top w:val="nil"/>
              <w:left w:val="nil"/>
              <w:bottom w:val="nil"/>
              <w:right w:val="nil"/>
            </w:tcBorders>
            <w:shd w:val="clear" w:color="auto" w:fill="auto"/>
            <w:noWrap/>
            <w:vAlign w:val="bottom"/>
            <w:hideMark/>
          </w:tcPr>
          <w:p w14:paraId="6170015C"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Nettó árbevétel (%)</w:t>
            </w:r>
          </w:p>
        </w:tc>
        <w:tc>
          <w:tcPr>
            <w:tcW w:w="683" w:type="dxa"/>
            <w:tcBorders>
              <w:top w:val="nil"/>
              <w:left w:val="nil"/>
              <w:bottom w:val="nil"/>
              <w:right w:val="nil"/>
            </w:tcBorders>
            <w:shd w:val="clear" w:color="auto" w:fill="auto"/>
            <w:noWrap/>
            <w:vAlign w:val="bottom"/>
            <w:hideMark/>
          </w:tcPr>
          <w:p w14:paraId="20F1021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-10.6</w:t>
            </w:r>
          </w:p>
        </w:tc>
        <w:tc>
          <w:tcPr>
            <w:tcW w:w="756" w:type="dxa"/>
            <w:tcBorders>
              <w:top w:val="nil"/>
              <w:left w:val="nil"/>
              <w:bottom w:val="nil"/>
              <w:right w:val="nil"/>
            </w:tcBorders>
            <w:shd w:val="clear" w:color="auto" w:fill="auto"/>
            <w:noWrap/>
            <w:vAlign w:val="bottom"/>
            <w:hideMark/>
          </w:tcPr>
          <w:p w14:paraId="58E8D8E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-36</w:t>
            </w:r>
          </w:p>
        </w:tc>
        <w:tc>
          <w:tcPr>
            <w:tcW w:w="683" w:type="dxa"/>
            <w:tcBorders>
              <w:top w:val="nil"/>
              <w:left w:val="nil"/>
              <w:bottom w:val="nil"/>
              <w:right w:val="nil"/>
            </w:tcBorders>
            <w:shd w:val="clear" w:color="auto" w:fill="auto"/>
            <w:noWrap/>
            <w:vAlign w:val="bottom"/>
            <w:hideMark/>
          </w:tcPr>
          <w:p w14:paraId="77D625D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-10.1</w:t>
            </w:r>
          </w:p>
        </w:tc>
        <w:tc>
          <w:tcPr>
            <w:tcW w:w="683" w:type="dxa"/>
            <w:tcBorders>
              <w:top w:val="nil"/>
              <w:left w:val="nil"/>
              <w:bottom w:val="nil"/>
              <w:right w:val="nil"/>
            </w:tcBorders>
            <w:shd w:val="clear" w:color="auto" w:fill="auto"/>
            <w:noWrap/>
            <w:vAlign w:val="bottom"/>
            <w:hideMark/>
          </w:tcPr>
          <w:p w14:paraId="6D7719C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-31.7</w:t>
            </w:r>
          </w:p>
        </w:tc>
        <w:tc>
          <w:tcPr>
            <w:tcW w:w="683" w:type="dxa"/>
            <w:tcBorders>
              <w:top w:val="nil"/>
              <w:left w:val="nil"/>
              <w:bottom w:val="nil"/>
              <w:right w:val="nil"/>
            </w:tcBorders>
            <w:shd w:val="clear" w:color="auto" w:fill="auto"/>
            <w:noWrap/>
            <w:vAlign w:val="bottom"/>
            <w:hideMark/>
          </w:tcPr>
          <w:p w14:paraId="0D24AB4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-12.7</w:t>
            </w:r>
          </w:p>
        </w:tc>
        <w:tc>
          <w:tcPr>
            <w:tcW w:w="683" w:type="dxa"/>
            <w:tcBorders>
              <w:top w:val="nil"/>
              <w:left w:val="nil"/>
              <w:bottom w:val="nil"/>
              <w:right w:val="nil"/>
            </w:tcBorders>
            <w:shd w:val="clear" w:color="auto" w:fill="auto"/>
            <w:noWrap/>
            <w:vAlign w:val="bottom"/>
            <w:hideMark/>
          </w:tcPr>
          <w:p w14:paraId="52CAACD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8.7</w:t>
            </w:r>
          </w:p>
        </w:tc>
        <w:tc>
          <w:tcPr>
            <w:tcW w:w="683" w:type="dxa"/>
            <w:tcBorders>
              <w:top w:val="nil"/>
              <w:left w:val="nil"/>
              <w:bottom w:val="nil"/>
              <w:right w:val="nil"/>
            </w:tcBorders>
            <w:shd w:val="clear" w:color="auto" w:fill="auto"/>
            <w:noWrap/>
            <w:vAlign w:val="bottom"/>
            <w:hideMark/>
          </w:tcPr>
          <w:p w14:paraId="4456625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-24.5</w:t>
            </w:r>
          </w:p>
        </w:tc>
        <w:tc>
          <w:tcPr>
            <w:tcW w:w="806" w:type="dxa"/>
            <w:tcBorders>
              <w:top w:val="nil"/>
              <w:left w:val="nil"/>
              <w:bottom w:val="nil"/>
              <w:right w:val="nil"/>
            </w:tcBorders>
            <w:shd w:val="clear" w:color="auto" w:fill="auto"/>
            <w:noWrap/>
            <w:vAlign w:val="bottom"/>
            <w:hideMark/>
          </w:tcPr>
          <w:p w14:paraId="41087FF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-32.1</w:t>
            </w:r>
          </w:p>
        </w:tc>
        <w:tc>
          <w:tcPr>
            <w:tcW w:w="683" w:type="dxa"/>
            <w:tcBorders>
              <w:top w:val="nil"/>
              <w:left w:val="nil"/>
              <w:bottom w:val="nil"/>
              <w:right w:val="nil"/>
            </w:tcBorders>
            <w:shd w:val="clear" w:color="auto" w:fill="auto"/>
            <w:noWrap/>
            <w:vAlign w:val="bottom"/>
            <w:hideMark/>
          </w:tcPr>
          <w:p w14:paraId="7E2151E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-17.5</w:t>
            </w:r>
          </w:p>
        </w:tc>
        <w:tc>
          <w:tcPr>
            <w:tcW w:w="683" w:type="dxa"/>
            <w:tcBorders>
              <w:top w:val="nil"/>
              <w:left w:val="nil"/>
              <w:bottom w:val="nil"/>
              <w:right w:val="nil"/>
            </w:tcBorders>
            <w:shd w:val="clear" w:color="auto" w:fill="auto"/>
            <w:noWrap/>
            <w:vAlign w:val="bottom"/>
            <w:hideMark/>
          </w:tcPr>
          <w:p w14:paraId="5F50402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7.9</w:t>
            </w:r>
          </w:p>
        </w:tc>
        <w:tc>
          <w:tcPr>
            <w:tcW w:w="806" w:type="dxa"/>
            <w:tcBorders>
              <w:top w:val="nil"/>
              <w:left w:val="nil"/>
              <w:bottom w:val="nil"/>
              <w:right w:val="nil"/>
            </w:tcBorders>
            <w:shd w:val="clear" w:color="auto" w:fill="auto"/>
            <w:noWrap/>
            <w:vAlign w:val="bottom"/>
            <w:hideMark/>
          </w:tcPr>
          <w:p w14:paraId="24BA9A7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25.1</w:t>
            </w:r>
          </w:p>
        </w:tc>
        <w:tc>
          <w:tcPr>
            <w:tcW w:w="806" w:type="dxa"/>
            <w:tcBorders>
              <w:top w:val="nil"/>
              <w:left w:val="nil"/>
              <w:bottom w:val="nil"/>
              <w:right w:val="nil"/>
            </w:tcBorders>
            <w:shd w:val="clear" w:color="auto" w:fill="auto"/>
            <w:noWrap/>
            <w:vAlign w:val="bottom"/>
            <w:hideMark/>
          </w:tcPr>
          <w:p w14:paraId="25C3E5A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-18.4</w:t>
            </w:r>
          </w:p>
        </w:tc>
        <w:tc>
          <w:tcPr>
            <w:tcW w:w="683" w:type="dxa"/>
            <w:tcBorders>
              <w:top w:val="nil"/>
              <w:left w:val="nil"/>
              <w:bottom w:val="nil"/>
              <w:right w:val="nil"/>
            </w:tcBorders>
            <w:shd w:val="clear" w:color="auto" w:fill="auto"/>
            <w:noWrap/>
            <w:vAlign w:val="bottom"/>
            <w:hideMark/>
          </w:tcPr>
          <w:p w14:paraId="674EE4A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-17.2</w:t>
            </w:r>
          </w:p>
        </w:tc>
        <w:tc>
          <w:tcPr>
            <w:tcW w:w="683" w:type="dxa"/>
            <w:tcBorders>
              <w:top w:val="nil"/>
              <w:left w:val="nil"/>
              <w:bottom w:val="nil"/>
              <w:right w:val="nil"/>
            </w:tcBorders>
            <w:shd w:val="clear" w:color="auto" w:fill="auto"/>
            <w:noWrap/>
            <w:vAlign w:val="bottom"/>
            <w:hideMark/>
          </w:tcPr>
          <w:p w14:paraId="58A6CD7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8.6</w:t>
            </w:r>
          </w:p>
        </w:tc>
        <w:tc>
          <w:tcPr>
            <w:tcW w:w="806" w:type="dxa"/>
            <w:tcBorders>
              <w:top w:val="nil"/>
              <w:left w:val="nil"/>
              <w:bottom w:val="nil"/>
              <w:right w:val="nil"/>
            </w:tcBorders>
            <w:shd w:val="clear" w:color="auto" w:fill="auto"/>
            <w:noWrap/>
            <w:vAlign w:val="bottom"/>
            <w:hideMark/>
          </w:tcPr>
          <w:p w14:paraId="1224E5D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-14.4</w:t>
            </w:r>
          </w:p>
        </w:tc>
        <w:tc>
          <w:tcPr>
            <w:tcW w:w="683" w:type="dxa"/>
            <w:tcBorders>
              <w:top w:val="nil"/>
              <w:left w:val="nil"/>
              <w:bottom w:val="nil"/>
              <w:right w:val="nil"/>
            </w:tcBorders>
            <w:shd w:val="clear" w:color="auto" w:fill="auto"/>
            <w:noWrap/>
            <w:vAlign w:val="bottom"/>
            <w:hideMark/>
          </w:tcPr>
          <w:p w14:paraId="2C91FE8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-13.3</w:t>
            </w:r>
          </w:p>
        </w:tc>
        <w:tc>
          <w:tcPr>
            <w:tcW w:w="683" w:type="dxa"/>
            <w:tcBorders>
              <w:top w:val="nil"/>
              <w:left w:val="nil"/>
              <w:bottom w:val="nil"/>
              <w:right w:val="nil"/>
            </w:tcBorders>
            <w:shd w:val="clear" w:color="auto" w:fill="auto"/>
            <w:noWrap/>
            <w:vAlign w:val="bottom"/>
            <w:hideMark/>
          </w:tcPr>
          <w:p w14:paraId="77DEA5A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w:t>
            </w:r>
          </w:p>
        </w:tc>
        <w:tc>
          <w:tcPr>
            <w:tcW w:w="756" w:type="dxa"/>
            <w:tcBorders>
              <w:top w:val="nil"/>
              <w:left w:val="nil"/>
              <w:bottom w:val="nil"/>
              <w:right w:val="nil"/>
            </w:tcBorders>
            <w:shd w:val="clear" w:color="auto" w:fill="auto"/>
            <w:noWrap/>
            <w:vAlign w:val="bottom"/>
            <w:hideMark/>
          </w:tcPr>
          <w:p w14:paraId="338620B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19.7</w:t>
            </w:r>
          </w:p>
        </w:tc>
        <w:tc>
          <w:tcPr>
            <w:tcW w:w="695" w:type="dxa"/>
            <w:tcBorders>
              <w:top w:val="nil"/>
              <w:left w:val="nil"/>
              <w:bottom w:val="nil"/>
              <w:right w:val="nil"/>
            </w:tcBorders>
            <w:shd w:val="clear" w:color="auto" w:fill="auto"/>
            <w:noWrap/>
            <w:vAlign w:val="bottom"/>
            <w:hideMark/>
          </w:tcPr>
          <w:p w14:paraId="3BA1913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25.5</w:t>
            </w:r>
          </w:p>
        </w:tc>
        <w:tc>
          <w:tcPr>
            <w:tcW w:w="695" w:type="dxa"/>
            <w:tcBorders>
              <w:top w:val="nil"/>
              <w:left w:val="nil"/>
              <w:bottom w:val="nil"/>
              <w:right w:val="nil"/>
            </w:tcBorders>
            <w:shd w:val="clear" w:color="auto" w:fill="auto"/>
            <w:noWrap/>
            <w:vAlign w:val="bottom"/>
            <w:hideMark/>
          </w:tcPr>
          <w:p w14:paraId="404C3C6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-14.3</w:t>
            </w:r>
          </w:p>
        </w:tc>
      </w:tr>
      <w:tr w:rsidR="00634ABA" w:rsidRPr="00986F85" w14:paraId="3E40867B" w14:textId="77777777" w:rsidTr="00A078CF">
        <w:trPr>
          <w:trHeight w:val="284"/>
        </w:trPr>
        <w:tc>
          <w:tcPr>
            <w:tcW w:w="434" w:type="dxa"/>
            <w:vMerge/>
            <w:tcBorders>
              <w:top w:val="nil"/>
              <w:left w:val="nil"/>
              <w:bottom w:val="nil"/>
              <w:right w:val="nil"/>
            </w:tcBorders>
            <w:vAlign w:val="center"/>
            <w:hideMark/>
          </w:tcPr>
          <w:p w14:paraId="0738E4DD" w14:textId="77777777" w:rsidR="00634ABA" w:rsidRPr="00986F85" w:rsidRDefault="00634ABA" w:rsidP="00476987">
            <w:pPr>
              <w:spacing w:after="0" w:line="240" w:lineRule="auto"/>
              <w:rPr>
                <w:rFonts w:eastAsia="Times New Roman"/>
                <w:color w:val="000000"/>
                <w:lang w:eastAsia="hu-HU"/>
              </w:rPr>
            </w:pPr>
          </w:p>
        </w:tc>
        <w:tc>
          <w:tcPr>
            <w:tcW w:w="1893" w:type="dxa"/>
            <w:tcBorders>
              <w:top w:val="nil"/>
              <w:left w:val="nil"/>
              <w:bottom w:val="nil"/>
              <w:right w:val="nil"/>
            </w:tcBorders>
            <w:shd w:val="clear" w:color="auto" w:fill="auto"/>
            <w:noWrap/>
            <w:vAlign w:val="bottom"/>
            <w:hideMark/>
          </w:tcPr>
          <w:p w14:paraId="2CB0A277"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xml:space="preserve">Egy </w:t>
            </w:r>
            <w:r w:rsidRPr="00986F85">
              <w:rPr>
                <w:rFonts w:eastAsia="Times New Roman"/>
                <w:color w:val="000000"/>
                <w:lang w:eastAsia="hu-HU"/>
              </w:rPr>
              <w:lastRenderedPageBreak/>
              <w:t>foglalkoztatottra eső árbevétel (%)</w:t>
            </w:r>
          </w:p>
        </w:tc>
        <w:tc>
          <w:tcPr>
            <w:tcW w:w="683" w:type="dxa"/>
            <w:tcBorders>
              <w:top w:val="nil"/>
              <w:left w:val="nil"/>
              <w:bottom w:val="nil"/>
              <w:right w:val="nil"/>
            </w:tcBorders>
            <w:shd w:val="clear" w:color="auto" w:fill="auto"/>
            <w:noWrap/>
            <w:vAlign w:val="bottom"/>
            <w:hideMark/>
          </w:tcPr>
          <w:p w14:paraId="0F55813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lastRenderedPageBreak/>
              <w:t>15.8</w:t>
            </w:r>
          </w:p>
        </w:tc>
        <w:tc>
          <w:tcPr>
            <w:tcW w:w="756" w:type="dxa"/>
            <w:tcBorders>
              <w:top w:val="nil"/>
              <w:left w:val="nil"/>
              <w:bottom w:val="nil"/>
              <w:right w:val="nil"/>
            </w:tcBorders>
            <w:shd w:val="clear" w:color="auto" w:fill="auto"/>
            <w:noWrap/>
            <w:vAlign w:val="bottom"/>
            <w:hideMark/>
          </w:tcPr>
          <w:p w14:paraId="5E4A76C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-13.9</w:t>
            </w:r>
          </w:p>
        </w:tc>
        <w:tc>
          <w:tcPr>
            <w:tcW w:w="683" w:type="dxa"/>
            <w:tcBorders>
              <w:top w:val="nil"/>
              <w:left w:val="nil"/>
              <w:bottom w:val="nil"/>
              <w:right w:val="nil"/>
            </w:tcBorders>
            <w:shd w:val="clear" w:color="auto" w:fill="auto"/>
            <w:noWrap/>
            <w:vAlign w:val="bottom"/>
            <w:hideMark/>
          </w:tcPr>
          <w:p w14:paraId="69BC077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15</w:t>
            </w:r>
          </w:p>
        </w:tc>
        <w:tc>
          <w:tcPr>
            <w:tcW w:w="683" w:type="dxa"/>
            <w:tcBorders>
              <w:top w:val="nil"/>
              <w:left w:val="nil"/>
              <w:bottom w:val="nil"/>
              <w:right w:val="nil"/>
            </w:tcBorders>
            <w:shd w:val="clear" w:color="auto" w:fill="auto"/>
            <w:noWrap/>
            <w:vAlign w:val="bottom"/>
            <w:hideMark/>
          </w:tcPr>
          <w:p w14:paraId="6D7813A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0.4</w:t>
            </w:r>
          </w:p>
        </w:tc>
        <w:tc>
          <w:tcPr>
            <w:tcW w:w="683" w:type="dxa"/>
            <w:tcBorders>
              <w:top w:val="nil"/>
              <w:left w:val="nil"/>
              <w:bottom w:val="nil"/>
              <w:right w:val="nil"/>
            </w:tcBorders>
            <w:shd w:val="clear" w:color="auto" w:fill="auto"/>
            <w:noWrap/>
            <w:vAlign w:val="bottom"/>
            <w:hideMark/>
          </w:tcPr>
          <w:p w14:paraId="32971EA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14.6</w:t>
            </w:r>
          </w:p>
        </w:tc>
        <w:tc>
          <w:tcPr>
            <w:tcW w:w="683" w:type="dxa"/>
            <w:tcBorders>
              <w:top w:val="nil"/>
              <w:left w:val="nil"/>
              <w:bottom w:val="nil"/>
              <w:right w:val="nil"/>
            </w:tcBorders>
            <w:shd w:val="clear" w:color="auto" w:fill="auto"/>
            <w:noWrap/>
            <w:vAlign w:val="bottom"/>
            <w:hideMark/>
          </w:tcPr>
          <w:p w14:paraId="6A7FA1A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27.8</w:t>
            </w:r>
          </w:p>
        </w:tc>
        <w:tc>
          <w:tcPr>
            <w:tcW w:w="683" w:type="dxa"/>
            <w:tcBorders>
              <w:top w:val="nil"/>
              <w:left w:val="nil"/>
              <w:bottom w:val="nil"/>
              <w:right w:val="nil"/>
            </w:tcBorders>
            <w:shd w:val="clear" w:color="auto" w:fill="auto"/>
            <w:noWrap/>
            <w:vAlign w:val="bottom"/>
            <w:hideMark/>
          </w:tcPr>
          <w:p w14:paraId="3D68FA8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-1.9</w:t>
            </w:r>
          </w:p>
        </w:tc>
        <w:tc>
          <w:tcPr>
            <w:tcW w:w="806" w:type="dxa"/>
            <w:tcBorders>
              <w:top w:val="nil"/>
              <w:left w:val="nil"/>
              <w:bottom w:val="nil"/>
              <w:right w:val="nil"/>
            </w:tcBorders>
            <w:shd w:val="clear" w:color="auto" w:fill="auto"/>
            <w:noWrap/>
            <w:vAlign w:val="bottom"/>
            <w:hideMark/>
          </w:tcPr>
          <w:p w14:paraId="7F5FE0B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7.4</w:t>
            </w:r>
          </w:p>
        </w:tc>
        <w:tc>
          <w:tcPr>
            <w:tcW w:w="683" w:type="dxa"/>
            <w:tcBorders>
              <w:top w:val="nil"/>
              <w:left w:val="nil"/>
              <w:bottom w:val="nil"/>
              <w:right w:val="nil"/>
            </w:tcBorders>
            <w:shd w:val="clear" w:color="auto" w:fill="auto"/>
            <w:noWrap/>
            <w:vAlign w:val="bottom"/>
            <w:hideMark/>
          </w:tcPr>
          <w:p w14:paraId="1C3D886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83" w:type="dxa"/>
            <w:tcBorders>
              <w:top w:val="nil"/>
              <w:left w:val="nil"/>
              <w:bottom w:val="nil"/>
              <w:right w:val="nil"/>
            </w:tcBorders>
            <w:shd w:val="clear" w:color="auto" w:fill="auto"/>
            <w:noWrap/>
            <w:vAlign w:val="bottom"/>
            <w:hideMark/>
          </w:tcPr>
          <w:p w14:paraId="7FA5C34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102.7</w:t>
            </w:r>
          </w:p>
        </w:tc>
        <w:tc>
          <w:tcPr>
            <w:tcW w:w="806" w:type="dxa"/>
            <w:tcBorders>
              <w:top w:val="nil"/>
              <w:left w:val="nil"/>
              <w:bottom w:val="nil"/>
              <w:right w:val="nil"/>
            </w:tcBorders>
            <w:shd w:val="clear" w:color="auto" w:fill="auto"/>
            <w:noWrap/>
            <w:vAlign w:val="bottom"/>
            <w:hideMark/>
          </w:tcPr>
          <w:p w14:paraId="15419D6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48.1</w:t>
            </w:r>
          </w:p>
        </w:tc>
        <w:tc>
          <w:tcPr>
            <w:tcW w:w="806" w:type="dxa"/>
            <w:tcBorders>
              <w:top w:val="nil"/>
              <w:left w:val="nil"/>
              <w:bottom w:val="nil"/>
              <w:right w:val="nil"/>
            </w:tcBorders>
            <w:shd w:val="clear" w:color="auto" w:fill="auto"/>
            <w:noWrap/>
            <w:vAlign w:val="bottom"/>
            <w:hideMark/>
          </w:tcPr>
          <w:p w14:paraId="113FBF1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-2.2</w:t>
            </w:r>
          </w:p>
        </w:tc>
        <w:tc>
          <w:tcPr>
            <w:tcW w:w="683" w:type="dxa"/>
            <w:tcBorders>
              <w:top w:val="nil"/>
              <w:left w:val="nil"/>
              <w:bottom w:val="nil"/>
              <w:right w:val="nil"/>
            </w:tcBorders>
            <w:shd w:val="clear" w:color="auto" w:fill="auto"/>
            <w:noWrap/>
            <w:vAlign w:val="bottom"/>
            <w:hideMark/>
          </w:tcPr>
          <w:p w14:paraId="5592FDA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8.3</w:t>
            </w:r>
          </w:p>
        </w:tc>
        <w:tc>
          <w:tcPr>
            <w:tcW w:w="683" w:type="dxa"/>
            <w:tcBorders>
              <w:top w:val="nil"/>
              <w:left w:val="nil"/>
              <w:bottom w:val="nil"/>
              <w:right w:val="nil"/>
            </w:tcBorders>
            <w:shd w:val="clear" w:color="auto" w:fill="auto"/>
            <w:noWrap/>
            <w:vAlign w:val="bottom"/>
            <w:hideMark/>
          </w:tcPr>
          <w:p w14:paraId="03197B7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8.8</w:t>
            </w:r>
          </w:p>
        </w:tc>
        <w:tc>
          <w:tcPr>
            <w:tcW w:w="806" w:type="dxa"/>
            <w:tcBorders>
              <w:top w:val="nil"/>
              <w:left w:val="nil"/>
              <w:bottom w:val="nil"/>
              <w:right w:val="nil"/>
            </w:tcBorders>
            <w:shd w:val="clear" w:color="auto" w:fill="auto"/>
            <w:noWrap/>
            <w:vAlign w:val="bottom"/>
            <w:hideMark/>
          </w:tcPr>
          <w:p w14:paraId="03A118A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6.5</w:t>
            </w:r>
          </w:p>
        </w:tc>
        <w:tc>
          <w:tcPr>
            <w:tcW w:w="683" w:type="dxa"/>
            <w:tcBorders>
              <w:top w:val="nil"/>
              <w:left w:val="nil"/>
              <w:bottom w:val="nil"/>
              <w:right w:val="nil"/>
            </w:tcBorders>
            <w:shd w:val="clear" w:color="auto" w:fill="auto"/>
            <w:noWrap/>
            <w:vAlign w:val="bottom"/>
            <w:hideMark/>
          </w:tcPr>
          <w:p w14:paraId="563BBBE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12.8</w:t>
            </w:r>
          </w:p>
        </w:tc>
        <w:tc>
          <w:tcPr>
            <w:tcW w:w="683" w:type="dxa"/>
            <w:tcBorders>
              <w:top w:val="nil"/>
              <w:left w:val="nil"/>
              <w:bottom w:val="nil"/>
              <w:right w:val="nil"/>
            </w:tcBorders>
            <w:shd w:val="clear" w:color="auto" w:fill="auto"/>
            <w:noWrap/>
            <w:vAlign w:val="bottom"/>
            <w:hideMark/>
          </w:tcPr>
          <w:p w14:paraId="4CA35ED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11.9</w:t>
            </w:r>
          </w:p>
        </w:tc>
        <w:tc>
          <w:tcPr>
            <w:tcW w:w="756" w:type="dxa"/>
            <w:tcBorders>
              <w:top w:val="nil"/>
              <w:left w:val="nil"/>
              <w:bottom w:val="nil"/>
              <w:right w:val="nil"/>
            </w:tcBorders>
            <w:shd w:val="clear" w:color="auto" w:fill="auto"/>
            <w:noWrap/>
            <w:vAlign w:val="bottom"/>
            <w:hideMark/>
          </w:tcPr>
          <w:p w14:paraId="327A9DA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34.1</w:t>
            </w:r>
          </w:p>
        </w:tc>
        <w:tc>
          <w:tcPr>
            <w:tcW w:w="695" w:type="dxa"/>
            <w:tcBorders>
              <w:top w:val="nil"/>
              <w:left w:val="nil"/>
              <w:bottom w:val="nil"/>
              <w:right w:val="nil"/>
            </w:tcBorders>
            <w:shd w:val="clear" w:color="auto" w:fill="auto"/>
            <w:noWrap/>
            <w:vAlign w:val="bottom"/>
            <w:hideMark/>
          </w:tcPr>
          <w:p w14:paraId="24FDC11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34.8</w:t>
            </w:r>
          </w:p>
        </w:tc>
        <w:tc>
          <w:tcPr>
            <w:tcW w:w="695" w:type="dxa"/>
            <w:tcBorders>
              <w:top w:val="nil"/>
              <w:left w:val="nil"/>
              <w:bottom w:val="nil"/>
              <w:right w:val="nil"/>
            </w:tcBorders>
            <w:shd w:val="clear" w:color="auto" w:fill="auto"/>
            <w:noWrap/>
            <w:vAlign w:val="bottom"/>
            <w:hideMark/>
          </w:tcPr>
          <w:p w14:paraId="35E5718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8.5</w:t>
            </w:r>
          </w:p>
        </w:tc>
      </w:tr>
      <w:tr w:rsidR="00634ABA" w:rsidRPr="00986F85" w14:paraId="3030344A" w14:textId="77777777" w:rsidTr="00A078CF">
        <w:trPr>
          <w:trHeight w:val="284"/>
        </w:trPr>
        <w:tc>
          <w:tcPr>
            <w:tcW w:w="434" w:type="dxa"/>
            <w:vMerge/>
            <w:tcBorders>
              <w:top w:val="nil"/>
              <w:left w:val="nil"/>
              <w:bottom w:val="nil"/>
              <w:right w:val="nil"/>
            </w:tcBorders>
            <w:vAlign w:val="center"/>
            <w:hideMark/>
          </w:tcPr>
          <w:p w14:paraId="4C73F8FF" w14:textId="77777777" w:rsidR="00634ABA" w:rsidRPr="00986F85" w:rsidRDefault="00634ABA" w:rsidP="00476987">
            <w:pPr>
              <w:spacing w:after="0" w:line="240" w:lineRule="auto"/>
              <w:rPr>
                <w:rFonts w:eastAsia="Times New Roman"/>
                <w:color w:val="000000"/>
                <w:lang w:eastAsia="hu-HU"/>
              </w:rPr>
            </w:pPr>
          </w:p>
        </w:tc>
        <w:tc>
          <w:tcPr>
            <w:tcW w:w="1893" w:type="dxa"/>
            <w:tcBorders>
              <w:top w:val="nil"/>
              <w:left w:val="nil"/>
              <w:bottom w:val="nil"/>
              <w:right w:val="nil"/>
            </w:tcBorders>
            <w:shd w:val="clear" w:color="auto" w:fill="auto"/>
            <w:noWrap/>
            <w:vAlign w:val="bottom"/>
            <w:hideMark/>
          </w:tcPr>
          <w:p w14:paraId="18242016"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Tárgyi eszköz (%)</w:t>
            </w:r>
          </w:p>
        </w:tc>
        <w:tc>
          <w:tcPr>
            <w:tcW w:w="683" w:type="dxa"/>
            <w:tcBorders>
              <w:top w:val="nil"/>
              <w:left w:val="nil"/>
              <w:bottom w:val="nil"/>
              <w:right w:val="nil"/>
            </w:tcBorders>
            <w:shd w:val="clear" w:color="auto" w:fill="auto"/>
            <w:noWrap/>
            <w:vAlign w:val="bottom"/>
            <w:hideMark/>
          </w:tcPr>
          <w:p w14:paraId="3CEFB07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-17.3</w:t>
            </w:r>
          </w:p>
        </w:tc>
        <w:tc>
          <w:tcPr>
            <w:tcW w:w="756" w:type="dxa"/>
            <w:tcBorders>
              <w:top w:val="nil"/>
              <w:left w:val="nil"/>
              <w:bottom w:val="nil"/>
              <w:right w:val="nil"/>
            </w:tcBorders>
            <w:shd w:val="clear" w:color="auto" w:fill="auto"/>
            <w:noWrap/>
            <w:vAlign w:val="bottom"/>
            <w:hideMark/>
          </w:tcPr>
          <w:p w14:paraId="525212E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-19.5</w:t>
            </w:r>
          </w:p>
        </w:tc>
        <w:tc>
          <w:tcPr>
            <w:tcW w:w="683" w:type="dxa"/>
            <w:tcBorders>
              <w:top w:val="nil"/>
              <w:left w:val="nil"/>
              <w:bottom w:val="nil"/>
              <w:right w:val="nil"/>
            </w:tcBorders>
            <w:shd w:val="clear" w:color="auto" w:fill="auto"/>
            <w:noWrap/>
            <w:vAlign w:val="bottom"/>
            <w:hideMark/>
          </w:tcPr>
          <w:p w14:paraId="31AC3F4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-15</w:t>
            </w:r>
          </w:p>
        </w:tc>
        <w:tc>
          <w:tcPr>
            <w:tcW w:w="683" w:type="dxa"/>
            <w:tcBorders>
              <w:top w:val="nil"/>
              <w:left w:val="nil"/>
              <w:bottom w:val="nil"/>
              <w:right w:val="nil"/>
            </w:tcBorders>
            <w:shd w:val="clear" w:color="auto" w:fill="auto"/>
            <w:noWrap/>
            <w:vAlign w:val="bottom"/>
            <w:hideMark/>
          </w:tcPr>
          <w:p w14:paraId="380436F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-23.9</w:t>
            </w:r>
          </w:p>
        </w:tc>
        <w:tc>
          <w:tcPr>
            <w:tcW w:w="683" w:type="dxa"/>
            <w:tcBorders>
              <w:top w:val="nil"/>
              <w:left w:val="nil"/>
              <w:bottom w:val="nil"/>
              <w:right w:val="nil"/>
            </w:tcBorders>
            <w:shd w:val="clear" w:color="auto" w:fill="auto"/>
            <w:noWrap/>
            <w:vAlign w:val="bottom"/>
            <w:hideMark/>
          </w:tcPr>
          <w:p w14:paraId="14BDC06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-14.3</w:t>
            </w:r>
          </w:p>
        </w:tc>
        <w:tc>
          <w:tcPr>
            <w:tcW w:w="683" w:type="dxa"/>
            <w:tcBorders>
              <w:top w:val="nil"/>
              <w:left w:val="nil"/>
              <w:bottom w:val="nil"/>
              <w:right w:val="nil"/>
            </w:tcBorders>
            <w:shd w:val="clear" w:color="auto" w:fill="auto"/>
            <w:noWrap/>
            <w:vAlign w:val="bottom"/>
            <w:hideMark/>
          </w:tcPr>
          <w:p w14:paraId="4E8C0AD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-11.4</w:t>
            </w:r>
          </w:p>
        </w:tc>
        <w:tc>
          <w:tcPr>
            <w:tcW w:w="683" w:type="dxa"/>
            <w:tcBorders>
              <w:top w:val="nil"/>
              <w:left w:val="nil"/>
              <w:bottom w:val="nil"/>
              <w:right w:val="nil"/>
            </w:tcBorders>
            <w:shd w:val="clear" w:color="auto" w:fill="auto"/>
            <w:noWrap/>
            <w:vAlign w:val="bottom"/>
            <w:hideMark/>
          </w:tcPr>
          <w:p w14:paraId="6D897E0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-28.3</w:t>
            </w:r>
          </w:p>
        </w:tc>
        <w:tc>
          <w:tcPr>
            <w:tcW w:w="806" w:type="dxa"/>
            <w:tcBorders>
              <w:top w:val="nil"/>
              <w:left w:val="nil"/>
              <w:bottom w:val="nil"/>
              <w:right w:val="nil"/>
            </w:tcBorders>
            <w:shd w:val="clear" w:color="auto" w:fill="auto"/>
            <w:noWrap/>
            <w:vAlign w:val="bottom"/>
            <w:hideMark/>
          </w:tcPr>
          <w:p w14:paraId="4EB49FC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-11.5</w:t>
            </w:r>
          </w:p>
        </w:tc>
        <w:tc>
          <w:tcPr>
            <w:tcW w:w="683" w:type="dxa"/>
            <w:tcBorders>
              <w:top w:val="nil"/>
              <w:left w:val="nil"/>
              <w:bottom w:val="nil"/>
              <w:right w:val="nil"/>
            </w:tcBorders>
            <w:shd w:val="clear" w:color="auto" w:fill="auto"/>
            <w:noWrap/>
            <w:vAlign w:val="bottom"/>
            <w:hideMark/>
          </w:tcPr>
          <w:p w14:paraId="0263131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-12.5</w:t>
            </w:r>
          </w:p>
        </w:tc>
        <w:tc>
          <w:tcPr>
            <w:tcW w:w="683" w:type="dxa"/>
            <w:tcBorders>
              <w:top w:val="nil"/>
              <w:left w:val="nil"/>
              <w:bottom w:val="nil"/>
              <w:right w:val="nil"/>
            </w:tcBorders>
            <w:shd w:val="clear" w:color="auto" w:fill="auto"/>
            <w:noWrap/>
            <w:vAlign w:val="bottom"/>
            <w:hideMark/>
          </w:tcPr>
          <w:p w14:paraId="2DDFA20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-19.9</w:t>
            </w:r>
          </w:p>
        </w:tc>
        <w:tc>
          <w:tcPr>
            <w:tcW w:w="806" w:type="dxa"/>
            <w:tcBorders>
              <w:top w:val="nil"/>
              <w:left w:val="nil"/>
              <w:bottom w:val="nil"/>
              <w:right w:val="nil"/>
            </w:tcBorders>
            <w:shd w:val="clear" w:color="auto" w:fill="auto"/>
            <w:noWrap/>
            <w:vAlign w:val="bottom"/>
            <w:hideMark/>
          </w:tcPr>
          <w:p w14:paraId="7758F15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18.7</w:t>
            </w:r>
          </w:p>
        </w:tc>
        <w:tc>
          <w:tcPr>
            <w:tcW w:w="806" w:type="dxa"/>
            <w:tcBorders>
              <w:top w:val="nil"/>
              <w:left w:val="nil"/>
              <w:bottom w:val="nil"/>
              <w:right w:val="nil"/>
            </w:tcBorders>
            <w:shd w:val="clear" w:color="auto" w:fill="auto"/>
            <w:noWrap/>
            <w:vAlign w:val="bottom"/>
            <w:hideMark/>
          </w:tcPr>
          <w:p w14:paraId="2A2F89E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-16</w:t>
            </w:r>
          </w:p>
        </w:tc>
        <w:tc>
          <w:tcPr>
            <w:tcW w:w="683" w:type="dxa"/>
            <w:tcBorders>
              <w:top w:val="nil"/>
              <w:left w:val="nil"/>
              <w:bottom w:val="nil"/>
              <w:right w:val="nil"/>
            </w:tcBorders>
            <w:shd w:val="clear" w:color="auto" w:fill="auto"/>
            <w:noWrap/>
            <w:vAlign w:val="bottom"/>
            <w:hideMark/>
          </w:tcPr>
          <w:p w14:paraId="7CCAEB3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-15.2</w:t>
            </w:r>
          </w:p>
        </w:tc>
        <w:tc>
          <w:tcPr>
            <w:tcW w:w="683" w:type="dxa"/>
            <w:tcBorders>
              <w:top w:val="nil"/>
              <w:left w:val="nil"/>
              <w:bottom w:val="nil"/>
              <w:right w:val="nil"/>
            </w:tcBorders>
            <w:shd w:val="clear" w:color="auto" w:fill="auto"/>
            <w:noWrap/>
            <w:vAlign w:val="bottom"/>
            <w:hideMark/>
          </w:tcPr>
          <w:p w14:paraId="0FAD831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-6.9</w:t>
            </w:r>
          </w:p>
        </w:tc>
        <w:tc>
          <w:tcPr>
            <w:tcW w:w="806" w:type="dxa"/>
            <w:tcBorders>
              <w:top w:val="nil"/>
              <w:left w:val="nil"/>
              <w:bottom w:val="nil"/>
              <w:right w:val="nil"/>
            </w:tcBorders>
            <w:shd w:val="clear" w:color="auto" w:fill="auto"/>
            <w:noWrap/>
            <w:vAlign w:val="bottom"/>
            <w:hideMark/>
          </w:tcPr>
          <w:p w14:paraId="0E8A6CD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-17.5</w:t>
            </w:r>
          </w:p>
        </w:tc>
        <w:tc>
          <w:tcPr>
            <w:tcW w:w="683" w:type="dxa"/>
            <w:tcBorders>
              <w:top w:val="nil"/>
              <w:left w:val="nil"/>
              <w:bottom w:val="nil"/>
              <w:right w:val="nil"/>
            </w:tcBorders>
            <w:shd w:val="clear" w:color="auto" w:fill="auto"/>
            <w:noWrap/>
            <w:vAlign w:val="bottom"/>
            <w:hideMark/>
          </w:tcPr>
          <w:p w14:paraId="6F7D132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-14</w:t>
            </w:r>
          </w:p>
        </w:tc>
        <w:tc>
          <w:tcPr>
            <w:tcW w:w="683" w:type="dxa"/>
            <w:tcBorders>
              <w:top w:val="nil"/>
              <w:left w:val="nil"/>
              <w:bottom w:val="nil"/>
              <w:right w:val="nil"/>
            </w:tcBorders>
            <w:shd w:val="clear" w:color="auto" w:fill="auto"/>
            <w:noWrap/>
            <w:vAlign w:val="bottom"/>
            <w:hideMark/>
          </w:tcPr>
          <w:p w14:paraId="2C554DE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-10.6</w:t>
            </w:r>
          </w:p>
        </w:tc>
        <w:tc>
          <w:tcPr>
            <w:tcW w:w="756" w:type="dxa"/>
            <w:tcBorders>
              <w:top w:val="nil"/>
              <w:left w:val="nil"/>
              <w:bottom w:val="nil"/>
              <w:right w:val="nil"/>
            </w:tcBorders>
            <w:shd w:val="clear" w:color="auto" w:fill="auto"/>
            <w:noWrap/>
            <w:vAlign w:val="bottom"/>
            <w:hideMark/>
          </w:tcPr>
          <w:p w14:paraId="5F99BB4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-18.3</w:t>
            </w:r>
          </w:p>
        </w:tc>
        <w:tc>
          <w:tcPr>
            <w:tcW w:w="695" w:type="dxa"/>
            <w:tcBorders>
              <w:top w:val="nil"/>
              <w:left w:val="nil"/>
              <w:bottom w:val="nil"/>
              <w:right w:val="nil"/>
            </w:tcBorders>
            <w:shd w:val="clear" w:color="auto" w:fill="auto"/>
            <w:noWrap/>
            <w:vAlign w:val="bottom"/>
            <w:hideMark/>
          </w:tcPr>
          <w:p w14:paraId="27B28D6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11.6</w:t>
            </w:r>
          </w:p>
        </w:tc>
        <w:tc>
          <w:tcPr>
            <w:tcW w:w="695" w:type="dxa"/>
            <w:tcBorders>
              <w:top w:val="nil"/>
              <w:left w:val="nil"/>
              <w:bottom w:val="nil"/>
              <w:right w:val="nil"/>
            </w:tcBorders>
            <w:shd w:val="clear" w:color="auto" w:fill="auto"/>
            <w:noWrap/>
            <w:vAlign w:val="bottom"/>
            <w:hideMark/>
          </w:tcPr>
          <w:p w14:paraId="07E67C0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-13.4</w:t>
            </w:r>
          </w:p>
        </w:tc>
      </w:tr>
      <w:tr w:rsidR="00634ABA" w:rsidRPr="00986F85" w14:paraId="3439A2F2" w14:textId="77777777" w:rsidTr="00A078CF">
        <w:trPr>
          <w:trHeight w:val="284"/>
        </w:trPr>
        <w:tc>
          <w:tcPr>
            <w:tcW w:w="434" w:type="dxa"/>
            <w:vMerge/>
            <w:tcBorders>
              <w:top w:val="nil"/>
              <w:left w:val="nil"/>
              <w:bottom w:val="nil"/>
              <w:right w:val="nil"/>
            </w:tcBorders>
            <w:vAlign w:val="center"/>
            <w:hideMark/>
          </w:tcPr>
          <w:p w14:paraId="4452D360" w14:textId="77777777" w:rsidR="00634ABA" w:rsidRPr="00986F85" w:rsidRDefault="00634ABA" w:rsidP="00476987">
            <w:pPr>
              <w:spacing w:after="0" w:line="240" w:lineRule="auto"/>
              <w:rPr>
                <w:rFonts w:eastAsia="Times New Roman"/>
                <w:color w:val="000000"/>
                <w:lang w:eastAsia="hu-HU"/>
              </w:rPr>
            </w:pPr>
          </w:p>
        </w:tc>
        <w:tc>
          <w:tcPr>
            <w:tcW w:w="1893" w:type="dxa"/>
            <w:tcBorders>
              <w:top w:val="nil"/>
              <w:left w:val="nil"/>
              <w:bottom w:val="nil"/>
              <w:right w:val="nil"/>
            </w:tcBorders>
            <w:shd w:val="clear" w:color="auto" w:fill="auto"/>
            <w:noWrap/>
            <w:vAlign w:val="bottom"/>
            <w:hideMark/>
          </w:tcPr>
          <w:p w14:paraId="3883D135"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Tőkeintenzitás (%)</w:t>
            </w:r>
          </w:p>
        </w:tc>
        <w:tc>
          <w:tcPr>
            <w:tcW w:w="683" w:type="dxa"/>
            <w:tcBorders>
              <w:top w:val="nil"/>
              <w:left w:val="nil"/>
              <w:bottom w:val="nil"/>
              <w:right w:val="nil"/>
            </w:tcBorders>
            <w:shd w:val="clear" w:color="auto" w:fill="auto"/>
            <w:noWrap/>
            <w:vAlign w:val="bottom"/>
            <w:hideMark/>
          </w:tcPr>
          <w:p w14:paraId="33FDB51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11.5</w:t>
            </w:r>
          </w:p>
        </w:tc>
        <w:tc>
          <w:tcPr>
            <w:tcW w:w="756" w:type="dxa"/>
            <w:tcBorders>
              <w:top w:val="nil"/>
              <w:left w:val="nil"/>
              <w:bottom w:val="nil"/>
              <w:right w:val="nil"/>
            </w:tcBorders>
            <w:shd w:val="clear" w:color="auto" w:fill="auto"/>
            <w:noWrap/>
            <w:vAlign w:val="bottom"/>
            <w:hideMark/>
          </w:tcPr>
          <w:p w14:paraId="2719479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19.6</w:t>
            </w:r>
          </w:p>
        </w:tc>
        <w:tc>
          <w:tcPr>
            <w:tcW w:w="683" w:type="dxa"/>
            <w:tcBorders>
              <w:top w:val="nil"/>
              <w:left w:val="nil"/>
              <w:bottom w:val="nil"/>
              <w:right w:val="nil"/>
            </w:tcBorders>
            <w:shd w:val="clear" w:color="auto" w:fill="auto"/>
            <w:noWrap/>
            <w:vAlign w:val="bottom"/>
            <w:hideMark/>
          </w:tcPr>
          <w:p w14:paraId="0FDB441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w:t>
            </w:r>
          </w:p>
        </w:tc>
        <w:tc>
          <w:tcPr>
            <w:tcW w:w="683" w:type="dxa"/>
            <w:tcBorders>
              <w:top w:val="nil"/>
              <w:left w:val="nil"/>
              <w:bottom w:val="nil"/>
              <w:right w:val="nil"/>
            </w:tcBorders>
            <w:shd w:val="clear" w:color="auto" w:fill="auto"/>
            <w:noWrap/>
            <w:vAlign w:val="bottom"/>
            <w:hideMark/>
          </w:tcPr>
          <w:p w14:paraId="69D00BF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9.5</w:t>
            </w:r>
          </w:p>
        </w:tc>
        <w:tc>
          <w:tcPr>
            <w:tcW w:w="683" w:type="dxa"/>
            <w:tcBorders>
              <w:top w:val="nil"/>
              <w:left w:val="nil"/>
              <w:bottom w:val="nil"/>
              <w:right w:val="nil"/>
            </w:tcBorders>
            <w:shd w:val="clear" w:color="auto" w:fill="auto"/>
            <w:noWrap/>
            <w:vAlign w:val="bottom"/>
            <w:hideMark/>
          </w:tcPr>
          <w:p w14:paraId="6D679B8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13.4</w:t>
            </w:r>
          </w:p>
        </w:tc>
        <w:tc>
          <w:tcPr>
            <w:tcW w:w="683" w:type="dxa"/>
            <w:tcBorders>
              <w:top w:val="nil"/>
              <w:left w:val="nil"/>
              <w:bottom w:val="nil"/>
              <w:right w:val="nil"/>
            </w:tcBorders>
            <w:shd w:val="clear" w:color="auto" w:fill="auto"/>
            <w:noWrap/>
            <w:vAlign w:val="bottom"/>
            <w:hideMark/>
          </w:tcPr>
          <w:p w14:paraId="3AC68EF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7.4</w:t>
            </w:r>
          </w:p>
        </w:tc>
        <w:tc>
          <w:tcPr>
            <w:tcW w:w="683" w:type="dxa"/>
            <w:tcBorders>
              <w:top w:val="nil"/>
              <w:left w:val="nil"/>
              <w:bottom w:val="nil"/>
              <w:right w:val="nil"/>
            </w:tcBorders>
            <w:shd w:val="clear" w:color="auto" w:fill="auto"/>
            <w:noWrap/>
            <w:vAlign w:val="bottom"/>
            <w:hideMark/>
          </w:tcPr>
          <w:p w14:paraId="6E677C8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-13.8</w:t>
            </w:r>
          </w:p>
        </w:tc>
        <w:tc>
          <w:tcPr>
            <w:tcW w:w="806" w:type="dxa"/>
            <w:tcBorders>
              <w:top w:val="nil"/>
              <w:left w:val="nil"/>
              <w:bottom w:val="nil"/>
              <w:right w:val="nil"/>
            </w:tcBorders>
            <w:shd w:val="clear" w:color="auto" w:fill="auto"/>
            <w:noWrap/>
            <w:vAlign w:val="bottom"/>
            <w:hideMark/>
          </w:tcPr>
          <w:p w14:paraId="13226A3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34.2</w:t>
            </w:r>
          </w:p>
        </w:tc>
        <w:tc>
          <w:tcPr>
            <w:tcW w:w="683" w:type="dxa"/>
            <w:tcBorders>
              <w:top w:val="nil"/>
              <w:left w:val="nil"/>
              <w:bottom w:val="nil"/>
              <w:right w:val="nil"/>
            </w:tcBorders>
            <w:shd w:val="clear" w:color="auto" w:fill="auto"/>
            <w:noWrap/>
            <w:vAlign w:val="bottom"/>
            <w:hideMark/>
          </w:tcPr>
          <w:p w14:paraId="2A50B78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7.8</w:t>
            </w:r>
          </w:p>
        </w:tc>
        <w:tc>
          <w:tcPr>
            <w:tcW w:w="683" w:type="dxa"/>
            <w:tcBorders>
              <w:top w:val="nil"/>
              <w:left w:val="nil"/>
              <w:bottom w:val="nil"/>
              <w:right w:val="nil"/>
            </w:tcBorders>
            <w:shd w:val="clear" w:color="auto" w:fill="auto"/>
            <w:noWrap/>
            <w:vAlign w:val="bottom"/>
            <w:hideMark/>
          </w:tcPr>
          <w:p w14:paraId="759DE58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43</w:t>
            </w:r>
          </w:p>
        </w:tc>
        <w:tc>
          <w:tcPr>
            <w:tcW w:w="806" w:type="dxa"/>
            <w:tcBorders>
              <w:top w:val="nil"/>
              <w:left w:val="nil"/>
              <w:bottom w:val="nil"/>
              <w:right w:val="nil"/>
            </w:tcBorders>
            <w:shd w:val="clear" w:color="auto" w:fill="auto"/>
            <w:noWrap/>
            <w:vAlign w:val="bottom"/>
            <w:hideMark/>
          </w:tcPr>
          <w:p w14:paraId="457B2EF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52.2</w:t>
            </w:r>
          </w:p>
        </w:tc>
        <w:tc>
          <w:tcPr>
            <w:tcW w:w="806" w:type="dxa"/>
            <w:tcBorders>
              <w:top w:val="nil"/>
              <w:left w:val="nil"/>
              <w:bottom w:val="nil"/>
              <w:right w:val="nil"/>
            </w:tcBorders>
            <w:shd w:val="clear" w:color="auto" w:fill="auto"/>
            <w:noWrap/>
            <w:vAlign w:val="bottom"/>
            <w:hideMark/>
          </w:tcPr>
          <w:p w14:paraId="21C5286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-1.1</w:t>
            </w:r>
          </w:p>
        </w:tc>
        <w:tc>
          <w:tcPr>
            <w:tcW w:w="683" w:type="dxa"/>
            <w:tcBorders>
              <w:top w:val="nil"/>
              <w:left w:val="nil"/>
              <w:bottom w:val="nil"/>
              <w:right w:val="nil"/>
            </w:tcBorders>
            <w:shd w:val="clear" w:color="auto" w:fill="auto"/>
            <w:noWrap/>
            <w:vAlign w:val="bottom"/>
            <w:hideMark/>
          </w:tcPr>
          <w:p w14:paraId="23AC92A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15.9</w:t>
            </w:r>
          </w:p>
        </w:tc>
        <w:tc>
          <w:tcPr>
            <w:tcW w:w="683" w:type="dxa"/>
            <w:tcBorders>
              <w:top w:val="nil"/>
              <w:left w:val="nil"/>
              <w:bottom w:val="nil"/>
              <w:right w:val="nil"/>
            </w:tcBorders>
            <w:shd w:val="clear" w:color="auto" w:fill="auto"/>
            <w:noWrap/>
            <w:vAlign w:val="bottom"/>
            <w:hideMark/>
          </w:tcPr>
          <w:p w14:paraId="2E82B4D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1.3</w:t>
            </w:r>
          </w:p>
        </w:tc>
        <w:tc>
          <w:tcPr>
            <w:tcW w:w="806" w:type="dxa"/>
            <w:tcBorders>
              <w:top w:val="nil"/>
              <w:left w:val="nil"/>
              <w:bottom w:val="nil"/>
              <w:right w:val="nil"/>
            </w:tcBorders>
            <w:shd w:val="clear" w:color="auto" w:fill="auto"/>
            <w:noWrap/>
            <w:vAlign w:val="bottom"/>
            <w:hideMark/>
          </w:tcPr>
          <w:p w14:paraId="67612B7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2.6</w:t>
            </w:r>
          </w:p>
        </w:tc>
        <w:tc>
          <w:tcPr>
            <w:tcW w:w="683" w:type="dxa"/>
            <w:tcBorders>
              <w:top w:val="nil"/>
              <w:left w:val="nil"/>
              <w:bottom w:val="nil"/>
              <w:right w:val="nil"/>
            </w:tcBorders>
            <w:shd w:val="clear" w:color="auto" w:fill="auto"/>
            <w:noWrap/>
            <w:vAlign w:val="bottom"/>
            <w:hideMark/>
          </w:tcPr>
          <w:p w14:paraId="15CE7D3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5.4</w:t>
            </w:r>
          </w:p>
        </w:tc>
        <w:tc>
          <w:tcPr>
            <w:tcW w:w="683" w:type="dxa"/>
            <w:tcBorders>
              <w:top w:val="nil"/>
              <w:left w:val="nil"/>
              <w:bottom w:val="nil"/>
              <w:right w:val="nil"/>
            </w:tcBorders>
            <w:shd w:val="clear" w:color="auto" w:fill="auto"/>
            <w:noWrap/>
            <w:vAlign w:val="bottom"/>
            <w:hideMark/>
          </w:tcPr>
          <w:p w14:paraId="2DA70EF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w:t>
            </w:r>
          </w:p>
        </w:tc>
        <w:tc>
          <w:tcPr>
            <w:tcW w:w="756" w:type="dxa"/>
            <w:tcBorders>
              <w:top w:val="nil"/>
              <w:left w:val="nil"/>
              <w:bottom w:val="nil"/>
              <w:right w:val="nil"/>
            </w:tcBorders>
            <w:shd w:val="clear" w:color="auto" w:fill="auto"/>
            <w:noWrap/>
            <w:vAlign w:val="bottom"/>
            <w:hideMark/>
          </w:tcPr>
          <w:p w14:paraId="7CF5B4A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-1.4</w:t>
            </w:r>
          </w:p>
        </w:tc>
        <w:tc>
          <w:tcPr>
            <w:tcW w:w="695" w:type="dxa"/>
            <w:tcBorders>
              <w:top w:val="nil"/>
              <w:left w:val="nil"/>
              <w:bottom w:val="nil"/>
              <w:right w:val="nil"/>
            </w:tcBorders>
            <w:shd w:val="clear" w:color="auto" w:fill="auto"/>
            <w:noWrap/>
            <w:vAlign w:val="bottom"/>
            <w:hideMark/>
          </w:tcPr>
          <w:p w14:paraId="791F665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23.7</w:t>
            </w:r>
          </w:p>
        </w:tc>
        <w:tc>
          <w:tcPr>
            <w:tcW w:w="695" w:type="dxa"/>
            <w:tcBorders>
              <w:top w:val="nil"/>
              <w:left w:val="nil"/>
              <w:bottom w:val="nil"/>
              <w:right w:val="nil"/>
            </w:tcBorders>
            <w:shd w:val="clear" w:color="auto" w:fill="auto"/>
            <w:noWrap/>
            <w:vAlign w:val="bottom"/>
            <w:hideMark/>
          </w:tcPr>
          <w:p w14:paraId="44A6208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11</w:t>
            </w:r>
          </w:p>
        </w:tc>
      </w:tr>
      <w:tr w:rsidR="00634ABA" w:rsidRPr="00986F85" w14:paraId="7C77846B" w14:textId="77777777" w:rsidTr="00A078CF">
        <w:trPr>
          <w:trHeight w:val="284"/>
        </w:trPr>
        <w:tc>
          <w:tcPr>
            <w:tcW w:w="434" w:type="dxa"/>
            <w:vMerge/>
            <w:tcBorders>
              <w:top w:val="nil"/>
              <w:left w:val="nil"/>
              <w:bottom w:val="nil"/>
              <w:right w:val="nil"/>
            </w:tcBorders>
            <w:vAlign w:val="center"/>
            <w:hideMark/>
          </w:tcPr>
          <w:p w14:paraId="222CEC97" w14:textId="77777777" w:rsidR="00634ABA" w:rsidRPr="00986F85" w:rsidRDefault="00634ABA" w:rsidP="00476987">
            <w:pPr>
              <w:spacing w:after="0" w:line="240" w:lineRule="auto"/>
              <w:rPr>
                <w:rFonts w:eastAsia="Times New Roman"/>
                <w:color w:val="000000"/>
                <w:lang w:eastAsia="hu-HU"/>
              </w:rPr>
            </w:pPr>
          </w:p>
        </w:tc>
        <w:tc>
          <w:tcPr>
            <w:tcW w:w="1893" w:type="dxa"/>
            <w:tcBorders>
              <w:top w:val="nil"/>
              <w:left w:val="nil"/>
              <w:bottom w:val="nil"/>
              <w:right w:val="nil"/>
            </w:tcBorders>
            <w:shd w:val="clear" w:color="auto" w:fill="auto"/>
            <w:noWrap/>
            <w:vAlign w:val="bottom"/>
            <w:hideMark/>
          </w:tcPr>
          <w:p w14:paraId="307D2C0E"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Jegyzett tőke</w:t>
            </w:r>
          </w:p>
        </w:tc>
        <w:tc>
          <w:tcPr>
            <w:tcW w:w="683" w:type="dxa"/>
            <w:tcBorders>
              <w:top w:val="nil"/>
              <w:left w:val="nil"/>
              <w:bottom w:val="nil"/>
              <w:right w:val="nil"/>
            </w:tcBorders>
            <w:shd w:val="clear" w:color="auto" w:fill="auto"/>
            <w:noWrap/>
            <w:vAlign w:val="bottom"/>
            <w:hideMark/>
          </w:tcPr>
          <w:p w14:paraId="4D0FEEB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756" w:type="dxa"/>
            <w:tcBorders>
              <w:top w:val="nil"/>
              <w:left w:val="nil"/>
              <w:bottom w:val="nil"/>
              <w:right w:val="nil"/>
            </w:tcBorders>
            <w:shd w:val="clear" w:color="auto" w:fill="auto"/>
            <w:noWrap/>
            <w:vAlign w:val="bottom"/>
            <w:hideMark/>
          </w:tcPr>
          <w:p w14:paraId="77452C2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83" w:type="dxa"/>
            <w:tcBorders>
              <w:top w:val="nil"/>
              <w:left w:val="nil"/>
              <w:bottom w:val="nil"/>
              <w:right w:val="nil"/>
            </w:tcBorders>
            <w:shd w:val="clear" w:color="auto" w:fill="auto"/>
            <w:noWrap/>
            <w:vAlign w:val="bottom"/>
            <w:hideMark/>
          </w:tcPr>
          <w:p w14:paraId="33BBE04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83" w:type="dxa"/>
            <w:tcBorders>
              <w:top w:val="nil"/>
              <w:left w:val="nil"/>
              <w:bottom w:val="nil"/>
              <w:right w:val="nil"/>
            </w:tcBorders>
            <w:shd w:val="clear" w:color="auto" w:fill="auto"/>
            <w:noWrap/>
            <w:vAlign w:val="bottom"/>
            <w:hideMark/>
          </w:tcPr>
          <w:p w14:paraId="49981DC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83" w:type="dxa"/>
            <w:tcBorders>
              <w:top w:val="nil"/>
              <w:left w:val="nil"/>
              <w:bottom w:val="nil"/>
              <w:right w:val="nil"/>
            </w:tcBorders>
            <w:shd w:val="clear" w:color="auto" w:fill="auto"/>
            <w:noWrap/>
            <w:vAlign w:val="bottom"/>
            <w:hideMark/>
          </w:tcPr>
          <w:p w14:paraId="6BBAF2D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83" w:type="dxa"/>
            <w:tcBorders>
              <w:top w:val="nil"/>
              <w:left w:val="nil"/>
              <w:bottom w:val="nil"/>
              <w:right w:val="nil"/>
            </w:tcBorders>
            <w:shd w:val="clear" w:color="auto" w:fill="auto"/>
            <w:noWrap/>
            <w:vAlign w:val="bottom"/>
            <w:hideMark/>
          </w:tcPr>
          <w:p w14:paraId="7E023D7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83" w:type="dxa"/>
            <w:tcBorders>
              <w:top w:val="nil"/>
              <w:left w:val="nil"/>
              <w:bottom w:val="nil"/>
              <w:right w:val="nil"/>
            </w:tcBorders>
            <w:shd w:val="clear" w:color="auto" w:fill="auto"/>
            <w:noWrap/>
            <w:vAlign w:val="bottom"/>
            <w:hideMark/>
          </w:tcPr>
          <w:p w14:paraId="36FD4D6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06" w:type="dxa"/>
            <w:tcBorders>
              <w:top w:val="nil"/>
              <w:left w:val="nil"/>
              <w:bottom w:val="nil"/>
              <w:right w:val="nil"/>
            </w:tcBorders>
            <w:shd w:val="clear" w:color="auto" w:fill="auto"/>
            <w:noWrap/>
            <w:vAlign w:val="bottom"/>
            <w:hideMark/>
          </w:tcPr>
          <w:p w14:paraId="2E8F71C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83" w:type="dxa"/>
            <w:tcBorders>
              <w:top w:val="nil"/>
              <w:left w:val="nil"/>
              <w:bottom w:val="nil"/>
              <w:right w:val="nil"/>
            </w:tcBorders>
            <w:shd w:val="clear" w:color="auto" w:fill="auto"/>
            <w:noWrap/>
            <w:vAlign w:val="bottom"/>
            <w:hideMark/>
          </w:tcPr>
          <w:p w14:paraId="500C1DA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83" w:type="dxa"/>
            <w:tcBorders>
              <w:top w:val="nil"/>
              <w:left w:val="nil"/>
              <w:bottom w:val="nil"/>
              <w:right w:val="nil"/>
            </w:tcBorders>
            <w:shd w:val="clear" w:color="auto" w:fill="auto"/>
            <w:noWrap/>
            <w:vAlign w:val="bottom"/>
            <w:hideMark/>
          </w:tcPr>
          <w:p w14:paraId="7BDA8B5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06" w:type="dxa"/>
            <w:tcBorders>
              <w:top w:val="nil"/>
              <w:left w:val="nil"/>
              <w:bottom w:val="nil"/>
              <w:right w:val="nil"/>
            </w:tcBorders>
            <w:shd w:val="clear" w:color="auto" w:fill="auto"/>
            <w:noWrap/>
            <w:vAlign w:val="bottom"/>
            <w:hideMark/>
          </w:tcPr>
          <w:p w14:paraId="0A21B77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06" w:type="dxa"/>
            <w:tcBorders>
              <w:top w:val="nil"/>
              <w:left w:val="nil"/>
              <w:bottom w:val="nil"/>
              <w:right w:val="nil"/>
            </w:tcBorders>
            <w:shd w:val="clear" w:color="auto" w:fill="auto"/>
            <w:noWrap/>
            <w:vAlign w:val="bottom"/>
            <w:hideMark/>
          </w:tcPr>
          <w:p w14:paraId="4A8754A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83" w:type="dxa"/>
            <w:tcBorders>
              <w:top w:val="nil"/>
              <w:left w:val="nil"/>
              <w:bottom w:val="nil"/>
              <w:right w:val="nil"/>
            </w:tcBorders>
            <w:shd w:val="clear" w:color="auto" w:fill="auto"/>
            <w:noWrap/>
            <w:vAlign w:val="bottom"/>
            <w:hideMark/>
          </w:tcPr>
          <w:p w14:paraId="44C8368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83" w:type="dxa"/>
            <w:tcBorders>
              <w:top w:val="nil"/>
              <w:left w:val="nil"/>
              <w:bottom w:val="nil"/>
              <w:right w:val="nil"/>
            </w:tcBorders>
            <w:shd w:val="clear" w:color="auto" w:fill="auto"/>
            <w:noWrap/>
            <w:vAlign w:val="bottom"/>
            <w:hideMark/>
          </w:tcPr>
          <w:p w14:paraId="4FE0D66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06" w:type="dxa"/>
            <w:tcBorders>
              <w:top w:val="nil"/>
              <w:left w:val="nil"/>
              <w:bottom w:val="nil"/>
              <w:right w:val="nil"/>
            </w:tcBorders>
            <w:shd w:val="clear" w:color="auto" w:fill="auto"/>
            <w:noWrap/>
            <w:vAlign w:val="bottom"/>
            <w:hideMark/>
          </w:tcPr>
          <w:p w14:paraId="7F8DDC7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83" w:type="dxa"/>
            <w:tcBorders>
              <w:top w:val="nil"/>
              <w:left w:val="nil"/>
              <w:bottom w:val="nil"/>
              <w:right w:val="nil"/>
            </w:tcBorders>
            <w:shd w:val="clear" w:color="auto" w:fill="auto"/>
            <w:noWrap/>
            <w:vAlign w:val="bottom"/>
            <w:hideMark/>
          </w:tcPr>
          <w:p w14:paraId="004FEA7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83" w:type="dxa"/>
            <w:tcBorders>
              <w:top w:val="nil"/>
              <w:left w:val="nil"/>
              <w:bottom w:val="nil"/>
              <w:right w:val="nil"/>
            </w:tcBorders>
            <w:shd w:val="clear" w:color="auto" w:fill="auto"/>
            <w:noWrap/>
            <w:vAlign w:val="bottom"/>
            <w:hideMark/>
          </w:tcPr>
          <w:p w14:paraId="14E3CA3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756" w:type="dxa"/>
            <w:tcBorders>
              <w:top w:val="nil"/>
              <w:left w:val="nil"/>
              <w:bottom w:val="nil"/>
              <w:right w:val="nil"/>
            </w:tcBorders>
            <w:shd w:val="clear" w:color="auto" w:fill="auto"/>
            <w:noWrap/>
            <w:vAlign w:val="bottom"/>
            <w:hideMark/>
          </w:tcPr>
          <w:p w14:paraId="01D0EBF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95" w:type="dxa"/>
            <w:tcBorders>
              <w:top w:val="nil"/>
              <w:left w:val="nil"/>
              <w:bottom w:val="nil"/>
              <w:right w:val="nil"/>
            </w:tcBorders>
            <w:shd w:val="clear" w:color="auto" w:fill="auto"/>
            <w:noWrap/>
            <w:vAlign w:val="bottom"/>
            <w:hideMark/>
          </w:tcPr>
          <w:p w14:paraId="46F9E22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95" w:type="dxa"/>
            <w:tcBorders>
              <w:top w:val="nil"/>
              <w:left w:val="nil"/>
              <w:bottom w:val="nil"/>
              <w:right w:val="nil"/>
            </w:tcBorders>
            <w:shd w:val="clear" w:color="auto" w:fill="auto"/>
            <w:noWrap/>
            <w:vAlign w:val="bottom"/>
            <w:hideMark/>
          </w:tcPr>
          <w:p w14:paraId="7B6568E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r>
      <w:tr w:rsidR="00634ABA" w:rsidRPr="00986F85" w14:paraId="5042D3C2" w14:textId="77777777" w:rsidTr="00A078CF">
        <w:trPr>
          <w:trHeight w:val="284"/>
        </w:trPr>
        <w:tc>
          <w:tcPr>
            <w:tcW w:w="434" w:type="dxa"/>
            <w:vMerge/>
            <w:tcBorders>
              <w:top w:val="nil"/>
              <w:left w:val="nil"/>
              <w:bottom w:val="nil"/>
              <w:right w:val="nil"/>
            </w:tcBorders>
            <w:vAlign w:val="center"/>
            <w:hideMark/>
          </w:tcPr>
          <w:p w14:paraId="101FF6C8" w14:textId="77777777" w:rsidR="00634ABA" w:rsidRPr="00986F85" w:rsidRDefault="00634ABA" w:rsidP="00476987">
            <w:pPr>
              <w:spacing w:after="0" w:line="240" w:lineRule="auto"/>
              <w:rPr>
                <w:rFonts w:eastAsia="Times New Roman"/>
                <w:color w:val="000000"/>
                <w:lang w:eastAsia="hu-HU"/>
              </w:rPr>
            </w:pPr>
          </w:p>
        </w:tc>
        <w:tc>
          <w:tcPr>
            <w:tcW w:w="1893" w:type="dxa"/>
            <w:tcBorders>
              <w:top w:val="nil"/>
              <w:left w:val="nil"/>
              <w:bottom w:val="nil"/>
              <w:right w:val="nil"/>
            </w:tcBorders>
            <w:shd w:val="clear" w:color="auto" w:fill="auto"/>
            <w:noWrap/>
            <w:vAlign w:val="bottom"/>
            <w:hideMark/>
          </w:tcPr>
          <w:p w14:paraId="354B1E83"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Egy foglalkoztatottra eső jegyzett tőke (%)</w:t>
            </w:r>
          </w:p>
        </w:tc>
        <w:tc>
          <w:tcPr>
            <w:tcW w:w="683" w:type="dxa"/>
            <w:tcBorders>
              <w:top w:val="nil"/>
              <w:left w:val="nil"/>
              <w:bottom w:val="nil"/>
              <w:right w:val="nil"/>
            </w:tcBorders>
            <w:shd w:val="clear" w:color="auto" w:fill="auto"/>
            <w:noWrap/>
            <w:vAlign w:val="bottom"/>
            <w:hideMark/>
          </w:tcPr>
          <w:p w14:paraId="1DDE68D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26.7</w:t>
            </w:r>
          </w:p>
        </w:tc>
        <w:tc>
          <w:tcPr>
            <w:tcW w:w="756" w:type="dxa"/>
            <w:tcBorders>
              <w:top w:val="nil"/>
              <w:left w:val="nil"/>
              <w:bottom w:val="nil"/>
              <w:right w:val="nil"/>
            </w:tcBorders>
            <w:shd w:val="clear" w:color="auto" w:fill="auto"/>
            <w:noWrap/>
            <w:vAlign w:val="bottom"/>
            <w:hideMark/>
          </w:tcPr>
          <w:p w14:paraId="78691DD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40</w:t>
            </w:r>
          </w:p>
        </w:tc>
        <w:tc>
          <w:tcPr>
            <w:tcW w:w="683" w:type="dxa"/>
            <w:tcBorders>
              <w:top w:val="nil"/>
              <w:left w:val="nil"/>
              <w:bottom w:val="nil"/>
              <w:right w:val="nil"/>
            </w:tcBorders>
            <w:shd w:val="clear" w:color="auto" w:fill="auto"/>
            <w:noWrap/>
            <w:vAlign w:val="bottom"/>
            <w:hideMark/>
          </w:tcPr>
          <w:p w14:paraId="73AA356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21.8</w:t>
            </w:r>
          </w:p>
        </w:tc>
        <w:tc>
          <w:tcPr>
            <w:tcW w:w="683" w:type="dxa"/>
            <w:tcBorders>
              <w:top w:val="nil"/>
              <w:left w:val="nil"/>
              <w:bottom w:val="nil"/>
              <w:right w:val="nil"/>
            </w:tcBorders>
            <w:shd w:val="clear" w:color="auto" w:fill="auto"/>
            <w:noWrap/>
            <w:vAlign w:val="bottom"/>
            <w:hideMark/>
          </w:tcPr>
          <w:p w14:paraId="63D016D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42.9</w:t>
            </w:r>
          </w:p>
        </w:tc>
        <w:tc>
          <w:tcPr>
            <w:tcW w:w="683" w:type="dxa"/>
            <w:tcBorders>
              <w:top w:val="nil"/>
              <w:left w:val="nil"/>
              <w:bottom w:val="nil"/>
              <w:right w:val="nil"/>
            </w:tcBorders>
            <w:shd w:val="clear" w:color="auto" w:fill="auto"/>
            <w:noWrap/>
            <w:vAlign w:val="bottom"/>
            <w:hideMark/>
          </w:tcPr>
          <w:p w14:paraId="4108651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25</w:t>
            </w:r>
          </w:p>
        </w:tc>
        <w:tc>
          <w:tcPr>
            <w:tcW w:w="683" w:type="dxa"/>
            <w:tcBorders>
              <w:top w:val="nil"/>
              <w:left w:val="nil"/>
              <w:bottom w:val="nil"/>
              <w:right w:val="nil"/>
            </w:tcBorders>
            <w:shd w:val="clear" w:color="auto" w:fill="auto"/>
            <w:noWrap/>
            <w:vAlign w:val="bottom"/>
            <w:hideMark/>
          </w:tcPr>
          <w:p w14:paraId="7A1BAF7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18.2</w:t>
            </w:r>
          </w:p>
        </w:tc>
        <w:tc>
          <w:tcPr>
            <w:tcW w:w="683" w:type="dxa"/>
            <w:tcBorders>
              <w:top w:val="nil"/>
              <w:left w:val="nil"/>
              <w:bottom w:val="nil"/>
              <w:right w:val="nil"/>
            </w:tcBorders>
            <w:shd w:val="clear" w:color="auto" w:fill="auto"/>
            <w:noWrap/>
            <w:vAlign w:val="bottom"/>
            <w:hideMark/>
          </w:tcPr>
          <w:p w14:paraId="1326A52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27.3</w:t>
            </w:r>
          </w:p>
        </w:tc>
        <w:tc>
          <w:tcPr>
            <w:tcW w:w="806" w:type="dxa"/>
            <w:tcBorders>
              <w:top w:val="nil"/>
              <w:left w:val="nil"/>
              <w:bottom w:val="nil"/>
              <w:right w:val="nil"/>
            </w:tcBorders>
            <w:shd w:val="clear" w:color="auto" w:fill="auto"/>
            <w:noWrap/>
            <w:vAlign w:val="bottom"/>
            <w:hideMark/>
          </w:tcPr>
          <w:p w14:paraId="4C9B4D1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50</w:t>
            </w:r>
          </w:p>
        </w:tc>
        <w:tc>
          <w:tcPr>
            <w:tcW w:w="683" w:type="dxa"/>
            <w:tcBorders>
              <w:top w:val="nil"/>
              <w:left w:val="nil"/>
              <w:bottom w:val="nil"/>
              <w:right w:val="nil"/>
            </w:tcBorders>
            <w:shd w:val="clear" w:color="auto" w:fill="auto"/>
            <w:noWrap/>
            <w:vAlign w:val="bottom"/>
            <w:hideMark/>
          </w:tcPr>
          <w:p w14:paraId="7CE96FD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20</w:t>
            </w:r>
          </w:p>
        </w:tc>
        <w:tc>
          <w:tcPr>
            <w:tcW w:w="683" w:type="dxa"/>
            <w:tcBorders>
              <w:top w:val="nil"/>
              <w:left w:val="nil"/>
              <w:bottom w:val="nil"/>
              <w:right w:val="nil"/>
            </w:tcBorders>
            <w:shd w:val="clear" w:color="auto" w:fill="auto"/>
            <w:noWrap/>
            <w:vAlign w:val="bottom"/>
            <w:hideMark/>
          </w:tcPr>
          <w:p w14:paraId="2273F74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165.8</w:t>
            </w:r>
          </w:p>
        </w:tc>
        <w:tc>
          <w:tcPr>
            <w:tcW w:w="806" w:type="dxa"/>
            <w:tcBorders>
              <w:top w:val="nil"/>
              <w:left w:val="nil"/>
              <w:bottom w:val="nil"/>
              <w:right w:val="nil"/>
            </w:tcBorders>
            <w:shd w:val="clear" w:color="auto" w:fill="auto"/>
            <w:noWrap/>
            <w:vAlign w:val="bottom"/>
            <w:hideMark/>
          </w:tcPr>
          <w:p w14:paraId="55E126F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14.3</w:t>
            </w:r>
          </w:p>
        </w:tc>
        <w:tc>
          <w:tcPr>
            <w:tcW w:w="806" w:type="dxa"/>
            <w:tcBorders>
              <w:top w:val="nil"/>
              <w:left w:val="nil"/>
              <w:bottom w:val="nil"/>
              <w:right w:val="nil"/>
            </w:tcBorders>
            <w:shd w:val="clear" w:color="auto" w:fill="auto"/>
            <w:noWrap/>
            <w:vAlign w:val="bottom"/>
            <w:hideMark/>
          </w:tcPr>
          <w:p w14:paraId="39A1C8D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30.6</w:t>
            </w:r>
          </w:p>
        </w:tc>
        <w:tc>
          <w:tcPr>
            <w:tcW w:w="683" w:type="dxa"/>
            <w:tcBorders>
              <w:top w:val="nil"/>
              <w:left w:val="nil"/>
              <w:bottom w:val="nil"/>
              <w:right w:val="nil"/>
            </w:tcBorders>
            <w:shd w:val="clear" w:color="auto" w:fill="auto"/>
            <w:noWrap/>
            <w:vAlign w:val="bottom"/>
            <w:hideMark/>
          </w:tcPr>
          <w:p w14:paraId="0EA2055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40</w:t>
            </w:r>
          </w:p>
        </w:tc>
        <w:tc>
          <w:tcPr>
            <w:tcW w:w="683" w:type="dxa"/>
            <w:tcBorders>
              <w:top w:val="nil"/>
              <w:left w:val="nil"/>
              <w:bottom w:val="nil"/>
              <w:right w:val="nil"/>
            </w:tcBorders>
            <w:shd w:val="clear" w:color="auto" w:fill="auto"/>
            <w:noWrap/>
            <w:vAlign w:val="bottom"/>
            <w:hideMark/>
          </w:tcPr>
          <w:p w14:paraId="78B4C24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9.1</w:t>
            </w:r>
          </w:p>
        </w:tc>
        <w:tc>
          <w:tcPr>
            <w:tcW w:w="806" w:type="dxa"/>
            <w:tcBorders>
              <w:top w:val="nil"/>
              <w:left w:val="nil"/>
              <w:bottom w:val="nil"/>
              <w:right w:val="nil"/>
            </w:tcBorders>
            <w:shd w:val="clear" w:color="auto" w:fill="auto"/>
            <w:noWrap/>
            <w:vAlign w:val="bottom"/>
            <w:hideMark/>
          </w:tcPr>
          <w:p w14:paraId="498D596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20</w:t>
            </w:r>
          </w:p>
        </w:tc>
        <w:tc>
          <w:tcPr>
            <w:tcW w:w="683" w:type="dxa"/>
            <w:tcBorders>
              <w:top w:val="nil"/>
              <w:left w:val="nil"/>
              <w:bottom w:val="nil"/>
              <w:right w:val="nil"/>
            </w:tcBorders>
            <w:shd w:val="clear" w:color="auto" w:fill="auto"/>
            <w:noWrap/>
            <w:vAlign w:val="bottom"/>
            <w:hideMark/>
          </w:tcPr>
          <w:p w14:paraId="4EAAE4B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27</w:t>
            </w:r>
          </w:p>
        </w:tc>
        <w:tc>
          <w:tcPr>
            <w:tcW w:w="683" w:type="dxa"/>
            <w:tcBorders>
              <w:top w:val="nil"/>
              <w:left w:val="nil"/>
              <w:bottom w:val="nil"/>
              <w:right w:val="nil"/>
            </w:tcBorders>
            <w:shd w:val="clear" w:color="auto" w:fill="auto"/>
            <w:noWrap/>
            <w:vAlign w:val="bottom"/>
            <w:hideMark/>
          </w:tcPr>
          <w:p w14:paraId="0D15DBD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16.7</w:t>
            </w:r>
          </w:p>
        </w:tc>
        <w:tc>
          <w:tcPr>
            <w:tcW w:w="756" w:type="dxa"/>
            <w:tcBorders>
              <w:top w:val="nil"/>
              <w:left w:val="nil"/>
              <w:bottom w:val="nil"/>
              <w:right w:val="nil"/>
            </w:tcBorders>
            <w:shd w:val="clear" w:color="auto" w:fill="auto"/>
            <w:noWrap/>
            <w:vAlign w:val="bottom"/>
            <w:hideMark/>
          </w:tcPr>
          <w:p w14:paraId="1AA05F6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17.4</w:t>
            </w:r>
          </w:p>
        </w:tc>
        <w:tc>
          <w:tcPr>
            <w:tcW w:w="695" w:type="dxa"/>
            <w:tcBorders>
              <w:top w:val="nil"/>
              <w:left w:val="nil"/>
              <w:bottom w:val="nil"/>
              <w:right w:val="nil"/>
            </w:tcBorders>
            <w:shd w:val="clear" w:color="auto" w:fill="auto"/>
            <w:noWrap/>
            <w:vAlign w:val="bottom"/>
            <w:hideMark/>
          </w:tcPr>
          <w:p w14:paraId="15792CD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9.1</w:t>
            </w:r>
          </w:p>
        </w:tc>
        <w:tc>
          <w:tcPr>
            <w:tcW w:w="695" w:type="dxa"/>
            <w:tcBorders>
              <w:top w:val="nil"/>
              <w:left w:val="nil"/>
              <w:bottom w:val="nil"/>
              <w:right w:val="nil"/>
            </w:tcBorders>
            <w:shd w:val="clear" w:color="auto" w:fill="auto"/>
            <w:noWrap/>
            <w:vAlign w:val="bottom"/>
            <w:hideMark/>
          </w:tcPr>
          <w:p w14:paraId="64BA0AF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24.1</w:t>
            </w:r>
          </w:p>
        </w:tc>
      </w:tr>
      <w:tr w:rsidR="00634ABA" w:rsidRPr="00986F85" w14:paraId="3AAD1D48" w14:textId="77777777" w:rsidTr="00A078CF">
        <w:trPr>
          <w:trHeight w:val="284"/>
        </w:trPr>
        <w:tc>
          <w:tcPr>
            <w:tcW w:w="434" w:type="dxa"/>
            <w:vMerge/>
            <w:tcBorders>
              <w:top w:val="nil"/>
              <w:left w:val="nil"/>
              <w:bottom w:val="nil"/>
              <w:right w:val="nil"/>
            </w:tcBorders>
            <w:vAlign w:val="center"/>
            <w:hideMark/>
          </w:tcPr>
          <w:p w14:paraId="2EC29E42" w14:textId="77777777" w:rsidR="00634ABA" w:rsidRPr="00986F85" w:rsidRDefault="00634ABA" w:rsidP="00476987">
            <w:pPr>
              <w:spacing w:after="0" w:line="240" w:lineRule="auto"/>
              <w:rPr>
                <w:rFonts w:eastAsia="Times New Roman"/>
                <w:color w:val="000000"/>
                <w:lang w:eastAsia="hu-HU"/>
              </w:rPr>
            </w:pPr>
          </w:p>
        </w:tc>
        <w:tc>
          <w:tcPr>
            <w:tcW w:w="1893" w:type="dxa"/>
            <w:tcBorders>
              <w:top w:val="nil"/>
              <w:left w:val="nil"/>
              <w:bottom w:val="nil"/>
              <w:right w:val="nil"/>
            </w:tcBorders>
            <w:shd w:val="clear" w:color="auto" w:fill="auto"/>
            <w:noWrap/>
            <w:vAlign w:val="bottom"/>
            <w:hideMark/>
          </w:tcPr>
          <w:p w14:paraId="7B3E0936"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Likviditás</w:t>
            </w:r>
          </w:p>
        </w:tc>
        <w:tc>
          <w:tcPr>
            <w:tcW w:w="683" w:type="dxa"/>
            <w:tcBorders>
              <w:top w:val="nil"/>
              <w:left w:val="nil"/>
              <w:bottom w:val="nil"/>
              <w:right w:val="nil"/>
            </w:tcBorders>
            <w:shd w:val="clear" w:color="auto" w:fill="auto"/>
            <w:noWrap/>
            <w:vAlign w:val="bottom"/>
            <w:hideMark/>
          </w:tcPr>
          <w:p w14:paraId="15F4688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6.5</w:t>
            </w:r>
          </w:p>
        </w:tc>
        <w:tc>
          <w:tcPr>
            <w:tcW w:w="756" w:type="dxa"/>
            <w:tcBorders>
              <w:top w:val="nil"/>
              <w:left w:val="nil"/>
              <w:bottom w:val="nil"/>
              <w:right w:val="nil"/>
            </w:tcBorders>
            <w:shd w:val="clear" w:color="auto" w:fill="auto"/>
            <w:noWrap/>
            <w:vAlign w:val="bottom"/>
            <w:hideMark/>
          </w:tcPr>
          <w:p w14:paraId="5C5A21D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-2.1</w:t>
            </w:r>
          </w:p>
        </w:tc>
        <w:tc>
          <w:tcPr>
            <w:tcW w:w="683" w:type="dxa"/>
            <w:tcBorders>
              <w:top w:val="nil"/>
              <w:left w:val="nil"/>
              <w:bottom w:val="nil"/>
              <w:right w:val="nil"/>
            </w:tcBorders>
            <w:shd w:val="clear" w:color="auto" w:fill="auto"/>
            <w:noWrap/>
            <w:vAlign w:val="bottom"/>
            <w:hideMark/>
          </w:tcPr>
          <w:p w14:paraId="08D1DE9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-0.9</w:t>
            </w:r>
          </w:p>
        </w:tc>
        <w:tc>
          <w:tcPr>
            <w:tcW w:w="683" w:type="dxa"/>
            <w:tcBorders>
              <w:top w:val="nil"/>
              <w:left w:val="nil"/>
              <w:bottom w:val="nil"/>
              <w:right w:val="nil"/>
            </w:tcBorders>
            <w:shd w:val="clear" w:color="auto" w:fill="auto"/>
            <w:noWrap/>
            <w:vAlign w:val="bottom"/>
            <w:hideMark/>
          </w:tcPr>
          <w:p w14:paraId="7654653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19.7</w:t>
            </w:r>
          </w:p>
        </w:tc>
        <w:tc>
          <w:tcPr>
            <w:tcW w:w="683" w:type="dxa"/>
            <w:tcBorders>
              <w:top w:val="nil"/>
              <w:left w:val="nil"/>
              <w:bottom w:val="nil"/>
              <w:right w:val="nil"/>
            </w:tcBorders>
            <w:shd w:val="clear" w:color="auto" w:fill="auto"/>
            <w:noWrap/>
            <w:vAlign w:val="bottom"/>
            <w:hideMark/>
          </w:tcPr>
          <w:p w14:paraId="1EBC21E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9.3</w:t>
            </w:r>
          </w:p>
        </w:tc>
        <w:tc>
          <w:tcPr>
            <w:tcW w:w="683" w:type="dxa"/>
            <w:tcBorders>
              <w:top w:val="nil"/>
              <w:left w:val="nil"/>
              <w:bottom w:val="nil"/>
              <w:right w:val="nil"/>
            </w:tcBorders>
            <w:shd w:val="clear" w:color="auto" w:fill="auto"/>
            <w:noWrap/>
            <w:vAlign w:val="bottom"/>
            <w:hideMark/>
          </w:tcPr>
          <w:p w14:paraId="326DB83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25.3</w:t>
            </w:r>
          </w:p>
        </w:tc>
        <w:tc>
          <w:tcPr>
            <w:tcW w:w="683" w:type="dxa"/>
            <w:tcBorders>
              <w:top w:val="nil"/>
              <w:left w:val="nil"/>
              <w:bottom w:val="nil"/>
              <w:right w:val="nil"/>
            </w:tcBorders>
            <w:shd w:val="clear" w:color="auto" w:fill="auto"/>
            <w:noWrap/>
            <w:vAlign w:val="bottom"/>
            <w:hideMark/>
          </w:tcPr>
          <w:p w14:paraId="364013C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7.3</w:t>
            </w:r>
          </w:p>
        </w:tc>
        <w:tc>
          <w:tcPr>
            <w:tcW w:w="806" w:type="dxa"/>
            <w:tcBorders>
              <w:top w:val="nil"/>
              <w:left w:val="nil"/>
              <w:bottom w:val="nil"/>
              <w:right w:val="nil"/>
            </w:tcBorders>
            <w:shd w:val="clear" w:color="auto" w:fill="auto"/>
            <w:noWrap/>
            <w:vAlign w:val="bottom"/>
            <w:hideMark/>
          </w:tcPr>
          <w:p w14:paraId="5342B8C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10.2</w:t>
            </w:r>
          </w:p>
        </w:tc>
        <w:tc>
          <w:tcPr>
            <w:tcW w:w="683" w:type="dxa"/>
            <w:tcBorders>
              <w:top w:val="nil"/>
              <w:left w:val="nil"/>
              <w:bottom w:val="nil"/>
              <w:right w:val="nil"/>
            </w:tcBorders>
            <w:shd w:val="clear" w:color="auto" w:fill="auto"/>
            <w:noWrap/>
            <w:vAlign w:val="bottom"/>
            <w:hideMark/>
          </w:tcPr>
          <w:p w14:paraId="41B809E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6.4</w:t>
            </w:r>
          </w:p>
        </w:tc>
        <w:tc>
          <w:tcPr>
            <w:tcW w:w="683" w:type="dxa"/>
            <w:tcBorders>
              <w:top w:val="nil"/>
              <w:left w:val="nil"/>
              <w:bottom w:val="nil"/>
              <w:right w:val="nil"/>
            </w:tcBorders>
            <w:shd w:val="clear" w:color="auto" w:fill="auto"/>
            <w:noWrap/>
            <w:vAlign w:val="bottom"/>
            <w:hideMark/>
          </w:tcPr>
          <w:p w14:paraId="4C5FD72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51.1</w:t>
            </w:r>
          </w:p>
        </w:tc>
        <w:tc>
          <w:tcPr>
            <w:tcW w:w="806" w:type="dxa"/>
            <w:tcBorders>
              <w:top w:val="nil"/>
              <w:left w:val="nil"/>
              <w:bottom w:val="nil"/>
              <w:right w:val="nil"/>
            </w:tcBorders>
            <w:shd w:val="clear" w:color="auto" w:fill="auto"/>
            <w:noWrap/>
            <w:vAlign w:val="bottom"/>
            <w:hideMark/>
          </w:tcPr>
          <w:p w14:paraId="13CEBC6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12</w:t>
            </w:r>
          </w:p>
        </w:tc>
        <w:tc>
          <w:tcPr>
            <w:tcW w:w="806" w:type="dxa"/>
            <w:tcBorders>
              <w:top w:val="nil"/>
              <w:left w:val="nil"/>
              <w:bottom w:val="nil"/>
              <w:right w:val="nil"/>
            </w:tcBorders>
            <w:shd w:val="clear" w:color="auto" w:fill="auto"/>
            <w:noWrap/>
            <w:vAlign w:val="bottom"/>
            <w:hideMark/>
          </w:tcPr>
          <w:p w14:paraId="7D1E9A3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13.9</w:t>
            </w:r>
          </w:p>
        </w:tc>
        <w:tc>
          <w:tcPr>
            <w:tcW w:w="683" w:type="dxa"/>
            <w:tcBorders>
              <w:top w:val="nil"/>
              <w:left w:val="nil"/>
              <w:bottom w:val="nil"/>
              <w:right w:val="nil"/>
            </w:tcBorders>
            <w:shd w:val="clear" w:color="auto" w:fill="auto"/>
            <w:noWrap/>
            <w:vAlign w:val="bottom"/>
            <w:hideMark/>
          </w:tcPr>
          <w:p w14:paraId="1A0E8E1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1.1</w:t>
            </w:r>
          </w:p>
        </w:tc>
        <w:tc>
          <w:tcPr>
            <w:tcW w:w="683" w:type="dxa"/>
            <w:tcBorders>
              <w:top w:val="nil"/>
              <w:left w:val="nil"/>
              <w:bottom w:val="nil"/>
              <w:right w:val="nil"/>
            </w:tcBorders>
            <w:shd w:val="clear" w:color="auto" w:fill="auto"/>
            <w:noWrap/>
            <w:vAlign w:val="bottom"/>
            <w:hideMark/>
          </w:tcPr>
          <w:p w14:paraId="3B6EC47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0.6</w:t>
            </w:r>
          </w:p>
        </w:tc>
        <w:tc>
          <w:tcPr>
            <w:tcW w:w="806" w:type="dxa"/>
            <w:tcBorders>
              <w:top w:val="nil"/>
              <w:left w:val="nil"/>
              <w:bottom w:val="nil"/>
              <w:right w:val="nil"/>
            </w:tcBorders>
            <w:shd w:val="clear" w:color="auto" w:fill="auto"/>
            <w:noWrap/>
            <w:vAlign w:val="bottom"/>
            <w:hideMark/>
          </w:tcPr>
          <w:p w14:paraId="2374634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8.6</w:t>
            </w:r>
          </w:p>
        </w:tc>
        <w:tc>
          <w:tcPr>
            <w:tcW w:w="683" w:type="dxa"/>
            <w:tcBorders>
              <w:top w:val="nil"/>
              <w:left w:val="nil"/>
              <w:bottom w:val="nil"/>
              <w:right w:val="nil"/>
            </w:tcBorders>
            <w:shd w:val="clear" w:color="auto" w:fill="auto"/>
            <w:noWrap/>
            <w:vAlign w:val="bottom"/>
            <w:hideMark/>
          </w:tcPr>
          <w:p w14:paraId="43113DE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-9.1</w:t>
            </w:r>
          </w:p>
        </w:tc>
        <w:tc>
          <w:tcPr>
            <w:tcW w:w="683" w:type="dxa"/>
            <w:tcBorders>
              <w:top w:val="nil"/>
              <w:left w:val="nil"/>
              <w:bottom w:val="nil"/>
              <w:right w:val="nil"/>
            </w:tcBorders>
            <w:shd w:val="clear" w:color="auto" w:fill="auto"/>
            <w:noWrap/>
            <w:vAlign w:val="bottom"/>
            <w:hideMark/>
          </w:tcPr>
          <w:p w14:paraId="0781DAE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12</w:t>
            </w:r>
          </w:p>
        </w:tc>
        <w:tc>
          <w:tcPr>
            <w:tcW w:w="756" w:type="dxa"/>
            <w:tcBorders>
              <w:top w:val="nil"/>
              <w:left w:val="nil"/>
              <w:bottom w:val="nil"/>
              <w:right w:val="nil"/>
            </w:tcBorders>
            <w:shd w:val="clear" w:color="auto" w:fill="auto"/>
            <w:noWrap/>
            <w:vAlign w:val="bottom"/>
            <w:hideMark/>
          </w:tcPr>
          <w:p w14:paraId="1BB8C5E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6.3</w:t>
            </w:r>
          </w:p>
        </w:tc>
        <w:tc>
          <w:tcPr>
            <w:tcW w:w="695" w:type="dxa"/>
            <w:tcBorders>
              <w:top w:val="nil"/>
              <w:left w:val="nil"/>
              <w:bottom w:val="nil"/>
              <w:right w:val="nil"/>
            </w:tcBorders>
            <w:shd w:val="clear" w:color="auto" w:fill="auto"/>
            <w:noWrap/>
            <w:vAlign w:val="bottom"/>
            <w:hideMark/>
          </w:tcPr>
          <w:p w14:paraId="1A8C5EB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29.1</w:t>
            </w:r>
          </w:p>
        </w:tc>
        <w:tc>
          <w:tcPr>
            <w:tcW w:w="695" w:type="dxa"/>
            <w:tcBorders>
              <w:top w:val="nil"/>
              <w:left w:val="nil"/>
              <w:bottom w:val="nil"/>
              <w:right w:val="nil"/>
            </w:tcBorders>
            <w:shd w:val="clear" w:color="auto" w:fill="auto"/>
            <w:noWrap/>
            <w:vAlign w:val="bottom"/>
            <w:hideMark/>
          </w:tcPr>
          <w:p w14:paraId="161B919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8.7</w:t>
            </w:r>
          </w:p>
        </w:tc>
      </w:tr>
      <w:tr w:rsidR="00634ABA" w:rsidRPr="00986F85" w14:paraId="6AFAA6FB" w14:textId="77777777" w:rsidTr="00A078CF">
        <w:trPr>
          <w:trHeight w:val="284"/>
        </w:trPr>
        <w:tc>
          <w:tcPr>
            <w:tcW w:w="434" w:type="dxa"/>
            <w:vMerge/>
            <w:tcBorders>
              <w:top w:val="nil"/>
              <w:left w:val="nil"/>
              <w:bottom w:val="nil"/>
              <w:right w:val="nil"/>
            </w:tcBorders>
            <w:vAlign w:val="center"/>
            <w:hideMark/>
          </w:tcPr>
          <w:p w14:paraId="1E491B51" w14:textId="77777777" w:rsidR="00634ABA" w:rsidRPr="00986F85" w:rsidRDefault="00634ABA" w:rsidP="00476987">
            <w:pPr>
              <w:spacing w:after="0" w:line="240" w:lineRule="auto"/>
              <w:rPr>
                <w:rFonts w:eastAsia="Times New Roman"/>
                <w:color w:val="000000"/>
                <w:lang w:eastAsia="hu-HU"/>
              </w:rPr>
            </w:pPr>
          </w:p>
        </w:tc>
        <w:tc>
          <w:tcPr>
            <w:tcW w:w="1893" w:type="dxa"/>
            <w:tcBorders>
              <w:top w:val="nil"/>
              <w:left w:val="nil"/>
              <w:bottom w:val="nil"/>
              <w:right w:val="nil"/>
            </w:tcBorders>
            <w:shd w:val="clear" w:color="auto" w:fill="auto"/>
            <w:noWrap/>
            <w:vAlign w:val="bottom"/>
            <w:hideMark/>
          </w:tcPr>
          <w:p w14:paraId="75A9A2D4"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Üzemi eredmény</w:t>
            </w:r>
          </w:p>
        </w:tc>
        <w:tc>
          <w:tcPr>
            <w:tcW w:w="683" w:type="dxa"/>
            <w:tcBorders>
              <w:top w:val="nil"/>
              <w:left w:val="nil"/>
              <w:bottom w:val="nil"/>
              <w:right w:val="nil"/>
            </w:tcBorders>
            <w:shd w:val="clear" w:color="auto" w:fill="auto"/>
            <w:noWrap/>
            <w:vAlign w:val="bottom"/>
            <w:hideMark/>
          </w:tcPr>
          <w:p w14:paraId="07D885E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-569</w:t>
            </w:r>
          </w:p>
        </w:tc>
        <w:tc>
          <w:tcPr>
            <w:tcW w:w="756" w:type="dxa"/>
            <w:tcBorders>
              <w:top w:val="nil"/>
              <w:left w:val="nil"/>
              <w:bottom w:val="nil"/>
              <w:right w:val="nil"/>
            </w:tcBorders>
            <w:shd w:val="clear" w:color="auto" w:fill="auto"/>
            <w:noWrap/>
            <w:vAlign w:val="bottom"/>
            <w:hideMark/>
          </w:tcPr>
          <w:p w14:paraId="189564C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-7984</w:t>
            </w:r>
          </w:p>
        </w:tc>
        <w:tc>
          <w:tcPr>
            <w:tcW w:w="683" w:type="dxa"/>
            <w:tcBorders>
              <w:top w:val="nil"/>
              <w:left w:val="nil"/>
              <w:bottom w:val="nil"/>
              <w:right w:val="nil"/>
            </w:tcBorders>
            <w:shd w:val="clear" w:color="auto" w:fill="auto"/>
            <w:noWrap/>
            <w:vAlign w:val="bottom"/>
            <w:hideMark/>
          </w:tcPr>
          <w:p w14:paraId="3648F8A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-124</w:t>
            </w:r>
          </w:p>
        </w:tc>
        <w:tc>
          <w:tcPr>
            <w:tcW w:w="683" w:type="dxa"/>
            <w:tcBorders>
              <w:top w:val="nil"/>
              <w:left w:val="nil"/>
              <w:bottom w:val="nil"/>
              <w:right w:val="nil"/>
            </w:tcBorders>
            <w:shd w:val="clear" w:color="auto" w:fill="auto"/>
            <w:noWrap/>
            <w:vAlign w:val="bottom"/>
            <w:hideMark/>
          </w:tcPr>
          <w:p w14:paraId="28789D0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-976</w:t>
            </w:r>
          </w:p>
        </w:tc>
        <w:tc>
          <w:tcPr>
            <w:tcW w:w="683" w:type="dxa"/>
            <w:tcBorders>
              <w:top w:val="nil"/>
              <w:left w:val="nil"/>
              <w:bottom w:val="nil"/>
              <w:right w:val="nil"/>
            </w:tcBorders>
            <w:shd w:val="clear" w:color="auto" w:fill="auto"/>
            <w:noWrap/>
            <w:vAlign w:val="bottom"/>
            <w:hideMark/>
          </w:tcPr>
          <w:p w14:paraId="362DC8E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-294.5</w:t>
            </w:r>
          </w:p>
        </w:tc>
        <w:tc>
          <w:tcPr>
            <w:tcW w:w="683" w:type="dxa"/>
            <w:tcBorders>
              <w:top w:val="nil"/>
              <w:left w:val="nil"/>
              <w:bottom w:val="nil"/>
              <w:right w:val="nil"/>
            </w:tcBorders>
            <w:shd w:val="clear" w:color="auto" w:fill="auto"/>
            <w:noWrap/>
            <w:vAlign w:val="bottom"/>
            <w:hideMark/>
          </w:tcPr>
          <w:p w14:paraId="1580FCD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142</w:t>
            </w:r>
          </w:p>
        </w:tc>
        <w:tc>
          <w:tcPr>
            <w:tcW w:w="683" w:type="dxa"/>
            <w:tcBorders>
              <w:top w:val="nil"/>
              <w:left w:val="nil"/>
              <w:bottom w:val="nil"/>
              <w:right w:val="nil"/>
            </w:tcBorders>
            <w:shd w:val="clear" w:color="auto" w:fill="auto"/>
            <w:noWrap/>
            <w:vAlign w:val="bottom"/>
            <w:hideMark/>
          </w:tcPr>
          <w:p w14:paraId="1070A36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-1428</w:t>
            </w:r>
          </w:p>
        </w:tc>
        <w:tc>
          <w:tcPr>
            <w:tcW w:w="806" w:type="dxa"/>
            <w:tcBorders>
              <w:top w:val="nil"/>
              <w:left w:val="nil"/>
              <w:bottom w:val="nil"/>
              <w:right w:val="nil"/>
            </w:tcBorders>
            <w:shd w:val="clear" w:color="auto" w:fill="auto"/>
            <w:noWrap/>
            <w:vAlign w:val="bottom"/>
            <w:hideMark/>
          </w:tcPr>
          <w:p w14:paraId="4C39F52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-2118.5</w:t>
            </w:r>
          </w:p>
        </w:tc>
        <w:tc>
          <w:tcPr>
            <w:tcW w:w="683" w:type="dxa"/>
            <w:tcBorders>
              <w:top w:val="nil"/>
              <w:left w:val="nil"/>
              <w:bottom w:val="nil"/>
              <w:right w:val="nil"/>
            </w:tcBorders>
            <w:shd w:val="clear" w:color="auto" w:fill="auto"/>
            <w:noWrap/>
            <w:vAlign w:val="bottom"/>
            <w:hideMark/>
          </w:tcPr>
          <w:p w14:paraId="667E6BE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-1515</w:t>
            </w:r>
          </w:p>
        </w:tc>
        <w:tc>
          <w:tcPr>
            <w:tcW w:w="683" w:type="dxa"/>
            <w:tcBorders>
              <w:top w:val="nil"/>
              <w:left w:val="nil"/>
              <w:bottom w:val="nil"/>
              <w:right w:val="nil"/>
            </w:tcBorders>
            <w:shd w:val="clear" w:color="auto" w:fill="auto"/>
            <w:noWrap/>
            <w:vAlign w:val="bottom"/>
            <w:hideMark/>
          </w:tcPr>
          <w:p w14:paraId="1AFE402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-852</w:t>
            </w:r>
          </w:p>
        </w:tc>
        <w:tc>
          <w:tcPr>
            <w:tcW w:w="806" w:type="dxa"/>
            <w:tcBorders>
              <w:top w:val="nil"/>
              <w:left w:val="nil"/>
              <w:bottom w:val="nil"/>
              <w:right w:val="nil"/>
            </w:tcBorders>
            <w:shd w:val="clear" w:color="auto" w:fill="auto"/>
            <w:noWrap/>
            <w:vAlign w:val="bottom"/>
            <w:hideMark/>
          </w:tcPr>
          <w:p w14:paraId="26EF093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9935</w:t>
            </w:r>
          </w:p>
        </w:tc>
        <w:tc>
          <w:tcPr>
            <w:tcW w:w="806" w:type="dxa"/>
            <w:tcBorders>
              <w:top w:val="nil"/>
              <w:left w:val="nil"/>
              <w:bottom w:val="nil"/>
              <w:right w:val="nil"/>
            </w:tcBorders>
            <w:shd w:val="clear" w:color="auto" w:fill="auto"/>
            <w:noWrap/>
            <w:vAlign w:val="bottom"/>
            <w:hideMark/>
          </w:tcPr>
          <w:p w14:paraId="3B40FA3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-3761.5</w:t>
            </w:r>
          </w:p>
        </w:tc>
        <w:tc>
          <w:tcPr>
            <w:tcW w:w="683" w:type="dxa"/>
            <w:tcBorders>
              <w:top w:val="nil"/>
              <w:left w:val="nil"/>
              <w:bottom w:val="nil"/>
              <w:right w:val="nil"/>
            </w:tcBorders>
            <w:shd w:val="clear" w:color="auto" w:fill="auto"/>
            <w:noWrap/>
            <w:vAlign w:val="bottom"/>
            <w:hideMark/>
          </w:tcPr>
          <w:p w14:paraId="46CBE02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-1710</w:t>
            </w:r>
          </w:p>
        </w:tc>
        <w:tc>
          <w:tcPr>
            <w:tcW w:w="683" w:type="dxa"/>
            <w:tcBorders>
              <w:top w:val="nil"/>
              <w:left w:val="nil"/>
              <w:bottom w:val="nil"/>
              <w:right w:val="nil"/>
            </w:tcBorders>
            <w:shd w:val="clear" w:color="auto" w:fill="auto"/>
            <w:noWrap/>
            <w:vAlign w:val="bottom"/>
            <w:hideMark/>
          </w:tcPr>
          <w:p w14:paraId="16631FA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-619</w:t>
            </w:r>
          </w:p>
        </w:tc>
        <w:tc>
          <w:tcPr>
            <w:tcW w:w="806" w:type="dxa"/>
            <w:tcBorders>
              <w:top w:val="nil"/>
              <w:left w:val="nil"/>
              <w:bottom w:val="nil"/>
              <w:right w:val="nil"/>
            </w:tcBorders>
            <w:shd w:val="clear" w:color="auto" w:fill="auto"/>
            <w:noWrap/>
            <w:vAlign w:val="bottom"/>
            <w:hideMark/>
          </w:tcPr>
          <w:p w14:paraId="73C1D0D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-1020.5</w:t>
            </w:r>
          </w:p>
        </w:tc>
        <w:tc>
          <w:tcPr>
            <w:tcW w:w="683" w:type="dxa"/>
            <w:tcBorders>
              <w:top w:val="nil"/>
              <w:left w:val="nil"/>
              <w:bottom w:val="nil"/>
              <w:right w:val="nil"/>
            </w:tcBorders>
            <w:shd w:val="clear" w:color="auto" w:fill="auto"/>
            <w:noWrap/>
            <w:vAlign w:val="bottom"/>
            <w:hideMark/>
          </w:tcPr>
          <w:p w14:paraId="6D76728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-212.5</w:t>
            </w:r>
          </w:p>
        </w:tc>
        <w:tc>
          <w:tcPr>
            <w:tcW w:w="683" w:type="dxa"/>
            <w:tcBorders>
              <w:top w:val="nil"/>
              <w:left w:val="nil"/>
              <w:bottom w:val="nil"/>
              <w:right w:val="nil"/>
            </w:tcBorders>
            <w:shd w:val="clear" w:color="auto" w:fill="auto"/>
            <w:noWrap/>
            <w:vAlign w:val="bottom"/>
            <w:hideMark/>
          </w:tcPr>
          <w:p w14:paraId="74152A9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-1822</w:t>
            </w:r>
          </w:p>
        </w:tc>
        <w:tc>
          <w:tcPr>
            <w:tcW w:w="756" w:type="dxa"/>
            <w:tcBorders>
              <w:top w:val="nil"/>
              <w:left w:val="nil"/>
              <w:bottom w:val="nil"/>
              <w:right w:val="nil"/>
            </w:tcBorders>
            <w:shd w:val="clear" w:color="auto" w:fill="auto"/>
            <w:noWrap/>
            <w:vAlign w:val="bottom"/>
            <w:hideMark/>
          </w:tcPr>
          <w:p w14:paraId="6B10CD6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-10457</w:t>
            </w:r>
          </w:p>
        </w:tc>
        <w:tc>
          <w:tcPr>
            <w:tcW w:w="695" w:type="dxa"/>
            <w:tcBorders>
              <w:top w:val="nil"/>
              <w:left w:val="nil"/>
              <w:bottom w:val="nil"/>
              <w:right w:val="nil"/>
            </w:tcBorders>
            <w:shd w:val="clear" w:color="auto" w:fill="auto"/>
            <w:noWrap/>
            <w:vAlign w:val="bottom"/>
            <w:hideMark/>
          </w:tcPr>
          <w:p w14:paraId="7EA5F3A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728</w:t>
            </w:r>
          </w:p>
        </w:tc>
        <w:tc>
          <w:tcPr>
            <w:tcW w:w="695" w:type="dxa"/>
            <w:tcBorders>
              <w:top w:val="nil"/>
              <w:left w:val="nil"/>
              <w:bottom w:val="nil"/>
              <w:right w:val="nil"/>
            </w:tcBorders>
            <w:shd w:val="clear" w:color="auto" w:fill="auto"/>
            <w:noWrap/>
            <w:vAlign w:val="bottom"/>
            <w:hideMark/>
          </w:tcPr>
          <w:p w14:paraId="3F81A09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-722</w:t>
            </w:r>
          </w:p>
        </w:tc>
      </w:tr>
      <w:tr w:rsidR="00634ABA" w:rsidRPr="00986F85" w14:paraId="659BEAD2" w14:textId="77777777" w:rsidTr="00A078CF">
        <w:trPr>
          <w:trHeight w:val="284"/>
        </w:trPr>
        <w:tc>
          <w:tcPr>
            <w:tcW w:w="434" w:type="dxa"/>
            <w:vMerge/>
            <w:tcBorders>
              <w:top w:val="nil"/>
              <w:left w:val="nil"/>
              <w:bottom w:val="nil"/>
              <w:right w:val="nil"/>
            </w:tcBorders>
            <w:vAlign w:val="center"/>
            <w:hideMark/>
          </w:tcPr>
          <w:p w14:paraId="2CE4DB21" w14:textId="77777777" w:rsidR="00634ABA" w:rsidRPr="00986F85" w:rsidRDefault="00634ABA" w:rsidP="00476987">
            <w:pPr>
              <w:spacing w:after="0" w:line="240" w:lineRule="auto"/>
              <w:rPr>
                <w:rFonts w:eastAsia="Times New Roman"/>
                <w:color w:val="000000"/>
                <w:lang w:eastAsia="hu-HU"/>
              </w:rPr>
            </w:pPr>
          </w:p>
        </w:tc>
        <w:tc>
          <w:tcPr>
            <w:tcW w:w="1893" w:type="dxa"/>
            <w:tcBorders>
              <w:top w:val="nil"/>
              <w:left w:val="nil"/>
              <w:bottom w:val="nil"/>
              <w:right w:val="nil"/>
            </w:tcBorders>
            <w:shd w:val="clear" w:color="auto" w:fill="auto"/>
            <w:noWrap/>
            <w:vAlign w:val="bottom"/>
            <w:hideMark/>
          </w:tcPr>
          <w:p w14:paraId="62B742D9"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Egy foglalkoztatottra eső üzemi eredmény</w:t>
            </w:r>
          </w:p>
        </w:tc>
        <w:tc>
          <w:tcPr>
            <w:tcW w:w="683" w:type="dxa"/>
            <w:tcBorders>
              <w:top w:val="nil"/>
              <w:left w:val="nil"/>
              <w:bottom w:val="nil"/>
              <w:right w:val="nil"/>
            </w:tcBorders>
            <w:shd w:val="clear" w:color="auto" w:fill="auto"/>
            <w:noWrap/>
            <w:vAlign w:val="bottom"/>
            <w:hideMark/>
          </w:tcPr>
          <w:p w14:paraId="2B8C721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-24.3</w:t>
            </w:r>
          </w:p>
        </w:tc>
        <w:tc>
          <w:tcPr>
            <w:tcW w:w="756" w:type="dxa"/>
            <w:tcBorders>
              <w:top w:val="nil"/>
              <w:left w:val="nil"/>
              <w:bottom w:val="nil"/>
              <w:right w:val="nil"/>
            </w:tcBorders>
            <w:shd w:val="clear" w:color="auto" w:fill="auto"/>
            <w:noWrap/>
            <w:vAlign w:val="bottom"/>
            <w:hideMark/>
          </w:tcPr>
          <w:p w14:paraId="4601045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-688.9</w:t>
            </w:r>
          </w:p>
        </w:tc>
        <w:tc>
          <w:tcPr>
            <w:tcW w:w="683" w:type="dxa"/>
            <w:tcBorders>
              <w:top w:val="nil"/>
              <w:left w:val="nil"/>
              <w:bottom w:val="nil"/>
              <w:right w:val="nil"/>
            </w:tcBorders>
            <w:shd w:val="clear" w:color="auto" w:fill="auto"/>
            <w:noWrap/>
            <w:vAlign w:val="bottom"/>
            <w:hideMark/>
          </w:tcPr>
          <w:p w14:paraId="300F60D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-19.3</w:t>
            </w:r>
          </w:p>
        </w:tc>
        <w:tc>
          <w:tcPr>
            <w:tcW w:w="683" w:type="dxa"/>
            <w:tcBorders>
              <w:top w:val="nil"/>
              <w:left w:val="nil"/>
              <w:bottom w:val="nil"/>
              <w:right w:val="nil"/>
            </w:tcBorders>
            <w:shd w:val="clear" w:color="auto" w:fill="auto"/>
            <w:noWrap/>
            <w:vAlign w:val="bottom"/>
            <w:hideMark/>
          </w:tcPr>
          <w:p w14:paraId="59038BB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-76.4</w:t>
            </w:r>
          </w:p>
        </w:tc>
        <w:tc>
          <w:tcPr>
            <w:tcW w:w="683" w:type="dxa"/>
            <w:tcBorders>
              <w:top w:val="nil"/>
              <w:left w:val="nil"/>
              <w:bottom w:val="nil"/>
              <w:right w:val="nil"/>
            </w:tcBorders>
            <w:shd w:val="clear" w:color="auto" w:fill="auto"/>
            <w:noWrap/>
            <w:vAlign w:val="bottom"/>
            <w:hideMark/>
          </w:tcPr>
          <w:p w14:paraId="7813193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-10.5</w:t>
            </w:r>
          </w:p>
        </w:tc>
        <w:tc>
          <w:tcPr>
            <w:tcW w:w="683" w:type="dxa"/>
            <w:tcBorders>
              <w:top w:val="nil"/>
              <w:left w:val="nil"/>
              <w:bottom w:val="nil"/>
              <w:right w:val="nil"/>
            </w:tcBorders>
            <w:shd w:val="clear" w:color="auto" w:fill="auto"/>
            <w:noWrap/>
            <w:vAlign w:val="bottom"/>
            <w:hideMark/>
          </w:tcPr>
          <w:p w14:paraId="0FBAF58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49.9</w:t>
            </w:r>
          </w:p>
        </w:tc>
        <w:tc>
          <w:tcPr>
            <w:tcW w:w="683" w:type="dxa"/>
            <w:tcBorders>
              <w:top w:val="nil"/>
              <w:left w:val="nil"/>
              <w:bottom w:val="nil"/>
              <w:right w:val="nil"/>
            </w:tcBorders>
            <w:shd w:val="clear" w:color="auto" w:fill="auto"/>
            <w:noWrap/>
            <w:vAlign w:val="bottom"/>
            <w:hideMark/>
          </w:tcPr>
          <w:p w14:paraId="1269E57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-118</w:t>
            </w:r>
          </w:p>
        </w:tc>
        <w:tc>
          <w:tcPr>
            <w:tcW w:w="806" w:type="dxa"/>
            <w:tcBorders>
              <w:top w:val="nil"/>
              <w:left w:val="nil"/>
              <w:bottom w:val="nil"/>
              <w:right w:val="nil"/>
            </w:tcBorders>
            <w:shd w:val="clear" w:color="auto" w:fill="auto"/>
            <w:noWrap/>
            <w:vAlign w:val="bottom"/>
            <w:hideMark/>
          </w:tcPr>
          <w:p w14:paraId="0395645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-166.2</w:t>
            </w:r>
          </w:p>
        </w:tc>
        <w:tc>
          <w:tcPr>
            <w:tcW w:w="683" w:type="dxa"/>
            <w:tcBorders>
              <w:top w:val="nil"/>
              <w:left w:val="nil"/>
              <w:bottom w:val="nil"/>
              <w:right w:val="nil"/>
            </w:tcBorders>
            <w:shd w:val="clear" w:color="auto" w:fill="auto"/>
            <w:noWrap/>
            <w:vAlign w:val="bottom"/>
            <w:hideMark/>
          </w:tcPr>
          <w:p w14:paraId="15365FF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-158.7</w:t>
            </w:r>
          </w:p>
        </w:tc>
        <w:tc>
          <w:tcPr>
            <w:tcW w:w="683" w:type="dxa"/>
            <w:tcBorders>
              <w:top w:val="nil"/>
              <w:left w:val="nil"/>
              <w:bottom w:val="nil"/>
              <w:right w:val="nil"/>
            </w:tcBorders>
            <w:shd w:val="clear" w:color="auto" w:fill="auto"/>
            <w:noWrap/>
            <w:vAlign w:val="bottom"/>
            <w:hideMark/>
          </w:tcPr>
          <w:p w14:paraId="620BD60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255.9</w:t>
            </w:r>
          </w:p>
        </w:tc>
        <w:tc>
          <w:tcPr>
            <w:tcW w:w="806" w:type="dxa"/>
            <w:tcBorders>
              <w:top w:val="nil"/>
              <w:left w:val="nil"/>
              <w:bottom w:val="nil"/>
              <w:right w:val="nil"/>
            </w:tcBorders>
            <w:shd w:val="clear" w:color="auto" w:fill="auto"/>
            <w:noWrap/>
            <w:vAlign w:val="bottom"/>
            <w:hideMark/>
          </w:tcPr>
          <w:p w14:paraId="7B1EA1D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922.2</w:t>
            </w:r>
          </w:p>
        </w:tc>
        <w:tc>
          <w:tcPr>
            <w:tcW w:w="806" w:type="dxa"/>
            <w:tcBorders>
              <w:top w:val="nil"/>
              <w:left w:val="nil"/>
              <w:bottom w:val="nil"/>
              <w:right w:val="nil"/>
            </w:tcBorders>
            <w:shd w:val="clear" w:color="auto" w:fill="auto"/>
            <w:noWrap/>
            <w:vAlign w:val="bottom"/>
            <w:hideMark/>
          </w:tcPr>
          <w:p w14:paraId="613359A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-400.4</w:t>
            </w:r>
          </w:p>
        </w:tc>
        <w:tc>
          <w:tcPr>
            <w:tcW w:w="683" w:type="dxa"/>
            <w:tcBorders>
              <w:top w:val="nil"/>
              <w:left w:val="nil"/>
              <w:bottom w:val="nil"/>
              <w:right w:val="nil"/>
            </w:tcBorders>
            <w:shd w:val="clear" w:color="auto" w:fill="auto"/>
            <w:noWrap/>
            <w:vAlign w:val="bottom"/>
            <w:hideMark/>
          </w:tcPr>
          <w:p w14:paraId="0A03E78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-239.9</w:t>
            </w:r>
          </w:p>
        </w:tc>
        <w:tc>
          <w:tcPr>
            <w:tcW w:w="683" w:type="dxa"/>
            <w:tcBorders>
              <w:top w:val="nil"/>
              <w:left w:val="nil"/>
              <w:bottom w:val="nil"/>
              <w:right w:val="nil"/>
            </w:tcBorders>
            <w:shd w:val="clear" w:color="auto" w:fill="auto"/>
            <w:noWrap/>
            <w:vAlign w:val="bottom"/>
            <w:hideMark/>
          </w:tcPr>
          <w:p w14:paraId="52D65A9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-122.6</w:t>
            </w:r>
          </w:p>
        </w:tc>
        <w:tc>
          <w:tcPr>
            <w:tcW w:w="806" w:type="dxa"/>
            <w:tcBorders>
              <w:top w:val="nil"/>
              <w:left w:val="nil"/>
              <w:bottom w:val="nil"/>
              <w:right w:val="nil"/>
            </w:tcBorders>
            <w:shd w:val="clear" w:color="auto" w:fill="auto"/>
            <w:noWrap/>
            <w:vAlign w:val="bottom"/>
            <w:hideMark/>
          </w:tcPr>
          <w:p w14:paraId="045F562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-87</w:t>
            </w:r>
          </w:p>
        </w:tc>
        <w:tc>
          <w:tcPr>
            <w:tcW w:w="683" w:type="dxa"/>
            <w:tcBorders>
              <w:top w:val="nil"/>
              <w:left w:val="nil"/>
              <w:bottom w:val="nil"/>
              <w:right w:val="nil"/>
            </w:tcBorders>
            <w:shd w:val="clear" w:color="auto" w:fill="auto"/>
            <w:noWrap/>
            <w:vAlign w:val="bottom"/>
            <w:hideMark/>
          </w:tcPr>
          <w:p w14:paraId="587938E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-36.5</w:t>
            </w:r>
          </w:p>
        </w:tc>
        <w:tc>
          <w:tcPr>
            <w:tcW w:w="683" w:type="dxa"/>
            <w:tcBorders>
              <w:top w:val="nil"/>
              <w:left w:val="nil"/>
              <w:bottom w:val="nil"/>
              <w:right w:val="nil"/>
            </w:tcBorders>
            <w:shd w:val="clear" w:color="auto" w:fill="auto"/>
            <w:noWrap/>
            <w:vAlign w:val="bottom"/>
            <w:hideMark/>
          </w:tcPr>
          <w:p w14:paraId="3D89309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-206.2</w:t>
            </w:r>
          </w:p>
        </w:tc>
        <w:tc>
          <w:tcPr>
            <w:tcW w:w="756" w:type="dxa"/>
            <w:tcBorders>
              <w:top w:val="nil"/>
              <w:left w:val="nil"/>
              <w:bottom w:val="nil"/>
              <w:right w:val="nil"/>
            </w:tcBorders>
            <w:shd w:val="clear" w:color="auto" w:fill="auto"/>
            <w:noWrap/>
            <w:vAlign w:val="bottom"/>
            <w:hideMark/>
          </w:tcPr>
          <w:p w14:paraId="5318F00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-609</w:t>
            </w:r>
          </w:p>
        </w:tc>
        <w:tc>
          <w:tcPr>
            <w:tcW w:w="695" w:type="dxa"/>
            <w:tcBorders>
              <w:top w:val="nil"/>
              <w:left w:val="nil"/>
              <w:bottom w:val="nil"/>
              <w:right w:val="nil"/>
            </w:tcBorders>
            <w:shd w:val="clear" w:color="auto" w:fill="auto"/>
            <w:noWrap/>
            <w:vAlign w:val="bottom"/>
            <w:hideMark/>
          </w:tcPr>
          <w:p w14:paraId="7EBE50E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48.1</w:t>
            </w:r>
          </w:p>
        </w:tc>
        <w:tc>
          <w:tcPr>
            <w:tcW w:w="695" w:type="dxa"/>
            <w:tcBorders>
              <w:top w:val="nil"/>
              <w:left w:val="nil"/>
              <w:bottom w:val="nil"/>
              <w:right w:val="nil"/>
            </w:tcBorders>
            <w:shd w:val="clear" w:color="auto" w:fill="auto"/>
            <w:noWrap/>
            <w:vAlign w:val="bottom"/>
            <w:hideMark/>
          </w:tcPr>
          <w:p w14:paraId="6633A05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-62</w:t>
            </w:r>
          </w:p>
        </w:tc>
      </w:tr>
      <w:tr w:rsidR="00634ABA" w:rsidRPr="00986F85" w14:paraId="2DBAADDF" w14:textId="77777777" w:rsidTr="00A078CF">
        <w:trPr>
          <w:trHeight w:val="284"/>
        </w:trPr>
        <w:tc>
          <w:tcPr>
            <w:tcW w:w="434" w:type="dxa"/>
            <w:vMerge/>
            <w:tcBorders>
              <w:top w:val="nil"/>
              <w:left w:val="nil"/>
              <w:bottom w:val="nil"/>
              <w:right w:val="nil"/>
            </w:tcBorders>
            <w:vAlign w:val="center"/>
            <w:hideMark/>
          </w:tcPr>
          <w:p w14:paraId="298C6EBB" w14:textId="77777777" w:rsidR="00634ABA" w:rsidRPr="00986F85" w:rsidRDefault="00634ABA" w:rsidP="00476987">
            <w:pPr>
              <w:spacing w:after="0" w:line="240" w:lineRule="auto"/>
              <w:rPr>
                <w:rFonts w:eastAsia="Times New Roman"/>
                <w:color w:val="000000"/>
                <w:lang w:eastAsia="hu-HU"/>
              </w:rPr>
            </w:pPr>
          </w:p>
        </w:tc>
        <w:tc>
          <w:tcPr>
            <w:tcW w:w="1893" w:type="dxa"/>
            <w:tcBorders>
              <w:top w:val="nil"/>
              <w:left w:val="nil"/>
              <w:bottom w:val="nil"/>
              <w:right w:val="nil"/>
            </w:tcBorders>
            <w:shd w:val="clear" w:color="auto" w:fill="auto"/>
            <w:noWrap/>
            <w:vAlign w:val="bottom"/>
            <w:hideMark/>
          </w:tcPr>
          <w:p w14:paraId="0B80B9C1"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Hozzáadott érték</w:t>
            </w:r>
          </w:p>
        </w:tc>
        <w:tc>
          <w:tcPr>
            <w:tcW w:w="683" w:type="dxa"/>
            <w:tcBorders>
              <w:top w:val="nil"/>
              <w:left w:val="nil"/>
              <w:bottom w:val="nil"/>
              <w:right w:val="nil"/>
            </w:tcBorders>
            <w:shd w:val="clear" w:color="auto" w:fill="auto"/>
            <w:noWrap/>
            <w:vAlign w:val="bottom"/>
            <w:hideMark/>
          </w:tcPr>
          <w:p w14:paraId="6462CEF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-2888</w:t>
            </w:r>
          </w:p>
        </w:tc>
        <w:tc>
          <w:tcPr>
            <w:tcW w:w="756" w:type="dxa"/>
            <w:tcBorders>
              <w:top w:val="nil"/>
              <w:left w:val="nil"/>
              <w:bottom w:val="nil"/>
              <w:right w:val="nil"/>
            </w:tcBorders>
            <w:shd w:val="clear" w:color="auto" w:fill="auto"/>
            <w:noWrap/>
            <w:vAlign w:val="bottom"/>
            <w:hideMark/>
          </w:tcPr>
          <w:p w14:paraId="3DAAE03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-14827</w:t>
            </w:r>
          </w:p>
        </w:tc>
        <w:tc>
          <w:tcPr>
            <w:tcW w:w="683" w:type="dxa"/>
            <w:tcBorders>
              <w:top w:val="nil"/>
              <w:left w:val="nil"/>
              <w:bottom w:val="nil"/>
              <w:right w:val="nil"/>
            </w:tcBorders>
            <w:shd w:val="clear" w:color="auto" w:fill="auto"/>
            <w:noWrap/>
            <w:vAlign w:val="bottom"/>
            <w:hideMark/>
          </w:tcPr>
          <w:p w14:paraId="5F68ECA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-1717</w:t>
            </w:r>
          </w:p>
        </w:tc>
        <w:tc>
          <w:tcPr>
            <w:tcW w:w="683" w:type="dxa"/>
            <w:tcBorders>
              <w:top w:val="nil"/>
              <w:left w:val="nil"/>
              <w:bottom w:val="nil"/>
              <w:right w:val="nil"/>
            </w:tcBorders>
            <w:shd w:val="clear" w:color="auto" w:fill="auto"/>
            <w:noWrap/>
            <w:vAlign w:val="bottom"/>
            <w:hideMark/>
          </w:tcPr>
          <w:p w14:paraId="574ADB5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-4536</w:t>
            </w:r>
          </w:p>
        </w:tc>
        <w:tc>
          <w:tcPr>
            <w:tcW w:w="683" w:type="dxa"/>
            <w:tcBorders>
              <w:top w:val="nil"/>
              <w:left w:val="nil"/>
              <w:bottom w:val="nil"/>
              <w:right w:val="nil"/>
            </w:tcBorders>
            <w:shd w:val="clear" w:color="auto" w:fill="auto"/>
            <w:noWrap/>
            <w:vAlign w:val="bottom"/>
            <w:hideMark/>
          </w:tcPr>
          <w:p w14:paraId="6DCD864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-3051</w:t>
            </w:r>
          </w:p>
        </w:tc>
        <w:tc>
          <w:tcPr>
            <w:tcW w:w="683" w:type="dxa"/>
            <w:tcBorders>
              <w:top w:val="nil"/>
              <w:left w:val="nil"/>
              <w:bottom w:val="nil"/>
              <w:right w:val="nil"/>
            </w:tcBorders>
            <w:shd w:val="clear" w:color="auto" w:fill="auto"/>
            <w:noWrap/>
            <w:vAlign w:val="bottom"/>
            <w:hideMark/>
          </w:tcPr>
          <w:p w14:paraId="00A60ED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644</w:t>
            </w:r>
          </w:p>
        </w:tc>
        <w:tc>
          <w:tcPr>
            <w:tcW w:w="683" w:type="dxa"/>
            <w:tcBorders>
              <w:top w:val="nil"/>
              <w:left w:val="nil"/>
              <w:bottom w:val="nil"/>
              <w:right w:val="nil"/>
            </w:tcBorders>
            <w:shd w:val="clear" w:color="auto" w:fill="auto"/>
            <w:noWrap/>
            <w:vAlign w:val="bottom"/>
            <w:hideMark/>
          </w:tcPr>
          <w:p w14:paraId="7D932F7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-5955</w:t>
            </w:r>
          </w:p>
        </w:tc>
        <w:tc>
          <w:tcPr>
            <w:tcW w:w="806" w:type="dxa"/>
            <w:tcBorders>
              <w:top w:val="nil"/>
              <w:left w:val="nil"/>
              <w:bottom w:val="nil"/>
              <w:right w:val="nil"/>
            </w:tcBorders>
            <w:shd w:val="clear" w:color="auto" w:fill="auto"/>
            <w:noWrap/>
            <w:vAlign w:val="bottom"/>
            <w:hideMark/>
          </w:tcPr>
          <w:p w14:paraId="12916D6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-9891</w:t>
            </w:r>
          </w:p>
        </w:tc>
        <w:tc>
          <w:tcPr>
            <w:tcW w:w="683" w:type="dxa"/>
            <w:tcBorders>
              <w:top w:val="nil"/>
              <w:left w:val="nil"/>
              <w:bottom w:val="nil"/>
              <w:right w:val="nil"/>
            </w:tcBorders>
            <w:shd w:val="clear" w:color="auto" w:fill="auto"/>
            <w:noWrap/>
            <w:vAlign w:val="bottom"/>
            <w:hideMark/>
          </w:tcPr>
          <w:p w14:paraId="702001F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-4014</w:t>
            </w:r>
          </w:p>
        </w:tc>
        <w:tc>
          <w:tcPr>
            <w:tcW w:w="683" w:type="dxa"/>
            <w:tcBorders>
              <w:top w:val="nil"/>
              <w:left w:val="nil"/>
              <w:bottom w:val="nil"/>
              <w:right w:val="nil"/>
            </w:tcBorders>
            <w:shd w:val="clear" w:color="auto" w:fill="auto"/>
            <w:noWrap/>
            <w:vAlign w:val="bottom"/>
            <w:hideMark/>
          </w:tcPr>
          <w:p w14:paraId="16F8DF0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-5754</w:t>
            </w:r>
          </w:p>
        </w:tc>
        <w:tc>
          <w:tcPr>
            <w:tcW w:w="806" w:type="dxa"/>
            <w:tcBorders>
              <w:top w:val="nil"/>
              <w:left w:val="nil"/>
              <w:bottom w:val="nil"/>
              <w:right w:val="nil"/>
            </w:tcBorders>
            <w:shd w:val="clear" w:color="auto" w:fill="auto"/>
            <w:noWrap/>
            <w:vAlign w:val="bottom"/>
            <w:hideMark/>
          </w:tcPr>
          <w:p w14:paraId="649148F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10132</w:t>
            </w:r>
          </w:p>
        </w:tc>
        <w:tc>
          <w:tcPr>
            <w:tcW w:w="806" w:type="dxa"/>
            <w:tcBorders>
              <w:top w:val="nil"/>
              <w:left w:val="nil"/>
              <w:bottom w:val="nil"/>
              <w:right w:val="nil"/>
            </w:tcBorders>
            <w:shd w:val="clear" w:color="auto" w:fill="auto"/>
            <w:noWrap/>
            <w:vAlign w:val="bottom"/>
            <w:hideMark/>
          </w:tcPr>
          <w:p w14:paraId="34AA014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-4330</w:t>
            </w:r>
          </w:p>
        </w:tc>
        <w:tc>
          <w:tcPr>
            <w:tcW w:w="683" w:type="dxa"/>
            <w:tcBorders>
              <w:top w:val="nil"/>
              <w:left w:val="nil"/>
              <w:bottom w:val="nil"/>
              <w:right w:val="nil"/>
            </w:tcBorders>
            <w:shd w:val="clear" w:color="auto" w:fill="auto"/>
            <w:noWrap/>
            <w:vAlign w:val="bottom"/>
            <w:hideMark/>
          </w:tcPr>
          <w:p w14:paraId="78FEF14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-4127</w:t>
            </w:r>
          </w:p>
        </w:tc>
        <w:tc>
          <w:tcPr>
            <w:tcW w:w="683" w:type="dxa"/>
            <w:tcBorders>
              <w:top w:val="nil"/>
              <w:left w:val="nil"/>
              <w:bottom w:val="nil"/>
              <w:right w:val="nil"/>
            </w:tcBorders>
            <w:shd w:val="clear" w:color="auto" w:fill="auto"/>
            <w:noWrap/>
            <w:vAlign w:val="bottom"/>
            <w:hideMark/>
          </w:tcPr>
          <w:p w14:paraId="677C1D3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-1872</w:t>
            </w:r>
          </w:p>
        </w:tc>
        <w:tc>
          <w:tcPr>
            <w:tcW w:w="806" w:type="dxa"/>
            <w:tcBorders>
              <w:top w:val="nil"/>
              <w:left w:val="nil"/>
              <w:bottom w:val="nil"/>
              <w:right w:val="nil"/>
            </w:tcBorders>
            <w:shd w:val="clear" w:color="auto" w:fill="auto"/>
            <w:noWrap/>
            <w:vAlign w:val="bottom"/>
            <w:hideMark/>
          </w:tcPr>
          <w:p w14:paraId="1F7AC08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-2173.5</w:t>
            </w:r>
          </w:p>
        </w:tc>
        <w:tc>
          <w:tcPr>
            <w:tcW w:w="683" w:type="dxa"/>
            <w:tcBorders>
              <w:top w:val="nil"/>
              <w:left w:val="nil"/>
              <w:bottom w:val="nil"/>
              <w:right w:val="nil"/>
            </w:tcBorders>
            <w:shd w:val="clear" w:color="auto" w:fill="auto"/>
            <w:noWrap/>
            <w:vAlign w:val="bottom"/>
            <w:hideMark/>
          </w:tcPr>
          <w:p w14:paraId="4339795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-3078</w:t>
            </w:r>
          </w:p>
        </w:tc>
        <w:tc>
          <w:tcPr>
            <w:tcW w:w="683" w:type="dxa"/>
            <w:tcBorders>
              <w:top w:val="nil"/>
              <w:left w:val="nil"/>
              <w:bottom w:val="nil"/>
              <w:right w:val="nil"/>
            </w:tcBorders>
            <w:shd w:val="clear" w:color="auto" w:fill="auto"/>
            <w:noWrap/>
            <w:vAlign w:val="bottom"/>
            <w:hideMark/>
          </w:tcPr>
          <w:p w14:paraId="0EF137E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-3662</w:t>
            </w:r>
          </w:p>
        </w:tc>
        <w:tc>
          <w:tcPr>
            <w:tcW w:w="756" w:type="dxa"/>
            <w:tcBorders>
              <w:top w:val="nil"/>
              <w:left w:val="nil"/>
              <w:bottom w:val="nil"/>
              <w:right w:val="nil"/>
            </w:tcBorders>
            <w:shd w:val="clear" w:color="auto" w:fill="auto"/>
            <w:noWrap/>
            <w:vAlign w:val="bottom"/>
            <w:hideMark/>
          </w:tcPr>
          <w:p w14:paraId="56FA7A5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-10952</w:t>
            </w:r>
          </w:p>
        </w:tc>
        <w:tc>
          <w:tcPr>
            <w:tcW w:w="695" w:type="dxa"/>
            <w:tcBorders>
              <w:top w:val="nil"/>
              <w:left w:val="nil"/>
              <w:bottom w:val="nil"/>
              <w:right w:val="nil"/>
            </w:tcBorders>
            <w:shd w:val="clear" w:color="auto" w:fill="auto"/>
            <w:noWrap/>
            <w:vAlign w:val="bottom"/>
            <w:hideMark/>
          </w:tcPr>
          <w:p w14:paraId="6233A11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7065</w:t>
            </w:r>
          </w:p>
        </w:tc>
        <w:tc>
          <w:tcPr>
            <w:tcW w:w="695" w:type="dxa"/>
            <w:tcBorders>
              <w:top w:val="nil"/>
              <w:left w:val="nil"/>
              <w:bottom w:val="nil"/>
              <w:right w:val="nil"/>
            </w:tcBorders>
            <w:shd w:val="clear" w:color="auto" w:fill="auto"/>
            <w:noWrap/>
            <w:vAlign w:val="bottom"/>
            <w:hideMark/>
          </w:tcPr>
          <w:p w14:paraId="71B7A82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-3285</w:t>
            </w:r>
          </w:p>
        </w:tc>
      </w:tr>
      <w:tr w:rsidR="00634ABA" w:rsidRPr="00986F85" w14:paraId="5EDA874C" w14:textId="77777777" w:rsidTr="00A078CF">
        <w:trPr>
          <w:trHeight w:val="284"/>
        </w:trPr>
        <w:tc>
          <w:tcPr>
            <w:tcW w:w="434" w:type="dxa"/>
            <w:vMerge/>
            <w:tcBorders>
              <w:top w:val="nil"/>
              <w:left w:val="nil"/>
              <w:bottom w:val="nil"/>
              <w:right w:val="nil"/>
            </w:tcBorders>
            <w:vAlign w:val="center"/>
            <w:hideMark/>
          </w:tcPr>
          <w:p w14:paraId="6DAD056C" w14:textId="77777777" w:rsidR="00634ABA" w:rsidRPr="00986F85" w:rsidRDefault="00634ABA" w:rsidP="00476987">
            <w:pPr>
              <w:spacing w:after="0" w:line="240" w:lineRule="auto"/>
              <w:rPr>
                <w:rFonts w:eastAsia="Times New Roman"/>
                <w:color w:val="000000"/>
                <w:lang w:eastAsia="hu-HU"/>
              </w:rPr>
            </w:pPr>
          </w:p>
        </w:tc>
        <w:tc>
          <w:tcPr>
            <w:tcW w:w="1893" w:type="dxa"/>
            <w:tcBorders>
              <w:top w:val="nil"/>
              <w:left w:val="nil"/>
              <w:bottom w:val="nil"/>
              <w:right w:val="nil"/>
            </w:tcBorders>
            <w:shd w:val="clear" w:color="auto" w:fill="auto"/>
            <w:noWrap/>
            <w:vAlign w:val="bottom"/>
            <w:hideMark/>
          </w:tcPr>
          <w:p w14:paraId="21B5F008"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Egy foglalkoztatottra eső hozzáadott érték</w:t>
            </w:r>
          </w:p>
        </w:tc>
        <w:tc>
          <w:tcPr>
            <w:tcW w:w="683" w:type="dxa"/>
            <w:tcBorders>
              <w:top w:val="nil"/>
              <w:left w:val="nil"/>
              <w:bottom w:val="nil"/>
              <w:right w:val="nil"/>
            </w:tcBorders>
            <w:shd w:val="clear" w:color="auto" w:fill="auto"/>
            <w:noWrap/>
            <w:vAlign w:val="bottom"/>
            <w:hideMark/>
          </w:tcPr>
          <w:p w14:paraId="5BC616A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229.8</w:t>
            </w:r>
          </w:p>
        </w:tc>
        <w:tc>
          <w:tcPr>
            <w:tcW w:w="756" w:type="dxa"/>
            <w:tcBorders>
              <w:top w:val="nil"/>
              <w:left w:val="nil"/>
              <w:bottom w:val="nil"/>
              <w:right w:val="nil"/>
            </w:tcBorders>
            <w:shd w:val="clear" w:color="auto" w:fill="auto"/>
            <w:noWrap/>
            <w:vAlign w:val="bottom"/>
            <w:hideMark/>
          </w:tcPr>
          <w:p w14:paraId="5960FEC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-605.5</w:t>
            </w:r>
          </w:p>
        </w:tc>
        <w:tc>
          <w:tcPr>
            <w:tcW w:w="683" w:type="dxa"/>
            <w:tcBorders>
              <w:top w:val="nil"/>
              <w:left w:val="nil"/>
              <w:bottom w:val="nil"/>
              <w:right w:val="nil"/>
            </w:tcBorders>
            <w:shd w:val="clear" w:color="auto" w:fill="auto"/>
            <w:noWrap/>
            <w:vAlign w:val="bottom"/>
            <w:hideMark/>
          </w:tcPr>
          <w:p w14:paraId="791A216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198.2</w:t>
            </w:r>
          </w:p>
        </w:tc>
        <w:tc>
          <w:tcPr>
            <w:tcW w:w="683" w:type="dxa"/>
            <w:tcBorders>
              <w:top w:val="nil"/>
              <w:left w:val="nil"/>
              <w:bottom w:val="nil"/>
              <w:right w:val="nil"/>
            </w:tcBorders>
            <w:shd w:val="clear" w:color="auto" w:fill="auto"/>
            <w:noWrap/>
            <w:vAlign w:val="bottom"/>
            <w:hideMark/>
          </w:tcPr>
          <w:p w14:paraId="7A7F7C5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162.5</w:t>
            </w:r>
          </w:p>
        </w:tc>
        <w:tc>
          <w:tcPr>
            <w:tcW w:w="683" w:type="dxa"/>
            <w:tcBorders>
              <w:top w:val="nil"/>
              <w:left w:val="nil"/>
              <w:bottom w:val="nil"/>
              <w:right w:val="nil"/>
            </w:tcBorders>
            <w:shd w:val="clear" w:color="auto" w:fill="auto"/>
            <w:noWrap/>
            <w:vAlign w:val="bottom"/>
            <w:hideMark/>
          </w:tcPr>
          <w:p w14:paraId="07D1602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202.1</w:t>
            </w:r>
          </w:p>
        </w:tc>
        <w:tc>
          <w:tcPr>
            <w:tcW w:w="683" w:type="dxa"/>
            <w:tcBorders>
              <w:top w:val="nil"/>
              <w:left w:val="nil"/>
              <w:bottom w:val="nil"/>
              <w:right w:val="nil"/>
            </w:tcBorders>
            <w:shd w:val="clear" w:color="auto" w:fill="auto"/>
            <w:noWrap/>
            <w:vAlign w:val="bottom"/>
            <w:hideMark/>
          </w:tcPr>
          <w:p w14:paraId="0663B17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342.8</w:t>
            </w:r>
          </w:p>
        </w:tc>
        <w:tc>
          <w:tcPr>
            <w:tcW w:w="683" w:type="dxa"/>
            <w:tcBorders>
              <w:top w:val="nil"/>
              <w:left w:val="nil"/>
              <w:bottom w:val="nil"/>
              <w:right w:val="nil"/>
            </w:tcBorders>
            <w:shd w:val="clear" w:color="auto" w:fill="auto"/>
            <w:noWrap/>
            <w:vAlign w:val="bottom"/>
            <w:hideMark/>
          </w:tcPr>
          <w:p w14:paraId="399AB84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96.2</w:t>
            </w:r>
          </w:p>
        </w:tc>
        <w:tc>
          <w:tcPr>
            <w:tcW w:w="806" w:type="dxa"/>
            <w:tcBorders>
              <w:top w:val="nil"/>
              <w:left w:val="nil"/>
              <w:bottom w:val="nil"/>
              <w:right w:val="nil"/>
            </w:tcBorders>
            <w:shd w:val="clear" w:color="auto" w:fill="auto"/>
            <w:noWrap/>
            <w:vAlign w:val="bottom"/>
            <w:hideMark/>
          </w:tcPr>
          <w:p w14:paraId="7F9D5F0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-53.2</w:t>
            </w:r>
          </w:p>
        </w:tc>
        <w:tc>
          <w:tcPr>
            <w:tcW w:w="683" w:type="dxa"/>
            <w:tcBorders>
              <w:top w:val="nil"/>
              <w:left w:val="nil"/>
              <w:bottom w:val="nil"/>
              <w:right w:val="nil"/>
            </w:tcBorders>
            <w:shd w:val="clear" w:color="auto" w:fill="auto"/>
            <w:noWrap/>
            <w:vAlign w:val="bottom"/>
            <w:hideMark/>
          </w:tcPr>
          <w:p w14:paraId="53536F7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2.2</w:t>
            </w:r>
          </w:p>
        </w:tc>
        <w:tc>
          <w:tcPr>
            <w:tcW w:w="683" w:type="dxa"/>
            <w:tcBorders>
              <w:top w:val="nil"/>
              <w:left w:val="nil"/>
              <w:bottom w:val="nil"/>
              <w:right w:val="nil"/>
            </w:tcBorders>
            <w:shd w:val="clear" w:color="auto" w:fill="auto"/>
            <w:noWrap/>
            <w:vAlign w:val="bottom"/>
            <w:hideMark/>
          </w:tcPr>
          <w:p w14:paraId="42E77BC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627.3</w:t>
            </w:r>
          </w:p>
        </w:tc>
        <w:tc>
          <w:tcPr>
            <w:tcW w:w="806" w:type="dxa"/>
            <w:tcBorders>
              <w:top w:val="nil"/>
              <w:left w:val="nil"/>
              <w:bottom w:val="nil"/>
              <w:right w:val="nil"/>
            </w:tcBorders>
            <w:shd w:val="clear" w:color="auto" w:fill="auto"/>
            <w:noWrap/>
            <w:vAlign w:val="bottom"/>
            <w:hideMark/>
          </w:tcPr>
          <w:p w14:paraId="458525F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1439.6</w:t>
            </w:r>
          </w:p>
        </w:tc>
        <w:tc>
          <w:tcPr>
            <w:tcW w:w="806" w:type="dxa"/>
            <w:tcBorders>
              <w:top w:val="nil"/>
              <w:left w:val="nil"/>
              <w:bottom w:val="nil"/>
              <w:right w:val="nil"/>
            </w:tcBorders>
            <w:shd w:val="clear" w:color="auto" w:fill="auto"/>
            <w:noWrap/>
            <w:vAlign w:val="bottom"/>
            <w:hideMark/>
          </w:tcPr>
          <w:p w14:paraId="200E3AF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-210.7</w:t>
            </w:r>
          </w:p>
        </w:tc>
        <w:tc>
          <w:tcPr>
            <w:tcW w:w="683" w:type="dxa"/>
            <w:tcBorders>
              <w:top w:val="nil"/>
              <w:left w:val="nil"/>
              <w:bottom w:val="nil"/>
              <w:right w:val="nil"/>
            </w:tcBorders>
            <w:shd w:val="clear" w:color="auto" w:fill="auto"/>
            <w:noWrap/>
            <w:vAlign w:val="bottom"/>
            <w:hideMark/>
          </w:tcPr>
          <w:p w14:paraId="5CF7EA9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325.2</w:t>
            </w:r>
          </w:p>
        </w:tc>
        <w:tc>
          <w:tcPr>
            <w:tcW w:w="683" w:type="dxa"/>
            <w:tcBorders>
              <w:top w:val="nil"/>
              <w:left w:val="nil"/>
              <w:bottom w:val="nil"/>
              <w:right w:val="nil"/>
            </w:tcBorders>
            <w:shd w:val="clear" w:color="auto" w:fill="auto"/>
            <w:noWrap/>
            <w:vAlign w:val="bottom"/>
            <w:hideMark/>
          </w:tcPr>
          <w:p w14:paraId="2DEFA82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19.9</w:t>
            </w:r>
          </w:p>
        </w:tc>
        <w:tc>
          <w:tcPr>
            <w:tcW w:w="806" w:type="dxa"/>
            <w:tcBorders>
              <w:top w:val="nil"/>
              <w:left w:val="nil"/>
              <w:bottom w:val="nil"/>
              <w:right w:val="nil"/>
            </w:tcBorders>
            <w:shd w:val="clear" w:color="auto" w:fill="auto"/>
            <w:noWrap/>
            <w:vAlign w:val="bottom"/>
            <w:hideMark/>
          </w:tcPr>
          <w:p w14:paraId="5E12BF5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289.5</w:t>
            </w:r>
          </w:p>
        </w:tc>
        <w:tc>
          <w:tcPr>
            <w:tcW w:w="683" w:type="dxa"/>
            <w:tcBorders>
              <w:top w:val="nil"/>
              <w:left w:val="nil"/>
              <w:bottom w:val="nil"/>
              <w:right w:val="nil"/>
            </w:tcBorders>
            <w:shd w:val="clear" w:color="auto" w:fill="auto"/>
            <w:noWrap/>
            <w:vAlign w:val="bottom"/>
            <w:hideMark/>
          </w:tcPr>
          <w:p w14:paraId="1042C73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40.9</w:t>
            </w:r>
          </w:p>
        </w:tc>
        <w:tc>
          <w:tcPr>
            <w:tcW w:w="683" w:type="dxa"/>
            <w:tcBorders>
              <w:top w:val="nil"/>
              <w:left w:val="nil"/>
              <w:bottom w:val="nil"/>
              <w:right w:val="nil"/>
            </w:tcBorders>
            <w:shd w:val="clear" w:color="auto" w:fill="auto"/>
            <w:noWrap/>
            <w:vAlign w:val="bottom"/>
            <w:hideMark/>
          </w:tcPr>
          <w:p w14:paraId="6CE170A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31.1</w:t>
            </w:r>
          </w:p>
        </w:tc>
        <w:tc>
          <w:tcPr>
            <w:tcW w:w="756" w:type="dxa"/>
            <w:tcBorders>
              <w:top w:val="nil"/>
              <w:left w:val="nil"/>
              <w:bottom w:val="nil"/>
              <w:right w:val="nil"/>
            </w:tcBorders>
            <w:shd w:val="clear" w:color="auto" w:fill="auto"/>
            <w:noWrap/>
            <w:vAlign w:val="bottom"/>
            <w:hideMark/>
          </w:tcPr>
          <w:p w14:paraId="1FACAC0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-0.3</w:t>
            </w:r>
          </w:p>
        </w:tc>
        <w:tc>
          <w:tcPr>
            <w:tcW w:w="695" w:type="dxa"/>
            <w:tcBorders>
              <w:top w:val="nil"/>
              <w:left w:val="nil"/>
              <w:bottom w:val="nil"/>
              <w:right w:val="nil"/>
            </w:tcBorders>
            <w:shd w:val="clear" w:color="auto" w:fill="auto"/>
            <w:noWrap/>
            <w:vAlign w:val="bottom"/>
            <w:hideMark/>
          </w:tcPr>
          <w:p w14:paraId="3E50B39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738.1</w:t>
            </w:r>
          </w:p>
        </w:tc>
        <w:tc>
          <w:tcPr>
            <w:tcW w:w="695" w:type="dxa"/>
            <w:tcBorders>
              <w:top w:val="nil"/>
              <w:left w:val="nil"/>
              <w:bottom w:val="nil"/>
              <w:right w:val="nil"/>
            </w:tcBorders>
            <w:shd w:val="clear" w:color="auto" w:fill="auto"/>
            <w:noWrap/>
            <w:vAlign w:val="bottom"/>
            <w:hideMark/>
          </w:tcPr>
          <w:p w14:paraId="39070F1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159.8</w:t>
            </w:r>
          </w:p>
        </w:tc>
      </w:tr>
      <w:tr w:rsidR="00634ABA" w:rsidRPr="00986F85" w14:paraId="6D103A19" w14:textId="77777777" w:rsidTr="00A078CF">
        <w:trPr>
          <w:trHeight w:val="284"/>
        </w:trPr>
        <w:tc>
          <w:tcPr>
            <w:tcW w:w="434" w:type="dxa"/>
            <w:vMerge/>
            <w:tcBorders>
              <w:top w:val="nil"/>
              <w:left w:val="nil"/>
              <w:bottom w:val="nil"/>
              <w:right w:val="nil"/>
            </w:tcBorders>
            <w:vAlign w:val="center"/>
            <w:hideMark/>
          </w:tcPr>
          <w:p w14:paraId="00855351" w14:textId="77777777" w:rsidR="00634ABA" w:rsidRPr="00986F85" w:rsidRDefault="00634ABA" w:rsidP="00476987">
            <w:pPr>
              <w:spacing w:after="0" w:line="240" w:lineRule="auto"/>
              <w:rPr>
                <w:rFonts w:eastAsia="Times New Roman"/>
                <w:color w:val="000000"/>
                <w:lang w:eastAsia="hu-HU"/>
              </w:rPr>
            </w:pPr>
          </w:p>
        </w:tc>
        <w:tc>
          <w:tcPr>
            <w:tcW w:w="1893" w:type="dxa"/>
            <w:tcBorders>
              <w:top w:val="nil"/>
              <w:left w:val="nil"/>
              <w:bottom w:val="nil"/>
              <w:right w:val="nil"/>
            </w:tcBorders>
            <w:shd w:val="clear" w:color="auto" w:fill="auto"/>
            <w:noWrap/>
            <w:vAlign w:val="bottom"/>
            <w:hideMark/>
          </w:tcPr>
          <w:p w14:paraId="15DA02B3"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ROA</w:t>
            </w:r>
          </w:p>
        </w:tc>
        <w:tc>
          <w:tcPr>
            <w:tcW w:w="683" w:type="dxa"/>
            <w:tcBorders>
              <w:top w:val="nil"/>
              <w:left w:val="nil"/>
              <w:bottom w:val="nil"/>
              <w:right w:val="nil"/>
            </w:tcBorders>
            <w:shd w:val="clear" w:color="auto" w:fill="auto"/>
            <w:noWrap/>
            <w:vAlign w:val="bottom"/>
            <w:hideMark/>
          </w:tcPr>
          <w:p w14:paraId="67A6505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-0.038</w:t>
            </w:r>
          </w:p>
        </w:tc>
        <w:tc>
          <w:tcPr>
            <w:tcW w:w="756" w:type="dxa"/>
            <w:tcBorders>
              <w:top w:val="nil"/>
              <w:left w:val="nil"/>
              <w:bottom w:val="nil"/>
              <w:right w:val="nil"/>
            </w:tcBorders>
            <w:shd w:val="clear" w:color="auto" w:fill="auto"/>
            <w:noWrap/>
            <w:vAlign w:val="bottom"/>
            <w:hideMark/>
          </w:tcPr>
          <w:p w14:paraId="7263F6B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-0.073</w:t>
            </w:r>
          </w:p>
        </w:tc>
        <w:tc>
          <w:tcPr>
            <w:tcW w:w="683" w:type="dxa"/>
            <w:tcBorders>
              <w:top w:val="nil"/>
              <w:left w:val="nil"/>
              <w:bottom w:val="nil"/>
              <w:right w:val="nil"/>
            </w:tcBorders>
            <w:shd w:val="clear" w:color="auto" w:fill="auto"/>
            <w:noWrap/>
            <w:vAlign w:val="bottom"/>
            <w:hideMark/>
          </w:tcPr>
          <w:p w14:paraId="7FFDF24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-0.014</w:t>
            </w:r>
          </w:p>
        </w:tc>
        <w:tc>
          <w:tcPr>
            <w:tcW w:w="683" w:type="dxa"/>
            <w:tcBorders>
              <w:top w:val="nil"/>
              <w:left w:val="nil"/>
              <w:bottom w:val="nil"/>
              <w:right w:val="nil"/>
            </w:tcBorders>
            <w:shd w:val="clear" w:color="auto" w:fill="auto"/>
            <w:noWrap/>
            <w:vAlign w:val="bottom"/>
            <w:hideMark/>
          </w:tcPr>
          <w:p w14:paraId="4C444F0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-0.039</w:t>
            </w:r>
          </w:p>
        </w:tc>
        <w:tc>
          <w:tcPr>
            <w:tcW w:w="683" w:type="dxa"/>
            <w:tcBorders>
              <w:top w:val="nil"/>
              <w:left w:val="nil"/>
              <w:bottom w:val="nil"/>
              <w:right w:val="nil"/>
            </w:tcBorders>
            <w:shd w:val="clear" w:color="auto" w:fill="auto"/>
            <w:noWrap/>
            <w:vAlign w:val="bottom"/>
            <w:hideMark/>
          </w:tcPr>
          <w:p w14:paraId="7399AE0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-0.02</w:t>
            </w:r>
          </w:p>
        </w:tc>
        <w:tc>
          <w:tcPr>
            <w:tcW w:w="683" w:type="dxa"/>
            <w:tcBorders>
              <w:top w:val="nil"/>
              <w:left w:val="nil"/>
              <w:bottom w:val="nil"/>
              <w:right w:val="nil"/>
            </w:tcBorders>
            <w:shd w:val="clear" w:color="auto" w:fill="auto"/>
            <w:noWrap/>
            <w:vAlign w:val="bottom"/>
            <w:hideMark/>
          </w:tcPr>
          <w:p w14:paraId="69B5B8C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-0.018</w:t>
            </w:r>
          </w:p>
        </w:tc>
        <w:tc>
          <w:tcPr>
            <w:tcW w:w="683" w:type="dxa"/>
            <w:tcBorders>
              <w:top w:val="nil"/>
              <w:left w:val="nil"/>
              <w:bottom w:val="nil"/>
              <w:right w:val="nil"/>
            </w:tcBorders>
            <w:shd w:val="clear" w:color="auto" w:fill="auto"/>
            <w:noWrap/>
            <w:vAlign w:val="bottom"/>
            <w:hideMark/>
          </w:tcPr>
          <w:p w14:paraId="7B7F794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-0.046</w:t>
            </w:r>
          </w:p>
        </w:tc>
        <w:tc>
          <w:tcPr>
            <w:tcW w:w="806" w:type="dxa"/>
            <w:tcBorders>
              <w:top w:val="nil"/>
              <w:left w:val="nil"/>
              <w:bottom w:val="nil"/>
              <w:right w:val="nil"/>
            </w:tcBorders>
            <w:shd w:val="clear" w:color="auto" w:fill="auto"/>
            <w:noWrap/>
            <w:vAlign w:val="bottom"/>
            <w:hideMark/>
          </w:tcPr>
          <w:p w14:paraId="645D36D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-0.033</w:t>
            </w:r>
          </w:p>
        </w:tc>
        <w:tc>
          <w:tcPr>
            <w:tcW w:w="683" w:type="dxa"/>
            <w:tcBorders>
              <w:top w:val="nil"/>
              <w:left w:val="nil"/>
              <w:bottom w:val="nil"/>
              <w:right w:val="nil"/>
            </w:tcBorders>
            <w:shd w:val="clear" w:color="auto" w:fill="auto"/>
            <w:noWrap/>
            <w:vAlign w:val="bottom"/>
            <w:hideMark/>
          </w:tcPr>
          <w:p w14:paraId="670ECFF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-0.033</w:t>
            </w:r>
          </w:p>
        </w:tc>
        <w:tc>
          <w:tcPr>
            <w:tcW w:w="683" w:type="dxa"/>
            <w:tcBorders>
              <w:top w:val="nil"/>
              <w:left w:val="nil"/>
              <w:bottom w:val="nil"/>
              <w:right w:val="nil"/>
            </w:tcBorders>
            <w:shd w:val="clear" w:color="auto" w:fill="auto"/>
            <w:noWrap/>
            <w:vAlign w:val="bottom"/>
            <w:hideMark/>
          </w:tcPr>
          <w:p w14:paraId="3E4D377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-0.039</w:t>
            </w:r>
          </w:p>
        </w:tc>
        <w:tc>
          <w:tcPr>
            <w:tcW w:w="806" w:type="dxa"/>
            <w:tcBorders>
              <w:top w:val="nil"/>
              <w:left w:val="nil"/>
              <w:bottom w:val="nil"/>
              <w:right w:val="nil"/>
            </w:tcBorders>
            <w:shd w:val="clear" w:color="auto" w:fill="auto"/>
            <w:noWrap/>
            <w:vAlign w:val="bottom"/>
            <w:hideMark/>
          </w:tcPr>
          <w:p w14:paraId="33555F9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0.026</w:t>
            </w:r>
          </w:p>
        </w:tc>
        <w:tc>
          <w:tcPr>
            <w:tcW w:w="806" w:type="dxa"/>
            <w:tcBorders>
              <w:top w:val="nil"/>
              <w:left w:val="nil"/>
              <w:bottom w:val="nil"/>
              <w:right w:val="nil"/>
            </w:tcBorders>
            <w:shd w:val="clear" w:color="auto" w:fill="auto"/>
            <w:noWrap/>
            <w:vAlign w:val="bottom"/>
            <w:hideMark/>
          </w:tcPr>
          <w:p w14:paraId="6D4106C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-0.048</w:t>
            </w:r>
          </w:p>
        </w:tc>
        <w:tc>
          <w:tcPr>
            <w:tcW w:w="683" w:type="dxa"/>
            <w:tcBorders>
              <w:top w:val="nil"/>
              <w:left w:val="nil"/>
              <w:bottom w:val="nil"/>
              <w:right w:val="nil"/>
            </w:tcBorders>
            <w:shd w:val="clear" w:color="auto" w:fill="auto"/>
            <w:noWrap/>
            <w:vAlign w:val="bottom"/>
            <w:hideMark/>
          </w:tcPr>
          <w:p w14:paraId="72AD37A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-0.087</w:t>
            </w:r>
          </w:p>
        </w:tc>
        <w:tc>
          <w:tcPr>
            <w:tcW w:w="683" w:type="dxa"/>
            <w:tcBorders>
              <w:top w:val="nil"/>
              <w:left w:val="nil"/>
              <w:bottom w:val="nil"/>
              <w:right w:val="nil"/>
            </w:tcBorders>
            <w:shd w:val="clear" w:color="auto" w:fill="auto"/>
            <w:noWrap/>
            <w:vAlign w:val="bottom"/>
            <w:hideMark/>
          </w:tcPr>
          <w:p w14:paraId="7A3E347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-0.002</w:t>
            </w:r>
          </w:p>
        </w:tc>
        <w:tc>
          <w:tcPr>
            <w:tcW w:w="806" w:type="dxa"/>
            <w:tcBorders>
              <w:top w:val="nil"/>
              <w:left w:val="nil"/>
              <w:bottom w:val="nil"/>
              <w:right w:val="nil"/>
            </w:tcBorders>
            <w:shd w:val="clear" w:color="auto" w:fill="auto"/>
            <w:noWrap/>
            <w:vAlign w:val="bottom"/>
            <w:hideMark/>
          </w:tcPr>
          <w:p w14:paraId="3F70088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-0.037</w:t>
            </w:r>
          </w:p>
        </w:tc>
        <w:tc>
          <w:tcPr>
            <w:tcW w:w="683" w:type="dxa"/>
            <w:tcBorders>
              <w:top w:val="nil"/>
              <w:left w:val="nil"/>
              <w:bottom w:val="nil"/>
              <w:right w:val="nil"/>
            </w:tcBorders>
            <w:shd w:val="clear" w:color="auto" w:fill="auto"/>
            <w:noWrap/>
            <w:vAlign w:val="bottom"/>
            <w:hideMark/>
          </w:tcPr>
          <w:p w14:paraId="4805208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-0.016</w:t>
            </w:r>
          </w:p>
        </w:tc>
        <w:tc>
          <w:tcPr>
            <w:tcW w:w="683" w:type="dxa"/>
            <w:tcBorders>
              <w:top w:val="nil"/>
              <w:left w:val="nil"/>
              <w:bottom w:val="nil"/>
              <w:right w:val="nil"/>
            </w:tcBorders>
            <w:shd w:val="clear" w:color="auto" w:fill="auto"/>
            <w:noWrap/>
            <w:vAlign w:val="bottom"/>
            <w:hideMark/>
          </w:tcPr>
          <w:p w14:paraId="07BCC47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-0.04</w:t>
            </w:r>
          </w:p>
        </w:tc>
        <w:tc>
          <w:tcPr>
            <w:tcW w:w="756" w:type="dxa"/>
            <w:tcBorders>
              <w:top w:val="nil"/>
              <w:left w:val="nil"/>
              <w:bottom w:val="nil"/>
              <w:right w:val="nil"/>
            </w:tcBorders>
            <w:shd w:val="clear" w:color="auto" w:fill="auto"/>
            <w:noWrap/>
            <w:vAlign w:val="bottom"/>
            <w:hideMark/>
          </w:tcPr>
          <w:p w14:paraId="6FC8D2C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-0.019</w:t>
            </w:r>
          </w:p>
        </w:tc>
        <w:tc>
          <w:tcPr>
            <w:tcW w:w="695" w:type="dxa"/>
            <w:tcBorders>
              <w:top w:val="nil"/>
              <w:left w:val="nil"/>
              <w:bottom w:val="nil"/>
              <w:right w:val="nil"/>
            </w:tcBorders>
            <w:shd w:val="clear" w:color="auto" w:fill="auto"/>
            <w:noWrap/>
            <w:vAlign w:val="bottom"/>
            <w:hideMark/>
          </w:tcPr>
          <w:p w14:paraId="064B112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-0.013</w:t>
            </w:r>
          </w:p>
        </w:tc>
        <w:tc>
          <w:tcPr>
            <w:tcW w:w="695" w:type="dxa"/>
            <w:tcBorders>
              <w:top w:val="nil"/>
              <w:left w:val="nil"/>
              <w:bottom w:val="nil"/>
              <w:right w:val="nil"/>
            </w:tcBorders>
            <w:shd w:val="clear" w:color="auto" w:fill="auto"/>
            <w:noWrap/>
            <w:vAlign w:val="bottom"/>
            <w:hideMark/>
          </w:tcPr>
          <w:p w14:paraId="08DEF95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-0.027</w:t>
            </w:r>
          </w:p>
        </w:tc>
      </w:tr>
    </w:tbl>
    <w:p w14:paraId="2291B377" w14:textId="77777777" w:rsidR="00634ABA" w:rsidRPr="00986F85" w:rsidRDefault="00634ABA" w:rsidP="00634ABA"/>
    <w:p w14:paraId="4A9EA2BD" w14:textId="77777777" w:rsidR="00634ABA" w:rsidRPr="00986F85" w:rsidRDefault="00634ABA" w:rsidP="00634ABA">
      <w:r w:rsidRPr="00986F85">
        <w:br w:type="page"/>
      </w:r>
    </w:p>
    <w:tbl>
      <w:tblPr>
        <w:tblW w:w="15370" w:type="dxa"/>
        <w:tblInd w:w="-356" w:type="dxa"/>
        <w:tblCellMar>
          <w:left w:w="70" w:type="dxa"/>
          <w:right w:w="70" w:type="dxa"/>
        </w:tblCellMar>
        <w:tblLook w:val="04A0" w:firstRow="1" w:lastRow="0" w:firstColumn="1" w:lastColumn="0" w:noHBand="0" w:noVBand="1"/>
      </w:tblPr>
      <w:tblGrid>
        <w:gridCol w:w="444"/>
        <w:gridCol w:w="1893"/>
        <w:gridCol w:w="806"/>
        <w:gridCol w:w="756"/>
        <w:gridCol w:w="806"/>
        <w:gridCol w:w="696"/>
        <w:gridCol w:w="756"/>
        <w:gridCol w:w="696"/>
        <w:gridCol w:w="929"/>
        <w:gridCol w:w="756"/>
        <w:gridCol w:w="683"/>
        <w:gridCol w:w="435"/>
        <w:gridCol w:w="435"/>
        <w:gridCol w:w="806"/>
        <w:gridCol w:w="756"/>
        <w:gridCol w:w="929"/>
        <w:gridCol w:w="696"/>
        <w:gridCol w:w="696"/>
        <w:gridCol w:w="806"/>
        <w:gridCol w:w="435"/>
        <w:gridCol w:w="806"/>
        <w:gridCol w:w="696"/>
      </w:tblGrid>
      <w:tr w:rsidR="00634ABA" w:rsidRPr="00986F85" w14:paraId="27541338" w14:textId="77777777" w:rsidTr="00476987">
        <w:trPr>
          <w:trHeight w:val="263"/>
        </w:trPr>
        <w:tc>
          <w:tcPr>
            <w:tcW w:w="15370" w:type="dxa"/>
            <w:gridSpan w:val="22"/>
            <w:tcBorders>
              <w:top w:val="nil"/>
              <w:left w:val="nil"/>
              <w:right w:val="nil"/>
            </w:tcBorders>
            <w:shd w:val="clear" w:color="000000" w:fill="B10000"/>
            <w:noWrap/>
            <w:vAlign w:val="bottom"/>
            <w:hideMark/>
          </w:tcPr>
          <w:p w14:paraId="42D60394" w14:textId="77777777" w:rsidR="00634ABA" w:rsidRPr="00986F85" w:rsidRDefault="00634ABA" w:rsidP="00476987">
            <w:pPr>
              <w:spacing w:after="0" w:line="240" w:lineRule="auto"/>
              <w:jc w:val="center"/>
              <w:rPr>
                <w:rFonts w:eastAsia="Times New Roman"/>
                <w:b/>
                <w:bCs/>
                <w:color w:val="FFFFFF"/>
                <w:lang w:eastAsia="hu-HU"/>
              </w:rPr>
            </w:pPr>
            <w:r w:rsidRPr="00986F85">
              <w:rPr>
                <w:rFonts w:eastAsia="Times New Roman"/>
                <w:b/>
                <w:bCs/>
                <w:color w:val="FFFFFF"/>
                <w:lang w:eastAsia="hu-HU"/>
              </w:rPr>
              <w:lastRenderedPageBreak/>
              <w:t>Főbb indikátorok változásának mediánja iparági bontásban (2011/2006)</w:t>
            </w:r>
          </w:p>
        </w:tc>
      </w:tr>
      <w:tr w:rsidR="00634ABA" w:rsidRPr="00986F85" w14:paraId="7E883DC4" w14:textId="77777777" w:rsidTr="00476987">
        <w:trPr>
          <w:trHeight w:val="2578"/>
        </w:trPr>
        <w:tc>
          <w:tcPr>
            <w:tcW w:w="360" w:type="dxa"/>
            <w:tcBorders>
              <w:top w:val="nil"/>
              <w:left w:val="nil"/>
              <w:bottom w:val="nil"/>
              <w:right w:val="nil"/>
            </w:tcBorders>
            <w:shd w:val="clear" w:color="auto" w:fill="B10000"/>
            <w:noWrap/>
            <w:vAlign w:val="bottom"/>
            <w:hideMark/>
          </w:tcPr>
          <w:p w14:paraId="5F7205A3" w14:textId="77777777" w:rsidR="00634ABA" w:rsidRPr="00986F85" w:rsidRDefault="00634ABA" w:rsidP="00476987">
            <w:pPr>
              <w:spacing w:after="0" w:line="240" w:lineRule="auto"/>
              <w:rPr>
                <w:rFonts w:eastAsia="Times New Roman"/>
                <w:color w:val="FFFFFF" w:themeColor="background1"/>
                <w:lang w:eastAsia="hu-HU"/>
              </w:rPr>
            </w:pPr>
          </w:p>
        </w:tc>
        <w:tc>
          <w:tcPr>
            <w:tcW w:w="1488" w:type="dxa"/>
            <w:tcBorders>
              <w:top w:val="nil"/>
              <w:left w:val="nil"/>
              <w:bottom w:val="nil"/>
              <w:right w:val="nil"/>
            </w:tcBorders>
            <w:shd w:val="clear" w:color="auto" w:fill="B10000"/>
            <w:noWrap/>
            <w:vAlign w:val="bottom"/>
            <w:hideMark/>
          </w:tcPr>
          <w:p w14:paraId="344F2431" w14:textId="77777777" w:rsidR="00634ABA" w:rsidRPr="00986F85" w:rsidRDefault="00634ABA" w:rsidP="00476987">
            <w:pPr>
              <w:spacing w:after="0" w:line="240" w:lineRule="auto"/>
              <w:rPr>
                <w:rFonts w:eastAsia="Times New Roman"/>
                <w:color w:val="FFFFFF" w:themeColor="background1"/>
                <w:lang w:eastAsia="hu-HU"/>
              </w:rPr>
            </w:pPr>
          </w:p>
        </w:tc>
        <w:tc>
          <w:tcPr>
            <w:tcW w:w="702" w:type="dxa"/>
            <w:tcBorders>
              <w:top w:val="nil"/>
              <w:left w:val="nil"/>
              <w:bottom w:val="nil"/>
              <w:right w:val="nil"/>
            </w:tcBorders>
            <w:shd w:val="clear" w:color="auto" w:fill="B10000"/>
            <w:noWrap/>
            <w:textDirection w:val="btLr"/>
            <w:vAlign w:val="bottom"/>
            <w:hideMark/>
          </w:tcPr>
          <w:p w14:paraId="5B2C4DCE"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Adminisztratív és szolgáltatás</w:t>
            </w:r>
          </w:p>
        </w:tc>
        <w:tc>
          <w:tcPr>
            <w:tcW w:w="742" w:type="dxa"/>
            <w:tcBorders>
              <w:top w:val="nil"/>
              <w:left w:val="nil"/>
              <w:bottom w:val="nil"/>
              <w:right w:val="nil"/>
            </w:tcBorders>
            <w:shd w:val="clear" w:color="auto" w:fill="B10000"/>
            <w:noWrap/>
            <w:textDirection w:val="btLr"/>
            <w:vAlign w:val="bottom"/>
            <w:hideMark/>
          </w:tcPr>
          <w:p w14:paraId="4DB1C827"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Bányászat, kőfejtés</w:t>
            </w:r>
          </w:p>
        </w:tc>
        <w:tc>
          <w:tcPr>
            <w:tcW w:w="787" w:type="dxa"/>
            <w:tcBorders>
              <w:top w:val="nil"/>
              <w:left w:val="nil"/>
              <w:bottom w:val="nil"/>
              <w:right w:val="nil"/>
            </w:tcBorders>
            <w:shd w:val="clear" w:color="auto" w:fill="B10000"/>
            <w:noWrap/>
            <w:textDirection w:val="btLr"/>
            <w:vAlign w:val="bottom"/>
            <w:hideMark/>
          </w:tcPr>
          <w:p w14:paraId="385864B9"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Egyéb szolgáltatás</w:t>
            </w:r>
          </w:p>
        </w:tc>
        <w:tc>
          <w:tcPr>
            <w:tcW w:w="696" w:type="dxa"/>
            <w:tcBorders>
              <w:top w:val="nil"/>
              <w:left w:val="nil"/>
              <w:bottom w:val="nil"/>
              <w:right w:val="nil"/>
            </w:tcBorders>
            <w:shd w:val="clear" w:color="auto" w:fill="B10000"/>
            <w:noWrap/>
            <w:textDirection w:val="btLr"/>
            <w:vAlign w:val="bottom"/>
            <w:hideMark/>
          </w:tcPr>
          <w:p w14:paraId="321CDDE8"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Epítőipar</w:t>
            </w:r>
          </w:p>
        </w:tc>
        <w:tc>
          <w:tcPr>
            <w:tcW w:w="696" w:type="dxa"/>
            <w:tcBorders>
              <w:top w:val="nil"/>
              <w:left w:val="nil"/>
              <w:bottom w:val="nil"/>
              <w:right w:val="nil"/>
            </w:tcBorders>
            <w:shd w:val="clear" w:color="auto" w:fill="B10000"/>
            <w:noWrap/>
            <w:textDirection w:val="btLr"/>
            <w:vAlign w:val="bottom"/>
            <w:hideMark/>
          </w:tcPr>
          <w:p w14:paraId="1879D8D0"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Feldolgozóipar</w:t>
            </w:r>
          </w:p>
        </w:tc>
        <w:tc>
          <w:tcPr>
            <w:tcW w:w="696" w:type="dxa"/>
            <w:tcBorders>
              <w:top w:val="nil"/>
              <w:left w:val="nil"/>
              <w:bottom w:val="nil"/>
              <w:right w:val="nil"/>
            </w:tcBorders>
            <w:shd w:val="clear" w:color="auto" w:fill="B10000"/>
            <w:noWrap/>
            <w:textDirection w:val="btLr"/>
            <w:vAlign w:val="bottom"/>
            <w:hideMark/>
          </w:tcPr>
          <w:p w14:paraId="157F5AA3"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Humán-egészségügyi, szociális el.</w:t>
            </w:r>
          </w:p>
        </w:tc>
        <w:tc>
          <w:tcPr>
            <w:tcW w:w="817" w:type="dxa"/>
            <w:tcBorders>
              <w:top w:val="nil"/>
              <w:left w:val="nil"/>
              <w:bottom w:val="nil"/>
              <w:right w:val="nil"/>
            </w:tcBorders>
            <w:shd w:val="clear" w:color="auto" w:fill="B10000"/>
            <w:noWrap/>
            <w:textDirection w:val="btLr"/>
            <w:vAlign w:val="bottom"/>
            <w:hideMark/>
          </w:tcPr>
          <w:p w14:paraId="51C4E619"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Információ, kommunikáció</w:t>
            </w:r>
          </w:p>
        </w:tc>
        <w:tc>
          <w:tcPr>
            <w:tcW w:w="742" w:type="dxa"/>
            <w:tcBorders>
              <w:top w:val="nil"/>
              <w:left w:val="nil"/>
              <w:bottom w:val="nil"/>
              <w:right w:val="nil"/>
            </w:tcBorders>
            <w:shd w:val="clear" w:color="auto" w:fill="B10000"/>
            <w:noWrap/>
            <w:textDirection w:val="btLr"/>
            <w:vAlign w:val="bottom"/>
            <w:hideMark/>
          </w:tcPr>
          <w:p w14:paraId="09BC207B"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Ingatlanügyek</w:t>
            </w:r>
          </w:p>
        </w:tc>
        <w:tc>
          <w:tcPr>
            <w:tcW w:w="675" w:type="dxa"/>
            <w:tcBorders>
              <w:top w:val="nil"/>
              <w:left w:val="nil"/>
              <w:bottom w:val="nil"/>
              <w:right w:val="nil"/>
            </w:tcBorders>
            <w:shd w:val="clear" w:color="auto" w:fill="B10000"/>
            <w:noWrap/>
            <w:textDirection w:val="btLr"/>
            <w:vAlign w:val="bottom"/>
            <w:hideMark/>
          </w:tcPr>
          <w:p w14:paraId="1136C888"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Kereskedelem, gépjárműjavítás</w:t>
            </w:r>
          </w:p>
        </w:tc>
        <w:tc>
          <w:tcPr>
            <w:tcW w:w="360" w:type="dxa"/>
            <w:tcBorders>
              <w:top w:val="nil"/>
              <w:left w:val="nil"/>
              <w:bottom w:val="nil"/>
              <w:right w:val="nil"/>
            </w:tcBorders>
            <w:shd w:val="clear" w:color="auto" w:fill="B10000"/>
            <w:noWrap/>
            <w:textDirection w:val="btLr"/>
            <w:vAlign w:val="bottom"/>
            <w:hideMark/>
          </w:tcPr>
          <w:p w14:paraId="7DB7C592"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Közigazgatás, védelem</w:t>
            </w:r>
          </w:p>
        </w:tc>
        <w:tc>
          <w:tcPr>
            <w:tcW w:w="360" w:type="dxa"/>
            <w:tcBorders>
              <w:top w:val="nil"/>
              <w:left w:val="nil"/>
              <w:bottom w:val="nil"/>
              <w:right w:val="nil"/>
            </w:tcBorders>
            <w:shd w:val="clear" w:color="auto" w:fill="B10000"/>
            <w:noWrap/>
            <w:textDirection w:val="btLr"/>
            <w:vAlign w:val="bottom"/>
            <w:hideMark/>
          </w:tcPr>
          <w:p w14:paraId="0E236CC6"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Mezőgazdaság, erdőgazdaság, hal.</w:t>
            </w:r>
          </w:p>
        </w:tc>
        <w:tc>
          <w:tcPr>
            <w:tcW w:w="787" w:type="dxa"/>
            <w:tcBorders>
              <w:top w:val="nil"/>
              <w:left w:val="nil"/>
              <w:bottom w:val="nil"/>
              <w:right w:val="nil"/>
            </w:tcBorders>
            <w:shd w:val="clear" w:color="auto" w:fill="B10000"/>
            <w:noWrap/>
            <w:textDirection w:val="btLr"/>
            <w:vAlign w:val="bottom"/>
            <w:hideMark/>
          </w:tcPr>
          <w:p w14:paraId="0010AFCA"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Művészet, szórakoztatás</w:t>
            </w:r>
          </w:p>
        </w:tc>
        <w:tc>
          <w:tcPr>
            <w:tcW w:w="742" w:type="dxa"/>
            <w:tcBorders>
              <w:top w:val="nil"/>
              <w:left w:val="nil"/>
              <w:bottom w:val="nil"/>
              <w:right w:val="nil"/>
            </w:tcBorders>
            <w:shd w:val="clear" w:color="auto" w:fill="B10000"/>
            <w:noWrap/>
            <w:textDirection w:val="btLr"/>
            <w:vAlign w:val="bottom"/>
            <w:hideMark/>
          </w:tcPr>
          <w:p w14:paraId="1B349347"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Oktatás</w:t>
            </w:r>
          </w:p>
        </w:tc>
        <w:tc>
          <w:tcPr>
            <w:tcW w:w="817" w:type="dxa"/>
            <w:tcBorders>
              <w:top w:val="nil"/>
              <w:left w:val="nil"/>
              <w:bottom w:val="nil"/>
              <w:right w:val="nil"/>
            </w:tcBorders>
            <w:shd w:val="clear" w:color="auto" w:fill="B10000"/>
            <w:noWrap/>
            <w:textDirection w:val="btLr"/>
            <w:vAlign w:val="bottom"/>
            <w:hideMark/>
          </w:tcPr>
          <w:p w14:paraId="4B02DBCB"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Pénzügyi, biztosítási tev.</w:t>
            </w:r>
          </w:p>
        </w:tc>
        <w:tc>
          <w:tcPr>
            <w:tcW w:w="696" w:type="dxa"/>
            <w:tcBorders>
              <w:top w:val="nil"/>
              <w:left w:val="nil"/>
              <w:bottom w:val="nil"/>
              <w:right w:val="nil"/>
            </w:tcBorders>
            <w:shd w:val="clear" w:color="auto" w:fill="B10000"/>
            <w:noWrap/>
            <w:textDirection w:val="btLr"/>
            <w:vAlign w:val="bottom"/>
            <w:hideMark/>
          </w:tcPr>
          <w:p w14:paraId="47B6C96C"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Szakmai, tudományos, műszaki tev.</w:t>
            </w:r>
          </w:p>
        </w:tc>
        <w:tc>
          <w:tcPr>
            <w:tcW w:w="696" w:type="dxa"/>
            <w:tcBorders>
              <w:top w:val="nil"/>
              <w:left w:val="nil"/>
              <w:bottom w:val="nil"/>
              <w:right w:val="nil"/>
            </w:tcBorders>
            <w:shd w:val="clear" w:color="auto" w:fill="B10000"/>
            <w:noWrap/>
            <w:textDirection w:val="btLr"/>
            <w:vAlign w:val="bottom"/>
            <w:hideMark/>
          </w:tcPr>
          <w:p w14:paraId="4A5A036F"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Szálláshely-szolgáltatás, vendégl.</w:t>
            </w:r>
          </w:p>
        </w:tc>
        <w:tc>
          <w:tcPr>
            <w:tcW w:w="727" w:type="dxa"/>
            <w:tcBorders>
              <w:top w:val="nil"/>
              <w:left w:val="nil"/>
              <w:bottom w:val="nil"/>
              <w:right w:val="nil"/>
            </w:tcBorders>
            <w:shd w:val="clear" w:color="auto" w:fill="B10000"/>
            <w:noWrap/>
            <w:textDirection w:val="btLr"/>
            <w:vAlign w:val="bottom"/>
            <w:hideMark/>
          </w:tcPr>
          <w:p w14:paraId="7A4292EF"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Szállítás, raktározás</w:t>
            </w:r>
          </w:p>
        </w:tc>
        <w:tc>
          <w:tcPr>
            <w:tcW w:w="361" w:type="dxa"/>
            <w:tcBorders>
              <w:top w:val="nil"/>
              <w:left w:val="nil"/>
              <w:bottom w:val="nil"/>
              <w:right w:val="nil"/>
            </w:tcBorders>
            <w:shd w:val="clear" w:color="auto" w:fill="B10000"/>
            <w:noWrap/>
            <w:textDirection w:val="btLr"/>
            <w:vAlign w:val="bottom"/>
            <w:hideMark/>
          </w:tcPr>
          <w:p w14:paraId="670BE451"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Villamosenergia-, gáz-,gőzellátás</w:t>
            </w:r>
          </w:p>
        </w:tc>
        <w:tc>
          <w:tcPr>
            <w:tcW w:w="727" w:type="dxa"/>
            <w:tcBorders>
              <w:top w:val="nil"/>
              <w:left w:val="nil"/>
              <w:bottom w:val="nil"/>
              <w:right w:val="nil"/>
            </w:tcBorders>
            <w:shd w:val="clear" w:color="auto" w:fill="B10000"/>
            <w:noWrap/>
            <w:textDirection w:val="btLr"/>
            <w:vAlign w:val="bottom"/>
            <w:hideMark/>
          </w:tcPr>
          <w:p w14:paraId="4E42DD41"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Vízellátás; szennyvízgyűjtése</w:t>
            </w:r>
          </w:p>
        </w:tc>
        <w:tc>
          <w:tcPr>
            <w:tcW w:w="696" w:type="dxa"/>
            <w:tcBorders>
              <w:top w:val="nil"/>
              <w:left w:val="nil"/>
              <w:bottom w:val="nil"/>
              <w:right w:val="nil"/>
            </w:tcBorders>
            <w:shd w:val="clear" w:color="auto" w:fill="B10000"/>
            <w:noWrap/>
            <w:textDirection w:val="btLr"/>
            <w:vAlign w:val="bottom"/>
            <w:hideMark/>
          </w:tcPr>
          <w:p w14:paraId="762EDAAE"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Országos átlag</w:t>
            </w:r>
          </w:p>
        </w:tc>
      </w:tr>
      <w:tr w:rsidR="00634ABA" w:rsidRPr="00986F85" w14:paraId="71658527" w14:textId="77777777" w:rsidTr="00476987">
        <w:trPr>
          <w:trHeight w:val="250"/>
        </w:trPr>
        <w:tc>
          <w:tcPr>
            <w:tcW w:w="360" w:type="dxa"/>
            <w:vMerge w:val="restart"/>
            <w:tcBorders>
              <w:top w:val="nil"/>
              <w:left w:val="nil"/>
              <w:bottom w:val="nil"/>
              <w:right w:val="nil"/>
            </w:tcBorders>
            <w:shd w:val="clear" w:color="auto" w:fill="auto"/>
            <w:noWrap/>
            <w:textDirection w:val="btLr"/>
            <w:vAlign w:val="bottom"/>
            <w:hideMark/>
          </w:tcPr>
          <w:p w14:paraId="4BB69272" w14:textId="77777777" w:rsidR="00634ABA" w:rsidRPr="00986F85" w:rsidRDefault="00634ABA" w:rsidP="00476987">
            <w:pPr>
              <w:spacing w:after="0" w:line="240" w:lineRule="auto"/>
              <w:jc w:val="center"/>
              <w:rPr>
                <w:rFonts w:eastAsia="Times New Roman"/>
                <w:b/>
                <w:color w:val="000000"/>
                <w:lang w:eastAsia="hu-HU"/>
              </w:rPr>
            </w:pPr>
            <w:r w:rsidRPr="00986F85">
              <w:rPr>
                <w:rFonts w:eastAsia="Times New Roman"/>
                <w:b/>
                <w:color w:val="000000"/>
                <w:lang w:eastAsia="hu-HU"/>
              </w:rPr>
              <w:t>Nyertes</w:t>
            </w:r>
          </w:p>
        </w:tc>
        <w:tc>
          <w:tcPr>
            <w:tcW w:w="1488" w:type="dxa"/>
            <w:tcBorders>
              <w:top w:val="nil"/>
              <w:left w:val="nil"/>
              <w:bottom w:val="nil"/>
              <w:right w:val="nil"/>
            </w:tcBorders>
            <w:shd w:val="clear" w:color="auto" w:fill="auto"/>
            <w:noWrap/>
            <w:vAlign w:val="bottom"/>
            <w:hideMark/>
          </w:tcPr>
          <w:p w14:paraId="361CFE33"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Foglalkoztatottak száma (%)</w:t>
            </w:r>
          </w:p>
        </w:tc>
        <w:tc>
          <w:tcPr>
            <w:tcW w:w="702" w:type="dxa"/>
            <w:tcBorders>
              <w:top w:val="nil"/>
              <w:left w:val="nil"/>
              <w:bottom w:val="nil"/>
              <w:right w:val="nil"/>
            </w:tcBorders>
            <w:shd w:val="clear" w:color="auto" w:fill="auto"/>
            <w:noWrap/>
            <w:vAlign w:val="bottom"/>
            <w:hideMark/>
          </w:tcPr>
          <w:p w14:paraId="1150BBC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10</w:t>
            </w:r>
          </w:p>
        </w:tc>
        <w:tc>
          <w:tcPr>
            <w:tcW w:w="742" w:type="dxa"/>
            <w:tcBorders>
              <w:top w:val="nil"/>
              <w:left w:val="nil"/>
              <w:bottom w:val="nil"/>
              <w:right w:val="nil"/>
            </w:tcBorders>
            <w:shd w:val="clear" w:color="auto" w:fill="auto"/>
            <w:noWrap/>
            <w:vAlign w:val="bottom"/>
            <w:hideMark/>
          </w:tcPr>
          <w:p w14:paraId="613F8AB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787" w:type="dxa"/>
            <w:tcBorders>
              <w:top w:val="nil"/>
              <w:left w:val="nil"/>
              <w:bottom w:val="nil"/>
              <w:right w:val="nil"/>
            </w:tcBorders>
            <w:shd w:val="clear" w:color="auto" w:fill="auto"/>
            <w:noWrap/>
            <w:vAlign w:val="bottom"/>
            <w:hideMark/>
          </w:tcPr>
          <w:p w14:paraId="5DB88F4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-10.9</w:t>
            </w:r>
          </w:p>
        </w:tc>
        <w:tc>
          <w:tcPr>
            <w:tcW w:w="696" w:type="dxa"/>
            <w:tcBorders>
              <w:top w:val="nil"/>
              <w:left w:val="nil"/>
              <w:bottom w:val="nil"/>
              <w:right w:val="nil"/>
            </w:tcBorders>
            <w:shd w:val="clear" w:color="auto" w:fill="auto"/>
            <w:noWrap/>
            <w:vAlign w:val="bottom"/>
            <w:hideMark/>
          </w:tcPr>
          <w:p w14:paraId="0C5C7A1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9.1</w:t>
            </w:r>
          </w:p>
        </w:tc>
        <w:tc>
          <w:tcPr>
            <w:tcW w:w="696" w:type="dxa"/>
            <w:tcBorders>
              <w:top w:val="nil"/>
              <w:left w:val="nil"/>
              <w:bottom w:val="nil"/>
              <w:right w:val="nil"/>
            </w:tcBorders>
            <w:shd w:val="clear" w:color="auto" w:fill="auto"/>
            <w:noWrap/>
            <w:vAlign w:val="bottom"/>
            <w:hideMark/>
          </w:tcPr>
          <w:p w14:paraId="52C5B20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7.1</w:t>
            </w:r>
          </w:p>
        </w:tc>
        <w:tc>
          <w:tcPr>
            <w:tcW w:w="696" w:type="dxa"/>
            <w:tcBorders>
              <w:top w:val="nil"/>
              <w:left w:val="nil"/>
              <w:bottom w:val="nil"/>
              <w:right w:val="nil"/>
            </w:tcBorders>
            <w:shd w:val="clear" w:color="auto" w:fill="auto"/>
            <w:noWrap/>
            <w:vAlign w:val="bottom"/>
            <w:hideMark/>
          </w:tcPr>
          <w:p w14:paraId="054AB9C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-6.3</w:t>
            </w:r>
          </w:p>
        </w:tc>
        <w:tc>
          <w:tcPr>
            <w:tcW w:w="817" w:type="dxa"/>
            <w:tcBorders>
              <w:top w:val="nil"/>
              <w:left w:val="nil"/>
              <w:bottom w:val="nil"/>
              <w:right w:val="nil"/>
            </w:tcBorders>
            <w:shd w:val="clear" w:color="auto" w:fill="auto"/>
            <w:noWrap/>
            <w:vAlign w:val="bottom"/>
            <w:hideMark/>
          </w:tcPr>
          <w:p w14:paraId="1EC643A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21.5</w:t>
            </w:r>
          </w:p>
        </w:tc>
        <w:tc>
          <w:tcPr>
            <w:tcW w:w="742" w:type="dxa"/>
            <w:tcBorders>
              <w:top w:val="nil"/>
              <w:left w:val="nil"/>
              <w:bottom w:val="nil"/>
              <w:right w:val="nil"/>
            </w:tcBorders>
            <w:shd w:val="clear" w:color="auto" w:fill="auto"/>
            <w:noWrap/>
            <w:vAlign w:val="bottom"/>
            <w:hideMark/>
          </w:tcPr>
          <w:p w14:paraId="371E9CF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-44.8</w:t>
            </w:r>
          </w:p>
        </w:tc>
        <w:tc>
          <w:tcPr>
            <w:tcW w:w="675" w:type="dxa"/>
            <w:tcBorders>
              <w:top w:val="nil"/>
              <w:left w:val="nil"/>
              <w:bottom w:val="nil"/>
              <w:right w:val="nil"/>
            </w:tcBorders>
            <w:shd w:val="clear" w:color="auto" w:fill="auto"/>
            <w:noWrap/>
            <w:vAlign w:val="bottom"/>
            <w:hideMark/>
          </w:tcPr>
          <w:p w14:paraId="2C7858C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12.5</w:t>
            </w:r>
          </w:p>
        </w:tc>
        <w:tc>
          <w:tcPr>
            <w:tcW w:w="360" w:type="dxa"/>
            <w:tcBorders>
              <w:top w:val="nil"/>
              <w:left w:val="nil"/>
              <w:bottom w:val="nil"/>
              <w:right w:val="nil"/>
            </w:tcBorders>
            <w:shd w:val="clear" w:color="000000" w:fill="BFBFBF"/>
            <w:noWrap/>
            <w:vAlign w:val="bottom"/>
            <w:hideMark/>
          </w:tcPr>
          <w:p w14:paraId="1FF32BE8"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360" w:type="dxa"/>
            <w:tcBorders>
              <w:top w:val="nil"/>
              <w:left w:val="nil"/>
              <w:bottom w:val="nil"/>
              <w:right w:val="nil"/>
            </w:tcBorders>
            <w:shd w:val="clear" w:color="000000" w:fill="BFBFBF"/>
            <w:noWrap/>
            <w:vAlign w:val="bottom"/>
            <w:hideMark/>
          </w:tcPr>
          <w:p w14:paraId="4EE813AF"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787" w:type="dxa"/>
            <w:tcBorders>
              <w:top w:val="nil"/>
              <w:left w:val="nil"/>
              <w:bottom w:val="nil"/>
              <w:right w:val="nil"/>
            </w:tcBorders>
            <w:shd w:val="clear" w:color="auto" w:fill="auto"/>
            <w:noWrap/>
            <w:vAlign w:val="bottom"/>
            <w:hideMark/>
          </w:tcPr>
          <w:p w14:paraId="3848077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742" w:type="dxa"/>
            <w:tcBorders>
              <w:top w:val="nil"/>
              <w:left w:val="nil"/>
              <w:bottom w:val="nil"/>
              <w:right w:val="nil"/>
            </w:tcBorders>
            <w:shd w:val="clear" w:color="auto" w:fill="auto"/>
            <w:noWrap/>
            <w:vAlign w:val="bottom"/>
            <w:hideMark/>
          </w:tcPr>
          <w:p w14:paraId="3E52AFA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10.8</w:t>
            </w:r>
          </w:p>
        </w:tc>
        <w:tc>
          <w:tcPr>
            <w:tcW w:w="817" w:type="dxa"/>
            <w:tcBorders>
              <w:top w:val="nil"/>
              <w:left w:val="nil"/>
              <w:bottom w:val="nil"/>
              <w:right w:val="nil"/>
            </w:tcBorders>
            <w:shd w:val="clear" w:color="auto" w:fill="auto"/>
            <w:noWrap/>
            <w:vAlign w:val="bottom"/>
            <w:hideMark/>
          </w:tcPr>
          <w:p w14:paraId="052A651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w:t>
            </w:r>
          </w:p>
        </w:tc>
        <w:tc>
          <w:tcPr>
            <w:tcW w:w="696" w:type="dxa"/>
            <w:tcBorders>
              <w:top w:val="nil"/>
              <w:left w:val="nil"/>
              <w:bottom w:val="nil"/>
              <w:right w:val="nil"/>
            </w:tcBorders>
            <w:shd w:val="clear" w:color="auto" w:fill="auto"/>
            <w:noWrap/>
            <w:vAlign w:val="bottom"/>
            <w:hideMark/>
          </w:tcPr>
          <w:p w14:paraId="467472F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-5.3</w:t>
            </w:r>
          </w:p>
        </w:tc>
        <w:tc>
          <w:tcPr>
            <w:tcW w:w="696" w:type="dxa"/>
            <w:tcBorders>
              <w:top w:val="nil"/>
              <w:left w:val="nil"/>
              <w:bottom w:val="nil"/>
              <w:right w:val="nil"/>
            </w:tcBorders>
            <w:shd w:val="clear" w:color="auto" w:fill="auto"/>
            <w:noWrap/>
            <w:vAlign w:val="bottom"/>
            <w:hideMark/>
          </w:tcPr>
          <w:p w14:paraId="7C6AC77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5.3</w:t>
            </w:r>
          </w:p>
        </w:tc>
        <w:tc>
          <w:tcPr>
            <w:tcW w:w="727" w:type="dxa"/>
            <w:tcBorders>
              <w:top w:val="nil"/>
              <w:left w:val="nil"/>
              <w:bottom w:val="nil"/>
              <w:right w:val="nil"/>
            </w:tcBorders>
            <w:shd w:val="clear" w:color="auto" w:fill="auto"/>
            <w:noWrap/>
            <w:vAlign w:val="bottom"/>
            <w:hideMark/>
          </w:tcPr>
          <w:p w14:paraId="27721AD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32.2</w:t>
            </w:r>
          </w:p>
        </w:tc>
        <w:tc>
          <w:tcPr>
            <w:tcW w:w="361" w:type="dxa"/>
            <w:tcBorders>
              <w:top w:val="nil"/>
              <w:left w:val="nil"/>
              <w:bottom w:val="nil"/>
              <w:right w:val="nil"/>
            </w:tcBorders>
            <w:shd w:val="clear" w:color="000000" w:fill="BFBFBF"/>
            <w:noWrap/>
            <w:vAlign w:val="bottom"/>
            <w:hideMark/>
          </w:tcPr>
          <w:p w14:paraId="5F7D3779"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727" w:type="dxa"/>
            <w:tcBorders>
              <w:top w:val="nil"/>
              <w:left w:val="nil"/>
              <w:bottom w:val="nil"/>
              <w:right w:val="nil"/>
            </w:tcBorders>
            <w:shd w:val="clear" w:color="auto" w:fill="auto"/>
            <w:noWrap/>
            <w:vAlign w:val="bottom"/>
            <w:hideMark/>
          </w:tcPr>
          <w:p w14:paraId="61C5F6B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w:t>
            </w:r>
          </w:p>
        </w:tc>
        <w:tc>
          <w:tcPr>
            <w:tcW w:w="696" w:type="dxa"/>
            <w:tcBorders>
              <w:top w:val="nil"/>
              <w:left w:val="nil"/>
              <w:bottom w:val="nil"/>
              <w:right w:val="nil"/>
            </w:tcBorders>
            <w:shd w:val="clear" w:color="auto" w:fill="auto"/>
            <w:noWrap/>
            <w:vAlign w:val="bottom"/>
            <w:hideMark/>
          </w:tcPr>
          <w:p w14:paraId="0296E1E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8.3</w:t>
            </w:r>
          </w:p>
        </w:tc>
      </w:tr>
      <w:tr w:rsidR="00634ABA" w:rsidRPr="00986F85" w14:paraId="06AB5A73" w14:textId="77777777" w:rsidTr="00476987">
        <w:trPr>
          <w:trHeight w:val="250"/>
        </w:trPr>
        <w:tc>
          <w:tcPr>
            <w:tcW w:w="360" w:type="dxa"/>
            <w:vMerge/>
            <w:tcBorders>
              <w:top w:val="nil"/>
              <w:left w:val="nil"/>
              <w:bottom w:val="nil"/>
              <w:right w:val="nil"/>
            </w:tcBorders>
            <w:vAlign w:val="center"/>
            <w:hideMark/>
          </w:tcPr>
          <w:p w14:paraId="5EB21D62" w14:textId="77777777" w:rsidR="00634ABA" w:rsidRPr="00986F85" w:rsidRDefault="00634ABA" w:rsidP="00476987">
            <w:pPr>
              <w:spacing w:after="0" w:line="240" w:lineRule="auto"/>
              <w:rPr>
                <w:rFonts w:eastAsia="Times New Roman"/>
                <w:color w:val="000000"/>
                <w:lang w:eastAsia="hu-HU"/>
              </w:rPr>
            </w:pPr>
          </w:p>
        </w:tc>
        <w:tc>
          <w:tcPr>
            <w:tcW w:w="1488" w:type="dxa"/>
            <w:tcBorders>
              <w:top w:val="nil"/>
              <w:left w:val="nil"/>
              <w:bottom w:val="nil"/>
              <w:right w:val="nil"/>
            </w:tcBorders>
            <w:shd w:val="clear" w:color="auto" w:fill="auto"/>
            <w:noWrap/>
            <w:vAlign w:val="bottom"/>
            <w:hideMark/>
          </w:tcPr>
          <w:p w14:paraId="721E1EE0"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Nettó árbevétel (%)</w:t>
            </w:r>
          </w:p>
        </w:tc>
        <w:tc>
          <w:tcPr>
            <w:tcW w:w="702" w:type="dxa"/>
            <w:tcBorders>
              <w:top w:val="nil"/>
              <w:left w:val="nil"/>
              <w:bottom w:val="nil"/>
              <w:right w:val="nil"/>
            </w:tcBorders>
            <w:shd w:val="clear" w:color="auto" w:fill="auto"/>
            <w:noWrap/>
            <w:vAlign w:val="bottom"/>
            <w:hideMark/>
          </w:tcPr>
          <w:p w14:paraId="0893754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20</w:t>
            </w:r>
          </w:p>
        </w:tc>
        <w:tc>
          <w:tcPr>
            <w:tcW w:w="742" w:type="dxa"/>
            <w:tcBorders>
              <w:top w:val="nil"/>
              <w:left w:val="nil"/>
              <w:bottom w:val="nil"/>
              <w:right w:val="nil"/>
            </w:tcBorders>
            <w:shd w:val="clear" w:color="auto" w:fill="auto"/>
            <w:noWrap/>
            <w:vAlign w:val="bottom"/>
            <w:hideMark/>
          </w:tcPr>
          <w:p w14:paraId="1C061E7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-19.1</w:t>
            </w:r>
          </w:p>
        </w:tc>
        <w:tc>
          <w:tcPr>
            <w:tcW w:w="787" w:type="dxa"/>
            <w:tcBorders>
              <w:top w:val="nil"/>
              <w:left w:val="nil"/>
              <w:bottom w:val="nil"/>
              <w:right w:val="nil"/>
            </w:tcBorders>
            <w:shd w:val="clear" w:color="auto" w:fill="auto"/>
            <w:noWrap/>
            <w:vAlign w:val="bottom"/>
            <w:hideMark/>
          </w:tcPr>
          <w:p w14:paraId="31CAE17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82.9</w:t>
            </w:r>
          </w:p>
        </w:tc>
        <w:tc>
          <w:tcPr>
            <w:tcW w:w="696" w:type="dxa"/>
            <w:tcBorders>
              <w:top w:val="nil"/>
              <w:left w:val="nil"/>
              <w:bottom w:val="nil"/>
              <w:right w:val="nil"/>
            </w:tcBorders>
            <w:shd w:val="clear" w:color="auto" w:fill="auto"/>
            <w:noWrap/>
            <w:vAlign w:val="bottom"/>
            <w:hideMark/>
          </w:tcPr>
          <w:p w14:paraId="4F387B3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14.7</w:t>
            </w:r>
          </w:p>
        </w:tc>
        <w:tc>
          <w:tcPr>
            <w:tcW w:w="696" w:type="dxa"/>
            <w:tcBorders>
              <w:top w:val="nil"/>
              <w:left w:val="nil"/>
              <w:bottom w:val="nil"/>
              <w:right w:val="nil"/>
            </w:tcBorders>
            <w:shd w:val="clear" w:color="auto" w:fill="auto"/>
            <w:noWrap/>
            <w:vAlign w:val="bottom"/>
            <w:hideMark/>
          </w:tcPr>
          <w:p w14:paraId="44DB661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26.5</w:t>
            </w:r>
          </w:p>
        </w:tc>
        <w:tc>
          <w:tcPr>
            <w:tcW w:w="696" w:type="dxa"/>
            <w:tcBorders>
              <w:top w:val="nil"/>
              <w:left w:val="nil"/>
              <w:bottom w:val="nil"/>
              <w:right w:val="nil"/>
            </w:tcBorders>
            <w:shd w:val="clear" w:color="auto" w:fill="auto"/>
            <w:noWrap/>
            <w:vAlign w:val="bottom"/>
            <w:hideMark/>
          </w:tcPr>
          <w:p w14:paraId="2FE83EE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10.2</w:t>
            </w:r>
          </w:p>
        </w:tc>
        <w:tc>
          <w:tcPr>
            <w:tcW w:w="817" w:type="dxa"/>
            <w:tcBorders>
              <w:top w:val="nil"/>
              <w:left w:val="nil"/>
              <w:bottom w:val="nil"/>
              <w:right w:val="nil"/>
            </w:tcBorders>
            <w:shd w:val="clear" w:color="auto" w:fill="auto"/>
            <w:noWrap/>
            <w:vAlign w:val="bottom"/>
            <w:hideMark/>
          </w:tcPr>
          <w:p w14:paraId="7BC2B0E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30.3</w:t>
            </w:r>
          </w:p>
        </w:tc>
        <w:tc>
          <w:tcPr>
            <w:tcW w:w="742" w:type="dxa"/>
            <w:tcBorders>
              <w:top w:val="nil"/>
              <w:left w:val="nil"/>
              <w:bottom w:val="nil"/>
              <w:right w:val="nil"/>
            </w:tcBorders>
            <w:shd w:val="clear" w:color="auto" w:fill="auto"/>
            <w:noWrap/>
            <w:vAlign w:val="bottom"/>
            <w:hideMark/>
          </w:tcPr>
          <w:p w14:paraId="7709B7E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-36.8</w:t>
            </w:r>
          </w:p>
        </w:tc>
        <w:tc>
          <w:tcPr>
            <w:tcW w:w="675" w:type="dxa"/>
            <w:tcBorders>
              <w:top w:val="nil"/>
              <w:left w:val="nil"/>
              <w:bottom w:val="nil"/>
              <w:right w:val="nil"/>
            </w:tcBorders>
            <w:shd w:val="clear" w:color="auto" w:fill="auto"/>
            <w:noWrap/>
            <w:vAlign w:val="bottom"/>
            <w:hideMark/>
          </w:tcPr>
          <w:p w14:paraId="4AE204D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22.1</w:t>
            </w:r>
          </w:p>
        </w:tc>
        <w:tc>
          <w:tcPr>
            <w:tcW w:w="360" w:type="dxa"/>
            <w:tcBorders>
              <w:top w:val="nil"/>
              <w:left w:val="nil"/>
              <w:bottom w:val="nil"/>
              <w:right w:val="nil"/>
            </w:tcBorders>
            <w:shd w:val="clear" w:color="000000" w:fill="BFBFBF"/>
            <w:noWrap/>
            <w:vAlign w:val="bottom"/>
            <w:hideMark/>
          </w:tcPr>
          <w:p w14:paraId="5BE0B526"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360" w:type="dxa"/>
            <w:tcBorders>
              <w:top w:val="nil"/>
              <w:left w:val="nil"/>
              <w:bottom w:val="nil"/>
              <w:right w:val="nil"/>
            </w:tcBorders>
            <w:shd w:val="clear" w:color="000000" w:fill="BFBFBF"/>
            <w:noWrap/>
            <w:vAlign w:val="bottom"/>
            <w:hideMark/>
          </w:tcPr>
          <w:p w14:paraId="5692551C"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787" w:type="dxa"/>
            <w:tcBorders>
              <w:top w:val="nil"/>
              <w:left w:val="nil"/>
              <w:bottom w:val="nil"/>
              <w:right w:val="nil"/>
            </w:tcBorders>
            <w:shd w:val="clear" w:color="auto" w:fill="auto"/>
            <w:noWrap/>
            <w:vAlign w:val="bottom"/>
            <w:hideMark/>
          </w:tcPr>
          <w:p w14:paraId="46D7F90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18</w:t>
            </w:r>
          </w:p>
        </w:tc>
        <w:tc>
          <w:tcPr>
            <w:tcW w:w="742" w:type="dxa"/>
            <w:tcBorders>
              <w:top w:val="nil"/>
              <w:left w:val="nil"/>
              <w:bottom w:val="nil"/>
              <w:right w:val="nil"/>
            </w:tcBorders>
            <w:shd w:val="clear" w:color="auto" w:fill="auto"/>
            <w:noWrap/>
            <w:vAlign w:val="bottom"/>
            <w:hideMark/>
          </w:tcPr>
          <w:p w14:paraId="6678491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-12.2</w:t>
            </w:r>
          </w:p>
        </w:tc>
        <w:tc>
          <w:tcPr>
            <w:tcW w:w="817" w:type="dxa"/>
            <w:tcBorders>
              <w:top w:val="nil"/>
              <w:left w:val="nil"/>
              <w:bottom w:val="nil"/>
              <w:right w:val="nil"/>
            </w:tcBorders>
            <w:shd w:val="clear" w:color="auto" w:fill="auto"/>
            <w:noWrap/>
            <w:vAlign w:val="bottom"/>
            <w:hideMark/>
          </w:tcPr>
          <w:p w14:paraId="2F9809B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59.2</w:t>
            </w:r>
          </w:p>
        </w:tc>
        <w:tc>
          <w:tcPr>
            <w:tcW w:w="696" w:type="dxa"/>
            <w:tcBorders>
              <w:top w:val="nil"/>
              <w:left w:val="nil"/>
              <w:bottom w:val="nil"/>
              <w:right w:val="nil"/>
            </w:tcBorders>
            <w:shd w:val="clear" w:color="auto" w:fill="auto"/>
            <w:noWrap/>
            <w:vAlign w:val="bottom"/>
            <w:hideMark/>
          </w:tcPr>
          <w:p w14:paraId="76BA551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5.8</w:t>
            </w:r>
          </w:p>
        </w:tc>
        <w:tc>
          <w:tcPr>
            <w:tcW w:w="696" w:type="dxa"/>
            <w:tcBorders>
              <w:top w:val="nil"/>
              <w:left w:val="nil"/>
              <w:bottom w:val="nil"/>
              <w:right w:val="nil"/>
            </w:tcBorders>
            <w:shd w:val="clear" w:color="auto" w:fill="auto"/>
            <w:noWrap/>
            <w:vAlign w:val="bottom"/>
            <w:hideMark/>
          </w:tcPr>
          <w:p w14:paraId="655F9E2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27.3</w:t>
            </w:r>
          </w:p>
        </w:tc>
        <w:tc>
          <w:tcPr>
            <w:tcW w:w="727" w:type="dxa"/>
            <w:tcBorders>
              <w:top w:val="nil"/>
              <w:left w:val="nil"/>
              <w:bottom w:val="nil"/>
              <w:right w:val="nil"/>
            </w:tcBorders>
            <w:shd w:val="clear" w:color="auto" w:fill="auto"/>
            <w:noWrap/>
            <w:vAlign w:val="bottom"/>
            <w:hideMark/>
          </w:tcPr>
          <w:p w14:paraId="204465E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27.9</w:t>
            </w:r>
          </w:p>
        </w:tc>
        <w:tc>
          <w:tcPr>
            <w:tcW w:w="361" w:type="dxa"/>
            <w:tcBorders>
              <w:top w:val="nil"/>
              <w:left w:val="nil"/>
              <w:bottom w:val="nil"/>
              <w:right w:val="nil"/>
            </w:tcBorders>
            <w:shd w:val="clear" w:color="000000" w:fill="BFBFBF"/>
            <w:noWrap/>
            <w:vAlign w:val="bottom"/>
            <w:hideMark/>
          </w:tcPr>
          <w:p w14:paraId="7B05961E"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727" w:type="dxa"/>
            <w:tcBorders>
              <w:top w:val="nil"/>
              <w:left w:val="nil"/>
              <w:bottom w:val="nil"/>
              <w:right w:val="nil"/>
            </w:tcBorders>
            <w:shd w:val="clear" w:color="auto" w:fill="auto"/>
            <w:noWrap/>
            <w:vAlign w:val="bottom"/>
            <w:hideMark/>
          </w:tcPr>
          <w:p w14:paraId="205D093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86.2</w:t>
            </w:r>
          </w:p>
        </w:tc>
        <w:tc>
          <w:tcPr>
            <w:tcW w:w="696" w:type="dxa"/>
            <w:tcBorders>
              <w:top w:val="nil"/>
              <w:left w:val="nil"/>
              <w:bottom w:val="nil"/>
              <w:right w:val="nil"/>
            </w:tcBorders>
            <w:shd w:val="clear" w:color="auto" w:fill="auto"/>
            <w:noWrap/>
            <w:vAlign w:val="bottom"/>
            <w:hideMark/>
          </w:tcPr>
          <w:p w14:paraId="2C384B3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22.2</w:t>
            </w:r>
          </w:p>
        </w:tc>
      </w:tr>
      <w:tr w:rsidR="00634ABA" w:rsidRPr="00986F85" w14:paraId="1C7F13D2" w14:textId="77777777" w:rsidTr="00476987">
        <w:trPr>
          <w:trHeight w:val="250"/>
        </w:trPr>
        <w:tc>
          <w:tcPr>
            <w:tcW w:w="360" w:type="dxa"/>
            <w:vMerge/>
            <w:tcBorders>
              <w:top w:val="nil"/>
              <w:left w:val="nil"/>
              <w:bottom w:val="nil"/>
              <w:right w:val="nil"/>
            </w:tcBorders>
            <w:vAlign w:val="center"/>
            <w:hideMark/>
          </w:tcPr>
          <w:p w14:paraId="76B9A7D8" w14:textId="77777777" w:rsidR="00634ABA" w:rsidRPr="00986F85" w:rsidRDefault="00634ABA" w:rsidP="00476987">
            <w:pPr>
              <w:spacing w:after="0" w:line="240" w:lineRule="auto"/>
              <w:rPr>
                <w:rFonts w:eastAsia="Times New Roman"/>
                <w:color w:val="000000"/>
                <w:lang w:eastAsia="hu-HU"/>
              </w:rPr>
            </w:pPr>
          </w:p>
        </w:tc>
        <w:tc>
          <w:tcPr>
            <w:tcW w:w="1488" w:type="dxa"/>
            <w:tcBorders>
              <w:top w:val="nil"/>
              <w:left w:val="nil"/>
              <w:bottom w:val="nil"/>
              <w:right w:val="nil"/>
            </w:tcBorders>
            <w:shd w:val="clear" w:color="auto" w:fill="auto"/>
            <w:noWrap/>
            <w:vAlign w:val="bottom"/>
            <w:hideMark/>
          </w:tcPr>
          <w:p w14:paraId="4B6900E7"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Egy foglalkoztatottra eső árbevétel (%)</w:t>
            </w:r>
          </w:p>
        </w:tc>
        <w:tc>
          <w:tcPr>
            <w:tcW w:w="702" w:type="dxa"/>
            <w:tcBorders>
              <w:top w:val="nil"/>
              <w:left w:val="nil"/>
              <w:bottom w:val="nil"/>
              <w:right w:val="nil"/>
            </w:tcBorders>
            <w:shd w:val="clear" w:color="auto" w:fill="auto"/>
            <w:noWrap/>
            <w:vAlign w:val="bottom"/>
            <w:hideMark/>
          </w:tcPr>
          <w:p w14:paraId="16548C7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3.2</w:t>
            </w:r>
          </w:p>
        </w:tc>
        <w:tc>
          <w:tcPr>
            <w:tcW w:w="742" w:type="dxa"/>
            <w:tcBorders>
              <w:top w:val="nil"/>
              <w:left w:val="nil"/>
              <w:bottom w:val="nil"/>
              <w:right w:val="nil"/>
            </w:tcBorders>
            <w:shd w:val="clear" w:color="auto" w:fill="auto"/>
            <w:noWrap/>
            <w:vAlign w:val="bottom"/>
            <w:hideMark/>
          </w:tcPr>
          <w:p w14:paraId="449C7B7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-19.1</w:t>
            </w:r>
          </w:p>
        </w:tc>
        <w:tc>
          <w:tcPr>
            <w:tcW w:w="787" w:type="dxa"/>
            <w:tcBorders>
              <w:top w:val="nil"/>
              <w:left w:val="nil"/>
              <w:bottom w:val="nil"/>
              <w:right w:val="nil"/>
            </w:tcBorders>
            <w:shd w:val="clear" w:color="auto" w:fill="auto"/>
            <w:noWrap/>
            <w:vAlign w:val="bottom"/>
            <w:hideMark/>
          </w:tcPr>
          <w:p w14:paraId="4238F80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66.1</w:t>
            </w:r>
          </w:p>
        </w:tc>
        <w:tc>
          <w:tcPr>
            <w:tcW w:w="696" w:type="dxa"/>
            <w:tcBorders>
              <w:top w:val="nil"/>
              <w:left w:val="nil"/>
              <w:bottom w:val="nil"/>
              <w:right w:val="nil"/>
            </w:tcBorders>
            <w:shd w:val="clear" w:color="auto" w:fill="auto"/>
            <w:noWrap/>
            <w:vAlign w:val="bottom"/>
            <w:hideMark/>
          </w:tcPr>
          <w:p w14:paraId="1E8F9A5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12.4</w:t>
            </w:r>
          </w:p>
        </w:tc>
        <w:tc>
          <w:tcPr>
            <w:tcW w:w="696" w:type="dxa"/>
            <w:tcBorders>
              <w:top w:val="nil"/>
              <w:left w:val="nil"/>
              <w:bottom w:val="nil"/>
              <w:right w:val="nil"/>
            </w:tcBorders>
            <w:shd w:val="clear" w:color="auto" w:fill="auto"/>
            <w:noWrap/>
            <w:vAlign w:val="bottom"/>
            <w:hideMark/>
          </w:tcPr>
          <w:p w14:paraId="062153E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23.3</w:t>
            </w:r>
          </w:p>
        </w:tc>
        <w:tc>
          <w:tcPr>
            <w:tcW w:w="696" w:type="dxa"/>
            <w:tcBorders>
              <w:top w:val="nil"/>
              <w:left w:val="nil"/>
              <w:bottom w:val="nil"/>
              <w:right w:val="nil"/>
            </w:tcBorders>
            <w:shd w:val="clear" w:color="auto" w:fill="auto"/>
            <w:noWrap/>
            <w:vAlign w:val="bottom"/>
            <w:hideMark/>
          </w:tcPr>
          <w:p w14:paraId="479D6DC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w:t>
            </w:r>
          </w:p>
        </w:tc>
        <w:tc>
          <w:tcPr>
            <w:tcW w:w="817" w:type="dxa"/>
            <w:tcBorders>
              <w:top w:val="nil"/>
              <w:left w:val="nil"/>
              <w:bottom w:val="nil"/>
              <w:right w:val="nil"/>
            </w:tcBorders>
            <w:shd w:val="clear" w:color="auto" w:fill="auto"/>
            <w:noWrap/>
            <w:vAlign w:val="bottom"/>
            <w:hideMark/>
          </w:tcPr>
          <w:p w14:paraId="7D8984D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-1.6</w:t>
            </w:r>
          </w:p>
        </w:tc>
        <w:tc>
          <w:tcPr>
            <w:tcW w:w="742" w:type="dxa"/>
            <w:tcBorders>
              <w:top w:val="nil"/>
              <w:left w:val="nil"/>
              <w:bottom w:val="nil"/>
              <w:right w:val="nil"/>
            </w:tcBorders>
            <w:shd w:val="clear" w:color="auto" w:fill="auto"/>
            <w:noWrap/>
            <w:vAlign w:val="bottom"/>
            <w:hideMark/>
          </w:tcPr>
          <w:p w14:paraId="1FB94D1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42</w:t>
            </w:r>
          </w:p>
        </w:tc>
        <w:tc>
          <w:tcPr>
            <w:tcW w:w="675" w:type="dxa"/>
            <w:tcBorders>
              <w:top w:val="nil"/>
              <w:left w:val="nil"/>
              <w:bottom w:val="nil"/>
              <w:right w:val="nil"/>
            </w:tcBorders>
            <w:shd w:val="clear" w:color="auto" w:fill="auto"/>
            <w:noWrap/>
            <w:vAlign w:val="bottom"/>
            <w:hideMark/>
          </w:tcPr>
          <w:p w14:paraId="22CF85A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-0.8</w:t>
            </w:r>
          </w:p>
        </w:tc>
        <w:tc>
          <w:tcPr>
            <w:tcW w:w="360" w:type="dxa"/>
            <w:tcBorders>
              <w:top w:val="nil"/>
              <w:left w:val="nil"/>
              <w:bottom w:val="nil"/>
              <w:right w:val="nil"/>
            </w:tcBorders>
            <w:shd w:val="clear" w:color="000000" w:fill="BFBFBF"/>
            <w:noWrap/>
            <w:vAlign w:val="bottom"/>
            <w:hideMark/>
          </w:tcPr>
          <w:p w14:paraId="0E46719E"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360" w:type="dxa"/>
            <w:tcBorders>
              <w:top w:val="nil"/>
              <w:left w:val="nil"/>
              <w:bottom w:val="nil"/>
              <w:right w:val="nil"/>
            </w:tcBorders>
            <w:shd w:val="clear" w:color="000000" w:fill="BFBFBF"/>
            <w:noWrap/>
            <w:vAlign w:val="bottom"/>
            <w:hideMark/>
          </w:tcPr>
          <w:p w14:paraId="3F81851A"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787" w:type="dxa"/>
            <w:tcBorders>
              <w:top w:val="nil"/>
              <w:left w:val="nil"/>
              <w:bottom w:val="nil"/>
              <w:right w:val="nil"/>
            </w:tcBorders>
            <w:shd w:val="clear" w:color="auto" w:fill="auto"/>
            <w:noWrap/>
            <w:vAlign w:val="bottom"/>
            <w:hideMark/>
          </w:tcPr>
          <w:p w14:paraId="66DC13F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18</w:t>
            </w:r>
          </w:p>
        </w:tc>
        <w:tc>
          <w:tcPr>
            <w:tcW w:w="742" w:type="dxa"/>
            <w:tcBorders>
              <w:top w:val="nil"/>
              <w:left w:val="nil"/>
              <w:bottom w:val="nil"/>
              <w:right w:val="nil"/>
            </w:tcBorders>
            <w:shd w:val="clear" w:color="auto" w:fill="auto"/>
            <w:noWrap/>
            <w:vAlign w:val="bottom"/>
            <w:hideMark/>
          </w:tcPr>
          <w:p w14:paraId="23F66BD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-15</w:t>
            </w:r>
          </w:p>
        </w:tc>
        <w:tc>
          <w:tcPr>
            <w:tcW w:w="817" w:type="dxa"/>
            <w:tcBorders>
              <w:top w:val="nil"/>
              <w:left w:val="nil"/>
              <w:bottom w:val="nil"/>
              <w:right w:val="nil"/>
            </w:tcBorders>
            <w:shd w:val="clear" w:color="auto" w:fill="auto"/>
            <w:noWrap/>
            <w:vAlign w:val="bottom"/>
            <w:hideMark/>
          </w:tcPr>
          <w:p w14:paraId="3F947FD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22.4</w:t>
            </w:r>
          </w:p>
        </w:tc>
        <w:tc>
          <w:tcPr>
            <w:tcW w:w="696" w:type="dxa"/>
            <w:tcBorders>
              <w:top w:val="nil"/>
              <w:left w:val="nil"/>
              <w:bottom w:val="nil"/>
              <w:right w:val="nil"/>
            </w:tcBorders>
            <w:shd w:val="clear" w:color="auto" w:fill="auto"/>
            <w:noWrap/>
            <w:vAlign w:val="bottom"/>
            <w:hideMark/>
          </w:tcPr>
          <w:p w14:paraId="3EF8EEF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11.2</w:t>
            </w:r>
          </w:p>
        </w:tc>
        <w:tc>
          <w:tcPr>
            <w:tcW w:w="696" w:type="dxa"/>
            <w:tcBorders>
              <w:top w:val="nil"/>
              <w:left w:val="nil"/>
              <w:bottom w:val="nil"/>
              <w:right w:val="nil"/>
            </w:tcBorders>
            <w:shd w:val="clear" w:color="auto" w:fill="auto"/>
            <w:noWrap/>
            <w:vAlign w:val="bottom"/>
            <w:hideMark/>
          </w:tcPr>
          <w:p w14:paraId="6EF4326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19.2</w:t>
            </w:r>
          </w:p>
        </w:tc>
        <w:tc>
          <w:tcPr>
            <w:tcW w:w="727" w:type="dxa"/>
            <w:tcBorders>
              <w:top w:val="nil"/>
              <w:left w:val="nil"/>
              <w:bottom w:val="nil"/>
              <w:right w:val="nil"/>
            </w:tcBorders>
            <w:shd w:val="clear" w:color="auto" w:fill="auto"/>
            <w:noWrap/>
            <w:vAlign w:val="bottom"/>
            <w:hideMark/>
          </w:tcPr>
          <w:p w14:paraId="293D730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7.5</w:t>
            </w:r>
          </w:p>
        </w:tc>
        <w:tc>
          <w:tcPr>
            <w:tcW w:w="361" w:type="dxa"/>
            <w:tcBorders>
              <w:top w:val="nil"/>
              <w:left w:val="nil"/>
              <w:bottom w:val="nil"/>
              <w:right w:val="nil"/>
            </w:tcBorders>
            <w:shd w:val="clear" w:color="000000" w:fill="BFBFBF"/>
            <w:noWrap/>
            <w:vAlign w:val="bottom"/>
            <w:hideMark/>
          </w:tcPr>
          <w:p w14:paraId="3571B705"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727" w:type="dxa"/>
            <w:tcBorders>
              <w:top w:val="nil"/>
              <w:left w:val="nil"/>
              <w:bottom w:val="nil"/>
              <w:right w:val="nil"/>
            </w:tcBorders>
            <w:shd w:val="clear" w:color="auto" w:fill="auto"/>
            <w:noWrap/>
            <w:vAlign w:val="bottom"/>
            <w:hideMark/>
          </w:tcPr>
          <w:p w14:paraId="6687037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78.7</w:t>
            </w:r>
          </w:p>
        </w:tc>
        <w:tc>
          <w:tcPr>
            <w:tcW w:w="696" w:type="dxa"/>
            <w:tcBorders>
              <w:top w:val="nil"/>
              <w:left w:val="nil"/>
              <w:bottom w:val="nil"/>
              <w:right w:val="nil"/>
            </w:tcBorders>
            <w:shd w:val="clear" w:color="auto" w:fill="auto"/>
            <w:noWrap/>
            <w:vAlign w:val="bottom"/>
            <w:hideMark/>
          </w:tcPr>
          <w:p w14:paraId="649E005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12.4</w:t>
            </w:r>
          </w:p>
        </w:tc>
      </w:tr>
      <w:tr w:rsidR="00634ABA" w:rsidRPr="00986F85" w14:paraId="373B8E07" w14:textId="77777777" w:rsidTr="00476987">
        <w:trPr>
          <w:trHeight w:val="250"/>
        </w:trPr>
        <w:tc>
          <w:tcPr>
            <w:tcW w:w="360" w:type="dxa"/>
            <w:vMerge/>
            <w:tcBorders>
              <w:top w:val="nil"/>
              <w:left w:val="nil"/>
              <w:bottom w:val="nil"/>
              <w:right w:val="nil"/>
            </w:tcBorders>
            <w:vAlign w:val="center"/>
            <w:hideMark/>
          </w:tcPr>
          <w:p w14:paraId="52282472" w14:textId="77777777" w:rsidR="00634ABA" w:rsidRPr="00986F85" w:rsidRDefault="00634ABA" w:rsidP="00476987">
            <w:pPr>
              <w:spacing w:after="0" w:line="240" w:lineRule="auto"/>
              <w:rPr>
                <w:rFonts w:eastAsia="Times New Roman"/>
                <w:color w:val="000000"/>
                <w:lang w:eastAsia="hu-HU"/>
              </w:rPr>
            </w:pPr>
          </w:p>
        </w:tc>
        <w:tc>
          <w:tcPr>
            <w:tcW w:w="1488" w:type="dxa"/>
            <w:tcBorders>
              <w:top w:val="nil"/>
              <w:left w:val="nil"/>
              <w:bottom w:val="nil"/>
              <w:right w:val="nil"/>
            </w:tcBorders>
            <w:shd w:val="clear" w:color="auto" w:fill="auto"/>
            <w:noWrap/>
            <w:vAlign w:val="bottom"/>
            <w:hideMark/>
          </w:tcPr>
          <w:p w14:paraId="690B1C5A"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Tárgyi eszköz (%)</w:t>
            </w:r>
          </w:p>
        </w:tc>
        <w:tc>
          <w:tcPr>
            <w:tcW w:w="702" w:type="dxa"/>
            <w:tcBorders>
              <w:top w:val="nil"/>
              <w:left w:val="nil"/>
              <w:bottom w:val="nil"/>
              <w:right w:val="nil"/>
            </w:tcBorders>
            <w:shd w:val="clear" w:color="auto" w:fill="auto"/>
            <w:noWrap/>
            <w:vAlign w:val="bottom"/>
            <w:hideMark/>
          </w:tcPr>
          <w:p w14:paraId="6A4B9AF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67.3</w:t>
            </w:r>
          </w:p>
        </w:tc>
        <w:tc>
          <w:tcPr>
            <w:tcW w:w="742" w:type="dxa"/>
            <w:tcBorders>
              <w:top w:val="nil"/>
              <w:left w:val="nil"/>
              <w:bottom w:val="nil"/>
              <w:right w:val="nil"/>
            </w:tcBorders>
            <w:shd w:val="clear" w:color="auto" w:fill="auto"/>
            <w:noWrap/>
            <w:vAlign w:val="bottom"/>
            <w:hideMark/>
          </w:tcPr>
          <w:p w14:paraId="7184A94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-21.3</w:t>
            </w:r>
          </w:p>
        </w:tc>
        <w:tc>
          <w:tcPr>
            <w:tcW w:w="787" w:type="dxa"/>
            <w:tcBorders>
              <w:top w:val="nil"/>
              <w:left w:val="nil"/>
              <w:bottom w:val="nil"/>
              <w:right w:val="nil"/>
            </w:tcBorders>
            <w:shd w:val="clear" w:color="auto" w:fill="auto"/>
            <w:noWrap/>
            <w:vAlign w:val="bottom"/>
            <w:hideMark/>
          </w:tcPr>
          <w:p w14:paraId="095F07C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66.7</w:t>
            </w:r>
          </w:p>
        </w:tc>
        <w:tc>
          <w:tcPr>
            <w:tcW w:w="696" w:type="dxa"/>
            <w:tcBorders>
              <w:top w:val="nil"/>
              <w:left w:val="nil"/>
              <w:bottom w:val="nil"/>
              <w:right w:val="nil"/>
            </w:tcBorders>
            <w:shd w:val="clear" w:color="auto" w:fill="auto"/>
            <w:noWrap/>
            <w:vAlign w:val="bottom"/>
            <w:hideMark/>
          </w:tcPr>
          <w:p w14:paraId="1DBAF27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52.5</w:t>
            </w:r>
          </w:p>
        </w:tc>
        <w:tc>
          <w:tcPr>
            <w:tcW w:w="696" w:type="dxa"/>
            <w:tcBorders>
              <w:top w:val="nil"/>
              <w:left w:val="nil"/>
              <w:bottom w:val="nil"/>
              <w:right w:val="nil"/>
            </w:tcBorders>
            <w:shd w:val="clear" w:color="auto" w:fill="auto"/>
            <w:noWrap/>
            <w:vAlign w:val="bottom"/>
            <w:hideMark/>
          </w:tcPr>
          <w:p w14:paraId="27F421B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33.9</w:t>
            </w:r>
          </w:p>
        </w:tc>
        <w:tc>
          <w:tcPr>
            <w:tcW w:w="696" w:type="dxa"/>
            <w:tcBorders>
              <w:top w:val="nil"/>
              <w:left w:val="nil"/>
              <w:bottom w:val="nil"/>
              <w:right w:val="nil"/>
            </w:tcBorders>
            <w:shd w:val="clear" w:color="auto" w:fill="auto"/>
            <w:noWrap/>
            <w:vAlign w:val="bottom"/>
            <w:hideMark/>
          </w:tcPr>
          <w:p w14:paraId="5BBE073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10.3</w:t>
            </w:r>
          </w:p>
        </w:tc>
        <w:tc>
          <w:tcPr>
            <w:tcW w:w="817" w:type="dxa"/>
            <w:tcBorders>
              <w:top w:val="nil"/>
              <w:left w:val="nil"/>
              <w:bottom w:val="nil"/>
              <w:right w:val="nil"/>
            </w:tcBorders>
            <w:shd w:val="clear" w:color="auto" w:fill="auto"/>
            <w:noWrap/>
            <w:vAlign w:val="bottom"/>
            <w:hideMark/>
          </w:tcPr>
          <w:p w14:paraId="24281A2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46.6</w:t>
            </w:r>
          </w:p>
        </w:tc>
        <w:tc>
          <w:tcPr>
            <w:tcW w:w="742" w:type="dxa"/>
            <w:tcBorders>
              <w:top w:val="nil"/>
              <w:left w:val="nil"/>
              <w:bottom w:val="nil"/>
              <w:right w:val="nil"/>
            </w:tcBorders>
            <w:shd w:val="clear" w:color="auto" w:fill="auto"/>
            <w:noWrap/>
            <w:vAlign w:val="bottom"/>
            <w:hideMark/>
          </w:tcPr>
          <w:p w14:paraId="318135F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33.8</w:t>
            </w:r>
          </w:p>
        </w:tc>
        <w:tc>
          <w:tcPr>
            <w:tcW w:w="675" w:type="dxa"/>
            <w:tcBorders>
              <w:top w:val="nil"/>
              <w:left w:val="nil"/>
              <w:bottom w:val="nil"/>
              <w:right w:val="nil"/>
            </w:tcBorders>
            <w:shd w:val="clear" w:color="auto" w:fill="auto"/>
            <w:noWrap/>
            <w:vAlign w:val="bottom"/>
            <w:hideMark/>
          </w:tcPr>
          <w:p w14:paraId="44FF599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34.8</w:t>
            </w:r>
          </w:p>
        </w:tc>
        <w:tc>
          <w:tcPr>
            <w:tcW w:w="360" w:type="dxa"/>
            <w:tcBorders>
              <w:top w:val="nil"/>
              <w:left w:val="nil"/>
              <w:bottom w:val="nil"/>
              <w:right w:val="nil"/>
            </w:tcBorders>
            <w:shd w:val="clear" w:color="000000" w:fill="BFBFBF"/>
            <w:noWrap/>
            <w:vAlign w:val="bottom"/>
            <w:hideMark/>
          </w:tcPr>
          <w:p w14:paraId="131C8CB6"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360" w:type="dxa"/>
            <w:tcBorders>
              <w:top w:val="nil"/>
              <w:left w:val="nil"/>
              <w:bottom w:val="nil"/>
              <w:right w:val="nil"/>
            </w:tcBorders>
            <w:shd w:val="clear" w:color="000000" w:fill="BFBFBF"/>
            <w:noWrap/>
            <w:vAlign w:val="bottom"/>
            <w:hideMark/>
          </w:tcPr>
          <w:p w14:paraId="494EE4F4"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787" w:type="dxa"/>
            <w:tcBorders>
              <w:top w:val="nil"/>
              <w:left w:val="nil"/>
              <w:bottom w:val="nil"/>
              <w:right w:val="nil"/>
            </w:tcBorders>
            <w:shd w:val="clear" w:color="auto" w:fill="auto"/>
            <w:noWrap/>
            <w:vAlign w:val="bottom"/>
            <w:hideMark/>
          </w:tcPr>
          <w:p w14:paraId="72B23F6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-4.5</w:t>
            </w:r>
          </w:p>
        </w:tc>
        <w:tc>
          <w:tcPr>
            <w:tcW w:w="742" w:type="dxa"/>
            <w:tcBorders>
              <w:top w:val="nil"/>
              <w:left w:val="nil"/>
              <w:bottom w:val="nil"/>
              <w:right w:val="nil"/>
            </w:tcBorders>
            <w:shd w:val="clear" w:color="auto" w:fill="auto"/>
            <w:noWrap/>
            <w:vAlign w:val="bottom"/>
            <w:hideMark/>
          </w:tcPr>
          <w:p w14:paraId="3B3644C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34.1</w:t>
            </w:r>
          </w:p>
        </w:tc>
        <w:tc>
          <w:tcPr>
            <w:tcW w:w="817" w:type="dxa"/>
            <w:tcBorders>
              <w:top w:val="nil"/>
              <w:left w:val="nil"/>
              <w:bottom w:val="nil"/>
              <w:right w:val="nil"/>
            </w:tcBorders>
            <w:shd w:val="clear" w:color="auto" w:fill="auto"/>
            <w:noWrap/>
            <w:vAlign w:val="bottom"/>
            <w:hideMark/>
          </w:tcPr>
          <w:p w14:paraId="2BFA614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24.3</w:t>
            </w:r>
          </w:p>
        </w:tc>
        <w:tc>
          <w:tcPr>
            <w:tcW w:w="696" w:type="dxa"/>
            <w:tcBorders>
              <w:top w:val="nil"/>
              <w:left w:val="nil"/>
              <w:bottom w:val="nil"/>
              <w:right w:val="nil"/>
            </w:tcBorders>
            <w:shd w:val="clear" w:color="auto" w:fill="auto"/>
            <w:noWrap/>
            <w:vAlign w:val="bottom"/>
            <w:hideMark/>
          </w:tcPr>
          <w:p w14:paraId="3F730E2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9.7</w:t>
            </w:r>
          </w:p>
        </w:tc>
        <w:tc>
          <w:tcPr>
            <w:tcW w:w="696" w:type="dxa"/>
            <w:tcBorders>
              <w:top w:val="nil"/>
              <w:left w:val="nil"/>
              <w:bottom w:val="nil"/>
              <w:right w:val="nil"/>
            </w:tcBorders>
            <w:shd w:val="clear" w:color="auto" w:fill="auto"/>
            <w:noWrap/>
            <w:vAlign w:val="bottom"/>
            <w:hideMark/>
          </w:tcPr>
          <w:p w14:paraId="3BF3BA5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45.3</w:t>
            </w:r>
          </w:p>
        </w:tc>
        <w:tc>
          <w:tcPr>
            <w:tcW w:w="727" w:type="dxa"/>
            <w:tcBorders>
              <w:top w:val="nil"/>
              <w:left w:val="nil"/>
              <w:bottom w:val="nil"/>
              <w:right w:val="nil"/>
            </w:tcBorders>
            <w:shd w:val="clear" w:color="auto" w:fill="auto"/>
            <w:noWrap/>
            <w:vAlign w:val="bottom"/>
            <w:hideMark/>
          </w:tcPr>
          <w:p w14:paraId="103FE42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26</w:t>
            </w:r>
          </w:p>
        </w:tc>
        <w:tc>
          <w:tcPr>
            <w:tcW w:w="361" w:type="dxa"/>
            <w:tcBorders>
              <w:top w:val="nil"/>
              <w:left w:val="nil"/>
              <w:bottom w:val="nil"/>
              <w:right w:val="nil"/>
            </w:tcBorders>
            <w:shd w:val="clear" w:color="000000" w:fill="BFBFBF"/>
            <w:noWrap/>
            <w:vAlign w:val="bottom"/>
            <w:hideMark/>
          </w:tcPr>
          <w:p w14:paraId="7E20C2D8"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727" w:type="dxa"/>
            <w:tcBorders>
              <w:top w:val="nil"/>
              <w:left w:val="nil"/>
              <w:bottom w:val="nil"/>
              <w:right w:val="nil"/>
            </w:tcBorders>
            <w:shd w:val="clear" w:color="auto" w:fill="auto"/>
            <w:noWrap/>
            <w:vAlign w:val="bottom"/>
            <w:hideMark/>
          </w:tcPr>
          <w:p w14:paraId="49DFE36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73.4</w:t>
            </w:r>
          </w:p>
        </w:tc>
        <w:tc>
          <w:tcPr>
            <w:tcW w:w="696" w:type="dxa"/>
            <w:tcBorders>
              <w:top w:val="nil"/>
              <w:left w:val="nil"/>
              <w:bottom w:val="nil"/>
              <w:right w:val="nil"/>
            </w:tcBorders>
            <w:shd w:val="clear" w:color="auto" w:fill="auto"/>
            <w:noWrap/>
            <w:vAlign w:val="bottom"/>
            <w:hideMark/>
          </w:tcPr>
          <w:p w14:paraId="2D231DD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34.5</w:t>
            </w:r>
          </w:p>
        </w:tc>
      </w:tr>
      <w:tr w:rsidR="00634ABA" w:rsidRPr="00986F85" w14:paraId="3CA069B0" w14:textId="77777777" w:rsidTr="00476987">
        <w:trPr>
          <w:trHeight w:val="250"/>
        </w:trPr>
        <w:tc>
          <w:tcPr>
            <w:tcW w:w="360" w:type="dxa"/>
            <w:vMerge/>
            <w:tcBorders>
              <w:top w:val="nil"/>
              <w:left w:val="nil"/>
              <w:bottom w:val="nil"/>
              <w:right w:val="nil"/>
            </w:tcBorders>
            <w:vAlign w:val="center"/>
            <w:hideMark/>
          </w:tcPr>
          <w:p w14:paraId="02C477BE" w14:textId="77777777" w:rsidR="00634ABA" w:rsidRPr="00986F85" w:rsidRDefault="00634ABA" w:rsidP="00476987">
            <w:pPr>
              <w:spacing w:after="0" w:line="240" w:lineRule="auto"/>
              <w:rPr>
                <w:rFonts w:eastAsia="Times New Roman"/>
                <w:color w:val="000000"/>
                <w:lang w:eastAsia="hu-HU"/>
              </w:rPr>
            </w:pPr>
          </w:p>
        </w:tc>
        <w:tc>
          <w:tcPr>
            <w:tcW w:w="1488" w:type="dxa"/>
            <w:tcBorders>
              <w:top w:val="nil"/>
              <w:left w:val="nil"/>
              <w:bottom w:val="nil"/>
              <w:right w:val="nil"/>
            </w:tcBorders>
            <w:shd w:val="clear" w:color="auto" w:fill="auto"/>
            <w:noWrap/>
            <w:vAlign w:val="bottom"/>
            <w:hideMark/>
          </w:tcPr>
          <w:p w14:paraId="4632554B"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Tőkeintenzitás (%)</w:t>
            </w:r>
          </w:p>
        </w:tc>
        <w:tc>
          <w:tcPr>
            <w:tcW w:w="702" w:type="dxa"/>
            <w:tcBorders>
              <w:top w:val="nil"/>
              <w:left w:val="nil"/>
              <w:bottom w:val="nil"/>
              <w:right w:val="nil"/>
            </w:tcBorders>
            <w:shd w:val="clear" w:color="auto" w:fill="auto"/>
            <w:noWrap/>
            <w:vAlign w:val="bottom"/>
            <w:hideMark/>
          </w:tcPr>
          <w:p w14:paraId="13FEEA9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38</w:t>
            </w:r>
          </w:p>
        </w:tc>
        <w:tc>
          <w:tcPr>
            <w:tcW w:w="742" w:type="dxa"/>
            <w:tcBorders>
              <w:top w:val="nil"/>
              <w:left w:val="nil"/>
              <w:bottom w:val="nil"/>
              <w:right w:val="nil"/>
            </w:tcBorders>
            <w:shd w:val="clear" w:color="auto" w:fill="auto"/>
            <w:noWrap/>
            <w:vAlign w:val="bottom"/>
            <w:hideMark/>
          </w:tcPr>
          <w:p w14:paraId="357AE3F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-21.3</w:t>
            </w:r>
          </w:p>
        </w:tc>
        <w:tc>
          <w:tcPr>
            <w:tcW w:w="787" w:type="dxa"/>
            <w:tcBorders>
              <w:top w:val="nil"/>
              <w:left w:val="nil"/>
              <w:bottom w:val="nil"/>
              <w:right w:val="nil"/>
            </w:tcBorders>
            <w:shd w:val="clear" w:color="auto" w:fill="auto"/>
            <w:noWrap/>
            <w:vAlign w:val="bottom"/>
            <w:hideMark/>
          </w:tcPr>
          <w:p w14:paraId="4687982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45.2</w:t>
            </w:r>
          </w:p>
        </w:tc>
        <w:tc>
          <w:tcPr>
            <w:tcW w:w="696" w:type="dxa"/>
            <w:tcBorders>
              <w:top w:val="nil"/>
              <w:left w:val="nil"/>
              <w:bottom w:val="nil"/>
              <w:right w:val="nil"/>
            </w:tcBorders>
            <w:shd w:val="clear" w:color="auto" w:fill="auto"/>
            <w:noWrap/>
            <w:vAlign w:val="bottom"/>
            <w:hideMark/>
          </w:tcPr>
          <w:p w14:paraId="5AE3DBF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37.8</w:t>
            </w:r>
          </w:p>
        </w:tc>
        <w:tc>
          <w:tcPr>
            <w:tcW w:w="696" w:type="dxa"/>
            <w:tcBorders>
              <w:top w:val="nil"/>
              <w:left w:val="nil"/>
              <w:bottom w:val="nil"/>
              <w:right w:val="nil"/>
            </w:tcBorders>
            <w:shd w:val="clear" w:color="auto" w:fill="auto"/>
            <w:noWrap/>
            <w:vAlign w:val="bottom"/>
            <w:hideMark/>
          </w:tcPr>
          <w:p w14:paraId="727A727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35</w:t>
            </w:r>
          </w:p>
        </w:tc>
        <w:tc>
          <w:tcPr>
            <w:tcW w:w="696" w:type="dxa"/>
            <w:tcBorders>
              <w:top w:val="nil"/>
              <w:left w:val="nil"/>
              <w:bottom w:val="nil"/>
              <w:right w:val="nil"/>
            </w:tcBorders>
            <w:shd w:val="clear" w:color="auto" w:fill="auto"/>
            <w:noWrap/>
            <w:vAlign w:val="bottom"/>
            <w:hideMark/>
          </w:tcPr>
          <w:p w14:paraId="5E87047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39.6</w:t>
            </w:r>
          </w:p>
        </w:tc>
        <w:tc>
          <w:tcPr>
            <w:tcW w:w="817" w:type="dxa"/>
            <w:tcBorders>
              <w:top w:val="nil"/>
              <w:left w:val="nil"/>
              <w:bottom w:val="nil"/>
              <w:right w:val="nil"/>
            </w:tcBorders>
            <w:shd w:val="clear" w:color="auto" w:fill="auto"/>
            <w:noWrap/>
            <w:vAlign w:val="bottom"/>
            <w:hideMark/>
          </w:tcPr>
          <w:p w14:paraId="7CC442F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26.4</w:t>
            </w:r>
          </w:p>
        </w:tc>
        <w:tc>
          <w:tcPr>
            <w:tcW w:w="742" w:type="dxa"/>
            <w:tcBorders>
              <w:top w:val="nil"/>
              <w:left w:val="nil"/>
              <w:bottom w:val="nil"/>
              <w:right w:val="nil"/>
            </w:tcBorders>
            <w:shd w:val="clear" w:color="auto" w:fill="auto"/>
            <w:noWrap/>
            <w:vAlign w:val="bottom"/>
            <w:hideMark/>
          </w:tcPr>
          <w:p w14:paraId="10490A5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185.9</w:t>
            </w:r>
          </w:p>
        </w:tc>
        <w:tc>
          <w:tcPr>
            <w:tcW w:w="675" w:type="dxa"/>
            <w:tcBorders>
              <w:top w:val="nil"/>
              <w:left w:val="nil"/>
              <w:bottom w:val="nil"/>
              <w:right w:val="nil"/>
            </w:tcBorders>
            <w:shd w:val="clear" w:color="auto" w:fill="auto"/>
            <w:noWrap/>
            <w:vAlign w:val="bottom"/>
            <w:hideMark/>
          </w:tcPr>
          <w:p w14:paraId="5D1E8FE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15.1</w:t>
            </w:r>
          </w:p>
        </w:tc>
        <w:tc>
          <w:tcPr>
            <w:tcW w:w="360" w:type="dxa"/>
            <w:tcBorders>
              <w:top w:val="nil"/>
              <w:left w:val="nil"/>
              <w:bottom w:val="nil"/>
              <w:right w:val="nil"/>
            </w:tcBorders>
            <w:shd w:val="clear" w:color="000000" w:fill="BFBFBF"/>
            <w:noWrap/>
            <w:vAlign w:val="bottom"/>
            <w:hideMark/>
          </w:tcPr>
          <w:p w14:paraId="7884A5FA"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360" w:type="dxa"/>
            <w:tcBorders>
              <w:top w:val="nil"/>
              <w:left w:val="nil"/>
              <w:bottom w:val="nil"/>
              <w:right w:val="nil"/>
            </w:tcBorders>
            <w:shd w:val="clear" w:color="000000" w:fill="BFBFBF"/>
            <w:noWrap/>
            <w:vAlign w:val="bottom"/>
            <w:hideMark/>
          </w:tcPr>
          <w:p w14:paraId="13E06614"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787" w:type="dxa"/>
            <w:tcBorders>
              <w:top w:val="nil"/>
              <w:left w:val="nil"/>
              <w:bottom w:val="nil"/>
              <w:right w:val="nil"/>
            </w:tcBorders>
            <w:shd w:val="clear" w:color="auto" w:fill="auto"/>
            <w:noWrap/>
            <w:vAlign w:val="bottom"/>
            <w:hideMark/>
          </w:tcPr>
          <w:p w14:paraId="22B8C34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-4.5</w:t>
            </w:r>
          </w:p>
        </w:tc>
        <w:tc>
          <w:tcPr>
            <w:tcW w:w="742" w:type="dxa"/>
            <w:tcBorders>
              <w:top w:val="nil"/>
              <w:left w:val="nil"/>
              <w:bottom w:val="nil"/>
              <w:right w:val="nil"/>
            </w:tcBorders>
            <w:shd w:val="clear" w:color="auto" w:fill="auto"/>
            <w:noWrap/>
            <w:vAlign w:val="bottom"/>
            <w:hideMark/>
          </w:tcPr>
          <w:p w14:paraId="2528C64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35.8</w:t>
            </w:r>
          </w:p>
        </w:tc>
        <w:tc>
          <w:tcPr>
            <w:tcW w:w="817" w:type="dxa"/>
            <w:tcBorders>
              <w:top w:val="nil"/>
              <w:left w:val="nil"/>
              <w:bottom w:val="nil"/>
              <w:right w:val="nil"/>
            </w:tcBorders>
            <w:shd w:val="clear" w:color="auto" w:fill="auto"/>
            <w:noWrap/>
            <w:vAlign w:val="bottom"/>
            <w:hideMark/>
          </w:tcPr>
          <w:p w14:paraId="284C385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15.4</w:t>
            </w:r>
          </w:p>
        </w:tc>
        <w:tc>
          <w:tcPr>
            <w:tcW w:w="696" w:type="dxa"/>
            <w:tcBorders>
              <w:top w:val="nil"/>
              <w:left w:val="nil"/>
              <w:bottom w:val="nil"/>
              <w:right w:val="nil"/>
            </w:tcBorders>
            <w:shd w:val="clear" w:color="auto" w:fill="auto"/>
            <w:noWrap/>
            <w:vAlign w:val="bottom"/>
            <w:hideMark/>
          </w:tcPr>
          <w:p w14:paraId="0F1A163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24.9</w:t>
            </w:r>
          </w:p>
        </w:tc>
        <w:tc>
          <w:tcPr>
            <w:tcW w:w="696" w:type="dxa"/>
            <w:tcBorders>
              <w:top w:val="nil"/>
              <w:left w:val="nil"/>
              <w:bottom w:val="nil"/>
              <w:right w:val="nil"/>
            </w:tcBorders>
            <w:shd w:val="clear" w:color="auto" w:fill="auto"/>
            <w:noWrap/>
            <w:vAlign w:val="bottom"/>
            <w:hideMark/>
          </w:tcPr>
          <w:p w14:paraId="76D2B65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49.3</w:t>
            </w:r>
          </w:p>
        </w:tc>
        <w:tc>
          <w:tcPr>
            <w:tcW w:w="727" w:type="dxa"/>
            <w:tcBorders>
              <w:top w:val="nil"/>
              <w:left w:val="nil"/>
              <w:bottom w:val="nil"/>
              <w:right w:val="nil"/>
            </w:tcBorders>
            <w:shd w:val="clear" w:color="auto" w:fill="auto"/>
            <w:noWrap/>
            <w:vAlign w:val="bottom"/>
            <w:hideMark/>
          </w:tcPr>
          <w:p w14:paraId="0CAACFB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w:t>
            </w:r>
          </w:p>
        </w:tc>
        <w:tc>
          <w:tcPr>
            <w:tcW w:w="361" w:type="dxa"/>
            <w:tcBorders>
              <w:top w:val="nil"/>
              <w:left w:val="nil"/>
              <w:bottom w:val="nil"/>
              <w:right w:val="nil"/>
            </w:tcBorders>
            <w:shd w:val="clear" w:color="000000" w:fill="BFBFBF"/>
            <w:noWrap/>
            <w:vAlign w:val="bottom"/>
            <w:hideMark/>
          </w:tcPr>
          <w:p w14:paraId="0FEFC00E"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727" w:type="dxa"/>
            <w:tcBorders>
              <w:top w:val="nil"/>
              <w:left w:val="nil"/>
              <w:bottom w:val="nil"/>
              <w:right w:val="nil"/>
            </w:tcBorders>
            <w:shd w:val="clear" w:color="auto" w:fill="auto"/>
            <w:noWrap/>
            <w:vAlign w:val="bottom"/>
            <w:hideMark/>
          </w:tcPr>
          <w:p w14:paraId="7BA7966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52.2</w:t>
            </w:r>
          </w:p>
        </w:tc>
        <w:tc>
          <w:tcPr>
            <w:tcW w:w="696" w:type="dxa"/>
            <w:tcBorders>
              <w:top w:val="nil"/>
              <w:left w:val="nil"/>
              <w:bottom w:val="nil"/>
              <w:right w:val="nil"/>
            </w:tcBorders>
            <w:shd w:val="clear" w:color="auto" w:fill="auto"/>
            <w:noWrap/>
            <w:vAlign w:val="bottom"/>
            <w:hideMark/>
          </w:tcPr>
          <w:p w14:paraId="6740D10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27.3</w:t>
            </w:r>
          </w:p>
        </w:tc>
      </w:tr>
      <w:tr w:rsidR="00634ABA" w:rsidRPr="00986F85" w14:paraId="7091D832" w14:textId="77777777" w:rsidTr="00476987">
        <w:trPr>
          <w:trHeight w:val="250"/>
        </w:trPr>
        <w:tc>
          <w:tcPr>
            <w:tcW w:w="360" w:type="dxa"/>
            <w:vMerge/>
            <w:tcBorders>
              <w:top w:val="nil"/>
              <w:left w:val="nil"/>
              <w:bottom w:val="nil"/>
              <w:right w:val="nil"/>
            </w:tcBorders>
            <w:vAlign w:val="center"/>
            <w:hideMark/>
          </w:tcPr>
          <w:p w14:paraId="710364D8" w14:textId="77777777" w:rsidR="00634ABA" w:rsidRPr="00986F85" w:rsidRDefault="00634ABA" w:rsidP="00476987">
            <w:pPr>
              <w:spacing w:after="0" w:line="240" w:lineRule="auto"/>
              <w:rPr>
                <w:rFonts w:eastAsia="Times New Roman"/>
                <w:color w:val="000000"/>
                <w:lang w:eastAsia="hu-HU"/>
              </w:rPr>
            </w:pPr>
          </w:p>
        </w:tc>
        <w:tc>
          <w:tcPr>
            <w:tcW w:w="1488" w:type="dxa"/>
            <w:tcBorders>
              <w:top w:val="nil"/>
              <w:left w:val="nil"/>
              <w:bottom w:val="nil"/>
              <w:right w:val="nil"/>
            </w:tcBorders>
            <w:shd w:val="clear" w:color="auto" w:fill="auto"/>
            <w:noWrap/>
            <w:vAlign w:val="bottom"/>
            <w:hideMark/>
          </w:tcPr>
          <w:p w14:paraId="2A409F7E"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Jegyzett tőke</w:t>
            </w:r>
          </w:p>
        </w:tc>
        <w:tc>
          <w:tcPr>
            <w:tcW w:w="702" w:type="dxa"/>
            <w:tcBorders>
              <w:top w:val="nil"/>
              <w:left w:val="nil"/>
              <w:bottom w:val="nil"/>
              <w:right w:val="nil"/>
            </w:tcBorders>
            <w:shd w:val="clear" w:color="auto" w:fill="auto"/>
            <w:noWrap/>
            <w:vAlign w:val="bottom"/>
            <w:hideMark/>
          </w:tcPr>
          <w:p w14:paraId="0C33635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742" w:type="dxa"/>
            <w:tcBorders>
              <w:top w:val="nil"/>
              <w:left w:val="nil"/>
              <w:bottom w:val="nil"/>
              <w:right w:val="nil"/>
            </w:tcBorders>
            <w:shd w:val="clear" w:color="auto" w:fill="auto"/>
            <w:noWrap/>
            <w:vAlign w:val="bottom"/>
            <w:hideMark/>
          </w:tcPr>
          <w:p w14:paraId="2A76CDC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787" w:type="dxa"/>
            <w:tcBorders>
              <w:top w:val="nil"/>
              <w:left w:val="nil"/>
              <w:bottom w:val="nil"/>
              <w:right w:val="nil"/>
            </w:tcBorders>
            <w:shd w:val="clear" w:color="auto" w:fill="auto"/>
            <w:noWrap/>
            <w:vAlign w:val="bottom"/>
            <w:hideMark/>
          </w:tcPr>
          <w:p w14:paraId="2AC14EF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96" w:type="dxa"/>
            <w:tcBorders>
              <w:top w:val="nil"/>
              <w:left w:val="nil"/>
              <w:bottom w:val="nil"/>
              <w:right w:val="nil"/>
            </w:tcBorders>
            <w:shd w:val="clear" w:color="auto" w:fill="auto"/>
            <w:noWrap/>
            <w:vAlign w:val="bottom"/>
            <w:hideMark/>
          </w:tcPr>
          <w:p w14:paraId="54FE52D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96" w:type="dxa"/>
            <w:tcBorders>
              <w:top w:val="nil"/>
              <w:left w:val="nil"/>
              <w:bottom w:val="nil"/>
              <w:right w:val="nil"/>
            </w:tcBorders>
            <w:shd w:val="clear" w:color="auto" w:fill="auto"/>
            <w:noWrap/>
            <w:vAlign w:val="bottom"/>
            <w:hideMark/>
          </w:tcPr>
          <w:p w14:paraId="3BBD9D8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96" w:type="dxa"/>
            <w:tcBorders>
              <w:top w:val="nil"/>
              <w:left w:val="nil"/>
              <w:bottom w:val="nil"/>
              <w:right w:val="nil"/>
            </w:tcBorders>
            <w:shd w:val="clear" w:color="auto" w:fill="auto"/>
            <w:noWrap/>
            <w:vAlign w:val="bottom"/>
            <w:hideMark/>
          </w:tcPr>
          <w:p w14:paraId="7452566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17" w:type="dxa"/>
            <w:tcBorders>
              <w:top w:val="nil"/>
              <w:left w:val="nil"/>
              <w:bottom w:val="nil"/>
              <w:right w:val="nil"/>
            </w:tcBorders>
            <w:shd w:val="clear" w:color="auto" w:fill="auto"/>
            <w:noWrap/>
            <w:vAlign w:val="bottom"/>
            <w:hideMark/>
          </w:tcPr>
          <w:p w14:paraId="15C9BD5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742" w:type="dxa"/>
            <w:tcBorders>
              <w:top w:val="nil"/>
              <w:left w:val="nil"/>
              <w:bottom w:val="nil"/>
              <w:right w:val="nil"/>
            </w:tcBorders>
            <w:shd w:val="clear" w:color="auto" w:fill="auto"/>
            <w:noWrap/>
            <w:vAlign w:val="bottom"/>
            <w:hideMark/>
          </w:tcPr>
          <w:p w14:paraId="7772235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75" w:type="dxa"/>
            <w:tcBorders>
              <w:top w:val="nil"/>
              <w:left w:val="nil"/>
              <w:bottom w:val="nil"/>
              <w:right w:val="nil"/>
            </w:tcBorders>
            <w:shd w:val="clear" w:color="auto" w:fill="auto"/>
            <w:noWrap/>
            <w:vAlign w:val="bottom"/>
            <w:hideMark/>
          </w:tcPr>
          <w:p w14:paraId="70C2FE9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360" w:type="dxa"/>
            <w:tcBorders>
              <w:top w:val="nil"/>
              <w:left w:val="nil"/>
              <w:bottom w:val="nil"/>
              <w:right w:val="nil"/>
            </w:tcBorders>
            <w:shd w:val="clear" w:color="000000" w:fill="BFBFBF"/>
            <w:noWrap/>
            <w:vAlign w:val="bottom"/>
            <w:hideMark/>
          </w:tcPr>
          <w:p w14:paraId="03AF0C2E"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360" w:type="dxa"/>
            <w:tcBorders>
              <w:top w:val="nil"/>
              <w:left w:val="nil"/>
              <w:bottom w:val="nil"/>
              <w:right w:val="nil"/>
            </w:tcBorders>
            <w:shd w:val="clear" w:color="000000" w:fill="BFBFBF"/>
            <w:noWrap/>
            <w:vAlign w:val="bottom"/>
            <w:hideMark/>
          </w:tcPr>
          <w:p w14:paraId="6D730245"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787" w:type="dxa"/>
            <w:tcBorders>
              <w:top w:val="nil"/>
              <w:left w:val="nil"/>
              <w:bottom w:val="nil"/>
              <w:right w:val="nil"/>
            </w:tcBorders>
            <w:shd w:val="clear" w:color="auto" w:fill="auto"/>
            <w:noWrap/>
            <w:vAlign w:val="bottom"/>
            <w:hideMark/>
          </w:tcPr>
          <w:p w14:paraId="702B0EC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742" w:type="dxa"/>
            <w:tcBorders>
              <w:top w:val="nil"/>
              <w:left w:val="nil"/>
              <w:bottom w:val="nil"/>
              <w:right w:val="nil"/>
            </w:tcBorders>
            <w:shd w:val="clear" w:color="auto" w:fill="auto"/>
            <w:noWrap/>
            <w:vAlign w:val="bottom"/>
            <w:hideMark/>
          </w:tcPr>
          <w:p w14:paraId="3EE37A2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17" w:type="dxa"/>
            <w:tcBorders>
              <w:top w:val="nil"/>
              <w:left w:val="nil"/>
              <w:bottom w:val="nil"/>
              <w:right w:val="nil"/>
            </w:tcBorders>
            <w:shd w:val="clear" w:color="auto" w:fill="auto"/>
            <w:noWrap/>
            <w:vAlign w:val="bottom"/>
            <w:hideMark/>
          </w:tcPr>
          <w:p w14:paraId="37D2267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38.6</w:t>
            </w:r>
          </w:p>
        </w:tc>
        <w:tc>
          <w:tcPr>
            <w:tcW w:w="696" w:type="dxa"/>
            <w:tcBorders>
              <w:top w:val="nil"/>
              <w:left w:val="nil"/>
              <w:bottom w:val="nil"/>
              <w:right w:val="nil"/>
            </w:tcBorders>
            <w:shd w:val="clear" w:color="auto" w:fill="auto"/>
            <w:noWrap/>
            <w:vAlign w:val="bottom"/>
            <w:hideMark/>
          </w:tcPr>
          <w:p w14:paraId="141AD6E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96" w:type="dxa"/>
            <w:tcBorders>
              <w:top w:val="nil"/>
              <w:left w:val="nil"/>
              <w:bottom w:val="nil"/>
              <w:right w:val="nil"/>
            </w:tcBorders>
            <w:shd w:val="clear" w:color="auto" w:fill="auto"/>
            <w:noWrap/>
            <w:vAlign w:val="bottom"/>
            <w:hideMark/>
          </w:tcPr>
          <w:p w14:paraId="64B3722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727" w:type="dxa"/>
            <w:tcBorders>
              <w:top w:val="nil"/>
              <w:left w:val="nil"/>
              <w:bottom w:val="nil"/>
              <w:right w:val="nil"/>
            </w:tcBorders>
            <w:shd w:val="clear" w:color="auto" w:fill="auto"/>
            <w:noWrap/>
            <w:vAlign w:val="bottom"/>
            <w:hideMark/>
          </w:tcPr>
          <w:p w14:paraId="532EFCE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361" w:type="dxa"/>
            <w:tcBorders>
              <w:top w:val="nil"/>
              <w:left w:val="nil"/>
              <w:bottom w:val="nil"/>
              <w:right w:val="nil"/>
            </w:tcBorders>
            <w:shd w:val="clear" w:color="000000" w:fill="BFBFBF"/>
            <w:noWrap/>
            <w:vAlign w:val="bottom"/>
            <w:hideMark/>
          </w:tcPr>
          <w:p w14:paraId="4CA96011"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727" w:type="dxa"/>
            <w:tcBorders>
              <w:top w:val="nil"/>
              <w:left w:val="nil"/>
              <w:bottom w:val="nil"/>
              <w:right w:val="nil"/>
            </w:tcBorders>
            <w:shd w:val="clear" w:color="auto" w:fill="auto"/>
            <w:noWrap/>
            <w:vAlign w:val="bottom"/>
            <w:hideMark/>
          </w:tcPr>
          <w:p w14:paraId="18D75BD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696" w:type="dxa"/>
            <w:tcBorders>
              <w:top w:val="nil"/>
              <w:left w:val="nil"/>
              <w:bottom w:val="nil"/>
              <w:right w:val="nil"/>
            </w:tcBorders>
            <w:shd w:val="clear" w:color="auto" w:fill="auto"/>
            <w:noWrap/>
            <w:vAlign w:val="bottom"/>
            <w:hideMark/>
          </w:tcPr>
          <w:p w14:paraId="18EA537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r>
      <w:tr w:rsidR="00634ABA" w:rsidRPr="00986F85" w14:paraId="6A667D36" w14:textId="77777777" w:rsidTr="00476987">
        <w:trPr>
          <w:trHeight w:val="250"/>
        </w:trPr>
        <w:tc>
          <w:tcPr>
            <w:tcW w:w="360" w:type="dxa"/>
            <w:vMerge/>
            <w:tcBorders>
              <w:top w:val="nil"/>
              <w:left w:val="nil"/>
              <w:bottom w:val="nil"/>
              <w:right w:val="nil"/>
            </w:tcBorders>
            <w:vAlign w:val="center"/>
            <w:hideMark/>
          </w:tcPr>
          <w:p w14:paraId="261FE4AF" w14:textId="77777777" w:rsidR="00634ABA" w:rsidRPr="00986F85" w:rsidRDefault="00634ABA" w:rsidP="00476987">
            <w:pPr>
              <w:spacing w:after="0" w:line="240" w:lineRule="auto"/>
              <w:rPr>
                <w:rFonts w:eastAsia="Times New Roman"/>
                <w:color w:val="000000"/>
                <w:lang w:eastAsia="hu-HU"/>
              </w:rPr>
            </w:pPr>
          </w:p>
        </w:tc>
        <w:tc>
          <w:tcPr>
            <w:tcW w:w="1488" w:type="dxa"/>
            <w:tcBorders>
              <w:top w:val="nil"/>
              <w:left w:val="nil"/>
              <w:bottom w:val="nil"/>
              <w:right w:val="nil"/>
            </w:tcBorders>
            <w:shd w:val="clear" w:color="auto" w:fill="auto"/>
            <w:noWrap/>
            <w:vAlign w:val="bottom"/>
            <w:hideMark/>
          </w:tcPr>
          <w:p w14:paraId="3094E46B"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Egy foglalkoztatottra eső jegyzett tőke (%)</w:t>
            </w:r>
          </w:p>
        </w:tc>
        <w:tc>
          <w:tcPr>
            <w:tcW w:w="702" w:type="dxa"/>
            <w:tcBorders>
              <w:top w:val="nil"/>
              <w:left w:val="nil"/>
              <w:bottom w:val="nil"/>
              <w:right w:val="nil"/>
            </w:tcBorders>
            <w:shd w:val="clear" w:color="auto" w:fill="auto"/>
            <w:noWrap/>
            <w:vAlign w:val="bottom"/>
            <w:hideMark/>
          </w:tcPr>
          <w:p w14:paraId="5B0BA45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-8.3</w:t>
            </w:r>
          </w:p>
        </w:tc>
        <w:tc>
          <w:tcPr>
            <w:tcW w:w="742" w:type="dxa"/>
            <w:tcBorders>
              <w:top w:val="nil"/>
              <w:left w:val="nil"/>
              <w:bottom w:val="nil"/>
              <w:right w:val="nil"/>
            </w:tcBorders>
            <w:shd w:val="clear" w:color="auto" w:fill="auto"/>
            <w:noWrap/>
            <w:vAlign w:val="bottom"/>
            <w:hideMark/>
          </w:tcPr>
          <w:p w14:paraId="68ACF57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787" w:type="dxa"/>
            <w:tcBorders>
              <w:top w:val="nil"/>
              <w:left w:val="nil"/>
              <w:bottom w:val="nil"/>
              <w:right w:val="nil"/>
            </w:tcBorders>
            <w:shd w:val="clear" w:color="auto" w:fill="auto"/>
            <w:noWrap/>
            <w:vAlign w:val="bottom"/>
            <w:hideMark/>
          </w:tcPr>
          <w:p w14:paraId="4E52088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17.3</w:t>
            </w:r>
          </w:p>
        </w:tc>
        <w:tc>
          <w:tcPr>
            <w:tcW w:w="696" w:type="dxa"/>
            <w:tcBorders>
              <w:top w:val="nil"/>
              <w:left w:val="nil"/>
              <w:bottom w:val="nil"/>
              <w:right w:val="nil"/>
            </w:tcBorders>
            <w:shd w:val="clear" w:color="auto" w:fill="auto"/>
            <w:noWrap/>
            <w:vAlign w:val="bottom"/>
            <w:hideMark/>
          </w:tcPr>
          <w:p w14:paraId="3C1F3B7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-7.7</w:t>
            </w:r>
          </w:p>
        </w:tc>
        <w:tc>
          <w:tcPr>
            <w:tcW w:w="696" w:type="dxa"/>
            <w:tcBorders>
              <w:top w:val="nil"/>
              <w:left w:val="nil"/>
              <w:bottom w:val="nil"/>
              <w:right w:val="nil"/>
            </w:tcBorders>
            <w:shd w:val="clear" w:color="auto" w:fill="auto"/>
            <w:noWrap/>
            <w:vAlign w:val="bottom"/>
            <w:hideMark/>
          </w:tcPr>
          <w:p w14:paraId="153995E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w:t>
            </w:r>
          </w:p>
        </w:tc>
        <w:tc>
          <w:tcPr>
            <w:tcW w:w="696" w:type="dxa"/>
            <w:tcBorders>
              <w:top w:val="nil"/>
              <w:left w:val="nil"/>
              <w:bottom w:val="nil"/>
              <w:right w:val="nil"/>
            </w:tcBorders>
            <w:shd w:val="clear" w:color="auto" w:fill="auto"/>
            <w:noWrap/>
            <w:vAlign w:val="bottom"/>
            <w:hideMark/>
          </w:tcPr>
          <w:p w14:paraId="5D37BB6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16.7</w:t>
            </w:r>
          </w:p>
        </w:tc>
        <w:tc>
          <w:tcPr>
            <w:tcW w:w="817" w:type="dxa"/>
            <w:tcBorders>
              <w:top w:val="nil"/>
              <w:left w:val="nil"/>
              <w:bottom w:val="nil"/>
              <w:right w:val="nil"/>
            </w:tcBorders>
            <w:shd w:val="clear" w:color="auto" w:fill="auto"/>
            <w:noWrap/>
            <w:vAlign w:val="bottom"/>
            <w:hideMark/>
          </w:tcPr>
          <w:p w14:paraId="3E1DDA2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-15</w:t>
            </w:r>
          </w:p>
        </w:tc>
        <w:tc>
          <w:tcPr>
            <w:tcW w:w="742" w:type="dxa"/>
            <w:tcBorders>
              <w:top w:val="nil"/>
              <w:left w:val="nil"/>
              <w:bottom w:val="nil"/>
              <w:right w:val="nil"/>
            </w:tcBorders>
            <w:shd w:val="clear" w:color="auto" w:fill="auto"/>
            <w:noWrap/>
            <w:vAlign w:val="bottom"/>
            <w:hideMark/>
          </w:tcPr>
          <w:p w14:paraId="1A47D62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98.6</w:t>
            </w:r>
          </w:p>
        </w:tc>
        <w:tc>
          <w:tcPr>
            <w:tcW w:w="675" w:type="dxa"/>
            <w:tcBorders>
              <w:top w:val="nil"/>
              <w:left w:val="nil"/>
              <w:bottom w:val="nil"/>
              <w:right w:val="nil"/>
            </w:tcBorders>
            <w:shd w:val="clear" w:color="auto" w:fill="auto"/>
            <w:noWrap/>
            <w:vAlign w:val="bottom"/>
            <w:hideMark/>
          </w:tcPr>
          <w:p w14:paraId="50F0506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-11.1</w:t>
            </w:r>
          </w:p>
        </w:tc>
        <w:tc>
          <w:tcPr>
            <w:tcW w:w="360" w:type="dxa"/>
            <w:tcBorders>
              <w:top w:val="nil"/>
              <w:left w:val="nil"/>
              <w:bottom w:val="nil"/>
              <w:right w:val="nil"/>
            </w:tcBorders>
            <w:shd w:val="clear" w:color="000000" w:fill="BFBFBF"/>
            <w:noWrap/>
            <w:vAlign w:val="bottom"/>
            <w:hideMark/>
          </w:tcPr>
          <w:p w14:paraId="2E49EB12"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360" w:type="dxa"/>
            <w:tcBorders>
              <w:top w:val="nil"/>
              <w:left w:val="nil"/>
              <w:bottom w:val="nil"/>
              <w:right w:val="nil"/>
            </w:tcBorders>
            <w:shd w:val="clear" w:color="000000" w:fill="BFBFBF"/>
            <w:noWrap/>
            <w:vAlign w:val="bottom"/>
            <w:hideMark/>
          </w:tcPr>
          <w:p w14:paraId="64CBCEFA"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787" w:type="dxa"/>
            <w:tcBorders>
              <w:top w:val="nil"/>
              <w:left w:val="nil"/>
              <w:bottom w:val="nil"/>
              <w:right w:val="nil"/>
            </w:tcBorders>
            <w:shd w:val="clear" w:color="auto" w:fill="auto"/>
            <w:noWrap/>
            <w:vAlign w:val="bottom"/>
            <w:hideMark/>
          </w:tcPr>
          <w:p w14:paraId="79D04AE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742" w:type="dxa"/>
            <w:tcBorders>
              <w:top w:val="nil"/>
              <w:left w:val="nil"/>
              <w:bottom w:val="nil"/>
              <w:right w:val="nil"/>
            </w:tcBorders>
            <w:shd w:val="clear" w:color="auto" w:fill="auto"/>
            <w:noWrap/>
            <w:vAlign w:val="bottom"/>
            <w:hideMark/>
          </w:tcPr>
          <w:p w14:paraId="46D7347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-7.5</w:t>
            </w:r>
          </w:p>
        </w:tc>
        <w:tc>
          <w:tcPr>
            <w:tcW w:w="817" w:type="dxa"/>
            <w:tcBorders>
              <w:top w:val="nil"/>
              <w:left w:val="nil"/>
              <w:bottom w:val="nil"/>
              <w:right w:val="nil"/>
            </w:tcBorders>
            <w:shd w:val="clear" w:color="auto" w:fill="auto"/>
            <w:noWrap/>
            <w:vAlign w:val="bottom"/>
            <w:hideMark/>
          </w:tcPr>
          <w:p w14:paraId="4904DFC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34.9</w:t>
            </w:r>
          </w:p>
        </w:tc>
        <w:tc>
          <w:tcPr>
            <w:tcW w:w="696" w:type="dxa"/>
            <w:tcBorders>
              <w:top w:val="nil"/>
              <w:left w:val="nil"/>
              <w:bottom w:val="nil"/>
              <w:right w:val="nil"/>
            </w:tcBorders>
            <w:shd w:val="clear" w:color="auto" w:fill="auto"/>
            <w:noWrap/>
            <w:vAlign w:val="bottom"/>
            <w:hideMark/>
          </w:tcPr>
          <w:p w14:paraId="5B0A66C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10</w:t>
            </w:r>
          </w:p>
        </w:tc>
        <w:tc>
          <w:tcPr>
            <w:tcW w:w="696" w:type="dxa"/>
            <w:tcBorders>
              <w:top w:val="nil"/>
              <w:left w:val="nil"/>
              <w:bottom w:val="nil"/>
              <w:right w:val="nil"/>
            </w:tcBorders>
            <w:shd w:val="clear" w:color="auto" w:fill="auto"/>
            <w:noWrap/>
            <w:vAlign w:val="bottom"/>
            <w:hideMark/>
          </w:tcPr>
          <w:p w14:paraId="3915E00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-3.2</w:t>
            </w:r>
          </w:p>
        </w:tc>
        <w:tc>
          <w:tcPr>
            <w:tcW w:w="727" w:type="dxa"/>
            <w:tcBorders>
              <w:top w:val="nil"/>
              <w:left w:val="nil"/>
              <w:bottom w:val="nil"/>
              <w:right w:val="nil"/>
            </w:tcBorders>
            <w:shd w:val="clear" w:color="auto" w:fill="auto"/>
            <w:noWrap/>
            <w:vAlign w:val="bottom"/>
            <w:hideMark/>
          </w:tcPr>
          <w:p w14:paraId="1740FA9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-24.2</w:t>
            </w:r>
          </w:p>
        </w:tc>
        <w:tc>
          <w:tcPr>
            <w:tcW w:w="361" w:type="dxa"/>
            <w:tcBorders>
              <w:top w:val="nil"/>
              <w:left w:val="nil"/>
              <w:bottom w:val="nil"/>
              <w:right w:val="nil"/>
            </w:tcBorders>
            <w:shd w:val="clear" w:color="000000" w:fill="BFBFBF"/>
            <w:noWrap/>
            <w:vAlign w:val="bottom"/>
            <w:hideMark/>
          </w:tcPr>
          <w:p w14:paraId="32DA183F"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727" w:type="dxa"/>
            <w:tcBorders>
              <w:top w:val="nil"/>
              <w:left w:val="nil"/>
              <w:bottom w:val="nil"/>
              <w:right w:val="nil"/>
            </w:tcBorders>
            <w:shd w:val="clear" w:color="auto" w:fill="auto"/>
            <w:noWrap/>
            <w:vAlign w:val="bottom"/>
            <w:hideMark/>
          </w:tcPr>
          <w:p w14:paraId="73E0F4D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6.8</w:t>
            </w:r>
          </w:p>
        </w:tc>
        <w:tc>
          <w:tcPr>
            <w:tcW w:w="696" w:type="dxa"/>
            <w:tcBorders>
              <w:top w:val="nil"/>
              <w:left w:val="nil"/>
              <w:bottom w:val="nil"/>
              <w:right w:val="nil"/>
            </w:tcBorders>
            <w:shd w:val="clear" w:color="auto" w:fill="auto"/>
            <w:noWrap/>
            <w:vAlign w:val="bottom"/>
            <w:hideMark/>
          </w:tcPr>
          <w:p w14:paraId="181EA32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-5.7</w:t>
            </w:r>
          </w:p>
        </w:tc>
      </w:tr>
      <w:tr w:rsidR="00634ABA" w:rsidRPr="00986F85" w14:paraId="57698D9B" w14:textId="77777777" w:rsidTr="00476987">
        <w:trPr>
          <w:trHeight w:val="250"/>
        </w:trPr>
        <w:tc>
          <w:tcPr>
            <w:tcW w:w="360" w:type="dxa"/>
            <w:vMerge/>
            <w:tcBorders>
              <w:top w:val="nil"/>
              <w:left w:val="nil"/>
              <w:bottom w:val="nil"/>
              <w:right w:val="nil"/>
            </w:tcBorders>
            <w:vAlign w:val="center"/>
            <w:hideMark/>
          </w:tcPr>
          <w:p w14:paraId="78DE8397" w14:textId="77777777" w:rsidR="00634ABA" w:rsidRPr="00986F85" w:rsidRDefault="00634ABA" w:rsidP="00476987">
            <w:pPr>
              <w:spacing w:after="0" w:line="240" w:lineRule="auto"/>
              <w:rPr>
                <w:rFonts w:eastAsia="Times New Roman"/>
                <w:color w:val="000000"/>
                <w:lang w:eastAsia="hu-HU"/>
              </w:rPr>
            </w:pPr>
          </w:p>
        </w:tc>
        <w:tc>
          <w:tcPr>
            <w:tcW w:w="1488" w:type="dxa"/>
            <w:tcBorders>
              <w:top w:val="nil"/>
              <w:left w:val="nil"/>
              <w:bottom w:val="nil"/>
              <w:right w:val="nil"/>
            </w:tcBorders>
            <w:shd w:val="clear" w:color="auto" w:fill="auto"/>
            <w:noWrap/>
            <w:vAlign w:val="bottom"/>
            <w:hideMark/>
          </w:tcPr>
          <w:p w14:paraId="0B6B252E"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Likviditás</w:t>
            </w:r>
          </w:p>
        </w:tc>
        <w:tc>
          <w:tcPr>
            <w:tcW w:w="702" w:type="dxa"/>
            <w:tcBorders>
              <w:top w:val="nil"/>
              <w:left w:val="nil"/>
              <w:bottom w:val="nil"/>
              <w:right w:val="nil"/>
            </w:tcBorders>
            <w:shd w:val="clear" w:color="auto" w:fill="auto"/>
            <w:noWrap/>
            <w:vAlign w:val="bottom"/>
            <w:hideMark/>
          </w:tcPr>
          <w:p w14:paraId="287E09C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15.7</w:t>
            </w:r>
          </w:p>
        </w:tc>
        <w:tc>
          <w:tcPr>
            <w:tcW w:w="742" w:type="dxa"/>
            <w:tcBorders>
              <w:top w:val="nil"/>
              <w:left w:val="nil"/>
              <w:bottom w:val="nil"/>
              <w:right w:val="nil"/>
            </w:tcBorders>
            <w:shd w:val="clear" w:color="auto" w:fill="auto"/>
            <w:noWrap/>
            <w:vAlign w:val="bottom"/>
            <w:hideMark/>
          </w:tcPr>
          <w:p w14:paraId="064A471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58.7</w:t>
            </w:r>
          </w:p>
        </w:tc>
        <w:tc>
          <w:tcPr>
            <w:tcW w:w="787" w:type="dxa"/>
            <w:tcBorders>
              <w:top w:val="nil"/>
              <w:left w:val="nil"/>
              <w:bottom w:val="nil"/>
              <w:right w:val="nil"/>
            </w:tcBorders>
            <w:shd w:val="clear" w:color="auto" w:fill="auto"/>
            <w:noWrap/>
            <w:vAlign w:val="bottom"/>
            <w:hideMark/>
          </w:tcPr>
          <w:p w14:paraId="6A9582A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77</w:t>
            </w:r>
          </w:p>
        </w:tc>
        <w:tc>
          <w:tcPr>
            <w:tcW w:w="696" w:type="dxa"/>
            <w:tcBorders>
              <w:top w:val="nil"/>
              <w:left w:val="nil"/>
              <w:bottom w:val="nil"/>
              <w:right w:val="nil"/>
            </w:tcBorders>
            <w:shd w:val="clear" w:color="auto" w:fill="auto"/>
            <w:noWrap/>
            <w:vAlign w:val="bottom"/>
            <w:hideMark/>
          </w:tcPr>
          <w:p w14:paraId="04C36B2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22.2</w:t>
            </w:r>
          </w:p>
        </w:tc>
        <w:tc>
          <w:tcPr>
            <w:tcW w:w="696" w:type="dxa"/>
            <w:tcBorders>
              <w:top w:val="nil"/>
              <w:left w:val="nil"/>
              <w:bottom w:val="nil"/>
              <w:right w:val="nil"/>
            </w:tcBorders>
            <w:shd w:val="clear" w:color="auto" w:fill="auto"/>
            <w:noWrap/>
            <w:vAlign w:val="bottom"/>
            <w:hideMark/>
          </w:tcPr>
          <w:p w14:paraId="57F2D9D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2.3</w:t>
            </w:r>
          </w:p>
        </w:tc>
        <w:tc>
          <w:tcPr>
            <w:tcW w:w="696" w:type="dxa"/>
            <w:tcBorders>
              <w:top w:val="nil"/>
              <w:left w:val="nil"/>
              <w:bottom w:val="nil"/>
              <w:right w:val="nil"/>
            </w:tcBorders>
            <w:shd w:val="clear" w:color="auto" w:fill="auto"/>
            <w:noWrap/>
            <w:vAlign w:val="bottom"/>
            <w:hideMark/>
          </w:tcPr>
          <w:p w14:paraId="1A9BCDB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w:t>
            </w:r>
          </w:p>
        </w:tc>
        <w:tc>
          <w:tcPr>
            <w:tcW w:w="817" w:type="dxa"/>
            <w:tcBorders>
              <w:top w:val="nil"/>
              <w:left w:val="nil"/>
              <w:bottom w:val="nil"/>
              <w:right w:val="nil"/>
            </w:tcBorders>
            <w:shd w:val="clear" w:color="auto" w:fill="auto"/>
            <w:noWrap/>
            <w:vAlign w:val="bottom"/>
            <w:hideMark/>
          </w:tcPr>
          <w:p w14:paraId="662EEF2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-19.7</w:t>
            </w:r>
          </w:p>
        </w:tc>
        <w:tc>
          <w:tcPr>
            <w:tcW w:w="742" w:type="dxa"/>
            <w:tcBorders>
              <w:top w:val="nil"/>
              <w:left w:val="nil"/>
              <w:bottom w:val="nil"/>
              <w:right w:val="nil"/>
            </w:tcBorders>
            <w:shd w:val="clear" w:color="auto" w:fill="auto"/>
            <w:noWrap/>
            <w:vAlign w:val="bottom"/>
            <w:hideMark/>
          </w:tcPr>
          <w:p w14:paraId="319A25B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10.8</w:t>
            </w:r>
          </w:p>
        </w:tc>
        <w:tc>
          <w:tcPr>
            <w:tcW w:w="675" w:type="dxa"/>
            <w:tcBorders>
              <w:top w:val="nil"/>
              <w:left w:val="nil"/>
              <w:bottom w:val="nil"/>
              <w:right w:val="nil"/>
            </w:tcBorders>
            <w:shd w:val="clear" w:color="auto" w:fill="auto"/>
            <w:noWrap/>
            <w:vAlign w:val="bottom"/>
            <w:hideMark/>
          </w:tcPr>
          <w:p w14:paraId="01A63A0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w:t>
            </w:r>
          </w:p>
        </w:tc>
        <w:tc>
          <w:tcPr>
            <w:tcW w:w="360" w:type="dxa"/>
            <w:tcBorders>
              <w:top w:val="nil"/>
              <w:left w:val="nil"/>
              <w:bottom w:val="nil"/>
              <w:right w:val="nil"/>
            </w:tcBorders>
            <w:shd w:val="clear" w:color="000000" w:fill="BFBFBF"/>
            <w:noWrap/>
            <w:vAlign w:val="bottom"/>
            <w:hideMark/>
          </w:tcPr>
          <w:p w14:paraId="610BB4EA"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360" w:type="dxa"/>
            <w:tcBorders>
              <w:top w:val="nil"/>
              <w:left w:val="nil"/>
              <w:bottom w:val="nil"/>
              <w:right w:val="nil"/>
            </w:tcBorders>
            <w:shd w:val="clear" w:color="000000" w:fill="BFBFBF"/>
            <w:noWrap/>
            <w:vAlign w:val="bottom"/>
            <w:hideMark/>
          </w:tcPr>
          <w:p w14:paraId="19286794"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787" w:type="dxa"/>
            <w:tcBorders>
              <w:top w:val="nil"/>
              <w:left w:val="nil"/>
              <w:bottom w:val="nil"/>
              <w:right w:val="nil"/>
            </w:tcBorders>
            <w:shd w:val="clear" w:color="auto" w:fill="auto"/>
            <w:noWrap/>
            <w:vAlign w:val="bottom"/>
            <w:hideMark/>
          </w:tcPr>
          <w:p w14:paraId="3E1A4D4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219.1</w:t>
            </w:r>
          </w:p>
        </w:tc>
        <w:tc>
          <w:tcPr>
            <w:tcW w:w="742" w:type="dxa"/>
            <w:tcBorders>
              <w:top w:val="nil"/>
              <w:left w:val="nil"/>
              <w:bottom w:val="nil"/>
              <w:right w:val="nil"/>
            </w:tcBorders>
            <w:shd w:val="clear" w:color="auto" w:fill="auto"/>
            <w:noWrap/>
            <w:vAlign w:val="bottom"/>
            <w:hideMark/>
          </w:tcPr>
          <w:p w14:paraId="1213F66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41.7</w:t>
            </w:r>
          </w:p>
        </w:tc>
        <w:tc>
          <w:tcPr>
            <w:tcW w:w="817" w:type="dxa"/>
            <w:tcBorders>
              <w:top w:val="nil"/>
              <w:left w:val="nil"/>
              <w:bottom w:val="nil"/>
              <w:right w:val="nil"/>
            </w:tcBorders>
            <w:shd w:val="clear" w:color="auto" w:fill="auto"/>
            <w:noWrap/>
            <w:vAlign w:val="bottom"/>
            <w:hideMark/>
          </w:tcPr>
          <w:p w14:paraId="22DFFA0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-2.2</w:t>
            </w:r>
          </w:p>
        </w:tc>
        <w:tc>
          <w:tcPr>
            <w:tcW w:w="696" w:type="dxa"/>
            <w:tcBorders>
              <w:top w:val="nil"/>
              <w:left w:val="nil"/>
              <w:bottom w:val="nil"/>
              <w:right w:val="nil"/>
            </w:tcBorders>
            <w:shd w:val="clear" w:color="auto" w:fill="auto"/>
            <w:noWrap/>
            <w:vAlign w:val="bottom"/>
            <w:hideMark/>
          </w:tcPr>
          <w:p w14:paraId="05878BA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w:t>
            </w:r>
          </w:p>
        </w:tc>
        <w:tc>
          <w:tcPr>
            <w:tcW w:w="696" w:type="dxa"/>
            <w:tcBorders>
              <w:top w:val="nil"/>
              <w:left w:val="nil"/>
              <w:bottom w:val="nil"/>
              <w:right w:val="nil"/>
            </w:tcBorders>
            <w:shd w:val="clear" w:color="auto" w:fill="auto"/>
            <w:noWrap/>
            <w:vAlign w:val="bottom"/>
            <w:hideMark/>
          </w:tcPr>
          <w:p w14:paraId="3C05467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-14.6</w:t>
            </w:r>
          </w:p>
        </w:tc>
        <w:tc>
          <w:tcPr>
            <w:tcW w:w="727" w:type="dxa"/>
            <w:tcBorders>
              <w:top w:val="nil"/>
              <w:left w:val="nil"/>
              <w:bottom w:val="nil"/>
              <w:right w:val="nil"/>
            </w:tcBorders>
            <w:shd w:val="clear" w:color="auto" w:fill="auto"/>
            <w:noWrap/>
            <w:vAlign w:val="bottom"/>
            <w:hideMark/>
          </w:tcPr>
          <w:p w14:paraId="316DBB1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19.6</w:t>
            </w:r>
          </w:p>
        </w:tc>
        <w:tc>
          <w:tcPr>
            <w:tcW w:w="361" w:type="dxa"/>
            <w:tcBorders>
              <w:top w:val="nil"/>
              <w:left w:val="nil"/>
              <w:bottom w:val="nil"/>
              <w:right w:val="nil"/>
            </w:tcBorders>
            <w:shd w:val="clear" w:color="000000" w:fill="BFBFBF"/>
            <w:noWrap/>
            <w:vAlign w:val="bottom"/>
            <w:hideMark/>
          </w:tcPr>
          <w:p w14:paraId="59AF5C76"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727" w:type="dxa"/>
            <w:tcBorders>
              <w:top w:val="nil"/>
              <w:left w:val="nil"/>
              <w:bottom w:val="nil"/>
              <w:right w:val="nil"/>
            </w:tcBorders>
            <w:shd w:val="clear" w:color="auto" w:fill="auto"/>
            <w:noWrap/>
            <w:vAlign w:val="bottom"/>
            <w:hideMark/>
          </w:tcPr>
          <w:p w14:paraId="377B056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-17.2</w:t>
            </w:r>
          </w:p>
        </w:tc>
        <w:tc>
          <w:tcPr>
            <w:tcW w:w="696" w:type="dxa"/>
            <w:tcBorders>
              <w:top w:val="nil"/>
              <w:left w:val="nil"/>
              <w:bottom w:val="nil"/>
              <w:right w:val="nil"/>
            </w:tcBorders>
            <w:shd w:val="clear" w:color="auto" w:fill="auto"/>
            <w:noWrap/>
            <w:vAlign w:val="bottom"/>
            <w:hideMark/>
          </w:tcPr>
          <w:p w14:paraId="058B989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4.3</w:t>
            </w:r>
          </w:p>
        </w:tc>
      </w:tr>
      <w:tr w:rsidR="00634ABA" w:rsidRPr="00986F85" w14:paraId="714108BA" w14:textId="77777777" w:rsidTr="00476987">
        <w:trPr>
          <w:trHeight w:val="250"/>
        </w:trPr>
        <w:tc>
          <w:tcPr>
            <w:tcW w:w="360" w:type="dxa"/>
            <w:vMerge/>
            <w:tcBorders>
              <w:top w:val="nil"/>
              <w:left w:val="nil"/>
              <w:bottom w:val="nil"/>
              <w:right w:val="nil"/>
            </w:tcBorders>
            <w:vAlign w:val="center"/>
            <w:hideMark/>
          </w:tcPr>
          <w:p w14:paraId="076A485B" w14:textId="77777777" w:rsidR="00634ABA" w:rsidRPr="00986F85" w:rsidRDefault="00634ABA" w:rsidP="00476987">
            <w:pPr>
              <w:spacing w:after="0" w:line="240" w:lineRule="auto"/>
              <w:rPr>
                <w:rFonts w:eastAsia="Times New Roman"/>
                <w:color w:val="000000"/>
                <w:lang w:eastAsia="hu-HU"/>
              </w:rPr>
            </w:pPr>
          </w:p>
        </w:tc>
        <w:tc>
          <w:tcPr>
            <w:tcW w:w="1488" w:type="dxa"/>
            <w:tcBorders>
              <w:top w:val="nil"/>
              <w:left w:val="nil"/>
              <w:bottom w:val="nil"/>
              <w:right w:val="nil"/>
            </w:tcBorders>
            <w:shd w:val="clear" w:color="auto" w:fill="auto"/>
            <w:noWrap/>
            <w:vAlign w:val="bottom"/>
            <w:hideMark/>
          </w:tcPr>
          <w:p w14:paraId="136684C2"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Üzemi eredmény</w:t>
            </w:r>
          </w:p>
        </w:tc>
        <w:tc>
          <w:tcPr>
            <w:tcW w:w="702" w:type="dxa"/>
            <w:tcBorders>
              <w:top w:val="nil"/>
              <w:left w:val="nil"/>
              <w:bottom w:val="nil"/>
              <w:right w:val="nil"/>
            </w:tcBorders>
            <w:shd w:val="clear" w:color="auto" w:fill="auto"/>
            <w:noWrap/>
            <w:vAlign w:val="bottom"/>
            <w:hideMark/>
          </w:tcPr>
          <w:p w14:paraId="5EFFB4B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-13670</w:t>
            </w:r>
          </w:p>
        </w:tc>
        <w:tc>
          <w:tcPr>
            <w:tcW w:w="742" w:type="dxa"/>
            <w:tcBorders>
              <w:top w:val="nil"/>
              <w:left w:val="nil"/>
              <w:bottom w:val="nil"/>
              <w:right w:val="nil"/>
            </w:tcBorders>
            <w:shd w:val="clear" w:color="auto" w:fill="auto"/>
            <w:noWrap/>
            <w:vAlign w:val="bottom"/>
            <w:hideMark/>
          </w:tcPr>
          <w:p w14:paraId="12C4605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-17952</w:t>
            </w:r>
          </w:p>
        </w:tc>
        <w:tc>
          <w:tcPr>
            <w:tcW w:w="787" w:type="dxa"/>
            <w:tcBorders>
              <w:top w:val="nil"/>
              <w:left w:val="nil"/>
              <w:bottom w:val="nil"/>
              <w:right w:val="nil"/>
            </w:tcBorders>
            <w:shd w:val="clear" w:color="auto" w:fill="auto"/>
            <w:noWrap/>
            <w:vAlign w:val="bottom"/>
            <w:hideMark/>
          </w:tcPr>
          <w:p w14:paraId="12B1BD1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-1647.5</w:t>
            </w:r>
          </w:p>
        </w:tc>
        <w:tc>
          <w:tcPr>
            <w:tcW w:w="696" w:type="dxa"/>
            <w:tcBorders>
              <w:top w:val="nil"/>
              <w:left w:val="nil"/>
              <w:bottom w:val="nil"/>
              <w:right w:val="nil"/>
            </w:tcBorders>
            <w:shd w:val="clear" w:color="auto" w:fill="auto"/>
            <w:noWrap/>
            <w:vAlign w:val="bottom"/>
            <w:hideMark/>
          </w:tcPr>
          <w:p w14:paraId="47B08F2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-1418</w:t>
            </w:r>
          </w:p>
        </w:tc>
        <w:tc>
          <w:tcPr>
            <w:tcW w:w="696" w:type="dxa"/>
            <w:tcBorders>
              <w:top w:val="nil"/>
              <w:left w:val="nil"/>
              <w:bottom w:val="nil"/>
              <w:right w:val="nil"/>
            </w:tcBorders>
            <w:shd w:val="clear" w:color="auto" w:fill="auto"/>
            <w:noWrap/>
            <w:vAlign w:val="bottom"/>
            <w:hideMark/>
          </w:tcPr>
          <w:p w14:paraId="5B71671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1318</w:t>
            </w:r>
          </w:p>
        </w:tc>
        <w:tc>
          <w:tcPr>
            <w:tcW w:w="696" w:type="dxa"/>
            <w:tcBorders>
              <w:top w:val="nil"/>
              <w:left w:val="nil"/>
              <w:bottom w:val="nil"/>
              <w:right w:val="nil"/>
            </w:tcBorders>
            <w:shd w:val="clear" w:color="auto" w:fill="auto"/>
            <w:noWrap/>
            <w:vAlign w:val="bottom"/>
            <w:hideMark/>
          </w:tcPr>
          <w:p w14:paraId="288C007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-5405</w:t>
            </w:r>
          </w:p>
        </w:tc>
        <w:tc>
          <w:tcPr>
            <w:tcW w:w="817" w:type="dxa"/>
            <w:tcBorders>
              <w:top w:val="nil"/>
              <w:left w:val="nil"/>
              <w:bottom w:val="nil"/>
              <w:right w:val="nil"/>
            </w:tcBorders>
            <w:shd w:val="clear" w:color="auto" w:fill="auto"/>
            <w:noWrap/>
            <w:vAlign w:val="bottom"/>
            <w:hideMark/>
          </w:tcPr>
          <w:p w14:paraId="1DF9E64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4633.5</w:t>
            </w:r>
          </w:p>
        </w:tc>
        <w:tc>
          <w:tcPr>
            <w:tcW w:w="742" w:type="dxa"/>
            <w:tcBorders>
              <w:top w:val="nil"/>
              <w:left w:val="nil"/>
              <w:bottom w:val="nil"/>
              <w:right w:val="nil"/>
            </w:tcBorders>
            <w:shd w:val="clear" w:color="auto" w:fill="auto"/>
            <w:noWrap/>
            <w:vAlign w:val="bottom"/>
            <w:hideMark/>
          </w:tcPr>
          <w:p w14:paraId="170371C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-27117</w:t>
            </w:r>
          </w:p>
        </w:tc>
        <w:tc>
          <w:tcPr>
            <w:tcW w:w="675" w:type="dxa"/>
            <w:tcBorders>
              <w:top w:val="nil"/>
              <w:left w:val="nil"/>
              <w:bottom w:val="nil"/>
              <w:right w:val="nil"/>
            </w:tcBorders>
            <w:shd w:val="clear" w:color="auto" w:fill="auto"/>
            <w:noWrap/>
            <w:vAlign w:val="bottom"/>
            <w:hideMark/>
          </w:tcPr>
          <w:p w14:paraId="7A31C10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671.5</w:t>
            </w:r>
          </w:p>
        </w:tc>
        <w:tc>
          <w:tcPr>
            <w:tcW w:w="360" w:type="dxa"/>
            <w:tcBorders>
              <w:top w:val="nil"/>
              <w:left w:val="nil"/>
              <w:bottom w:val="nil"/>
              <w:right w:val="nil"/>
            </w:tcBorders>
            <w:shd w:val="clear" w:color="000000" w:fill="BFBFBF"/>
            <w:noWrap/>
            <w:vAlign w:val="bottom"/>
            <w:hideMark/>
          </w:tcPr>
          <w:p w14:paraId="61C71789"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360" w:type="dxa"/>
            <w:tcBorders>
              <w:top w:val="nil"/>
              <w:left w:val="nil"/>
              <w:bottom w:val="nil"/>
              <w:right w:val="nil"/>
            </w:tcBorders>
            <w:shd w:val="clear" w:color="000000" w:fill="BFBFBF"/>
            <w:noWrap/>
            <w:vAlign w:val="bottom"/>
            <w:hideMark/>
          </w:tcPr>
          <w:p w14:paraId="2DDED57C"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787" w:type="dxa"/>
            <w:tcBorders>
              <w:top w:val="nil"/>
              <w:left w:val="nil"/>
              <w:bottom w:val="nil"/>
              <w:right w:val="nil"/>
            </w:tcBorders>
            <w:shd w:val="clear" w:color="auto" w:fill="auto"/>
            <w:noWrap/>
            <w:vAlign w:val="bottom"/>
            <w:hideMark/>
          </w:tcPr>
          <w:p w14:paraId="58B0D36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-36305</w:t>
            </w:r>
          </w:p>
        </w:tc>
        <w:tc>
          <w:tcPr>
            <w:tcW w:w="742" w:type="dxa"/>
            <w:tcBorders>
              <w:top w:val="nil"/>
              <w:left w:val="nil"/>
              <w:bottom w:val="nil"/>
              <w:right w:val="nil"/>
            </w:tcBorders>
            <w:shd w:val="clear" w:color="auto" w:fill="auto"/>
            <w:noWrap/>
            <w:vAlign w:val="bottom"/>
            <w:hideMark/>
          </w:tcPr>
          <w:p w14:paraId="12AB231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-354.5</w:t>
            </w:r>
          </w:p>
        </w:tc>
        <w:tc>
          <w:tcPr>
            <w:tcW w:w="817" w:type="dxa"/>
            <w:tcBorders>
              <w:top w:val="nil"/>
              <w:left w:val="nil"/>
              <w:bottom w:val="nil"/>
              <w:right w:val="nil"/>
            </w:tcBorders>
            <w:shd w:val="clear" w:color="auto" w:fill="auto"/>
            <w:noWrap/>
            <w:vAlign w:val="bottom"/>
            <w:hideMark/>
          </w:tcPr>
          <w:p w14:paraId="4A6CCDF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5942</w:t>
            </w:r>
          </w:p>
        </w:tc>
        <w:tc>
          <w:tcPr>
            <w:tcW w:w="696" w:type="dxa"/>
            <w:tcBorders>
              <w:top w:val="nil"/>
              <w:left w:val="nil"/>
              <w:bottom w:val="nil"/>
              <w:right w:val="nil"/>
            </w:tcBorders>
            <w:shd w:val="clear" w:color="auto" w:fill="auto"/>
            <w:noWrap/>
            <w:vAlign w:val="bottom"/>
            <w:hideMark/>
          </w:tcPr>
          <w:p w14:paraId="4B265C9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-1993</w:t>
            </w:r>
          </w:p>
        </w:tc>
        <w:tc>
          <w:tcPr>
            <w:tcW w:w="696" w:type="dxa"/>
            <w:tcBorders>
              <w:top w:val="nil"/>
              <w:left w:val="nil"/>
              <w:bottom w:val="nil"/>
              <w:right w:val="nil"/>
            </w:tcBorders>
            <w:shd w:val="clear" w:color="auto" w:fill="auto"/>
            <w:noWrap/>
            <w:vAlign w:val="bottom"/>
            <w:hideMark/>
          </w:tcPr>
          <w:p w14:paraId="19B9E65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-110</w:t>
            </w:r>
          </w:p>
        </w:tc>
        <w:tc>
          <w:tcPr>
            <w:tcW w:w="727" w:type="dxa"/>
            <w:tcBorders>
              <w:top w:val="nil"/>
              <w:left w:val="nil"/>
              <w:bottom w:val="nil"/>
              <w:right w:val="nil"/>
            </w:tcBorders>
            <w:shd w:val="clear" w:color="auto" w:fill="auto"/>
            <w:noWrap/>
            <w:vAlign w:val="bottom"/>
            <w:hideMark/>
          </w:tcPr>
          <w:p w14:paraId="0BC766C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5305.5</w:t>
            </w:r>
          </w:p>
        </w:tc>
        <w:tc>
          <w:tcPr>
            <w:tcW w:w="361" w:type="dxa"/>
            <w:tcBorders>
              <w:top w:val="nil"/>
              <w:left w:val="nil"/>
              <w:bottom w:val="nil"/>
              <w:right w:val="nil"/>
            </w:tcBorders>
            <w:shd w:val="clear" w:color="000000" w:fill="BFBFBF"/>
            <w:noWrap/>
            <w:vAlign w:val="bottom"/>
            <w:hideMark/>
          </w:tcPr>
          <w:p w14:paraId="7BBE0CAB"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727" w:type="dxa"/>
            <w:tcBorders>
              <w:top w:val="nil"/>
              <w:left w:val="nil"/>
              <w:bottom w:val="nil"/>
              <w:right w:val="nil"/>
            </w:tcBorders>
            <w:shd w:val="clear" w:color="auto" w:fill="auto"/>
            <w:noWrap/>
            <w:vAlign w:val="bottom"/>
            <w:hideMark/>
          </w:tcPr>
          <w:p w14:paraId="44F9076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8168</w:t>
            </w:r>
          </w:p>
        </w:tc>
        <w:tc>
          <w:tcPr>
            <w:tcW w:w="696" w:type="dxa"/>
            <w:tcBorders>
              <w:top w:val="nil"/>
              <w:left w:val="nil"/>
              <w:bottom w:val="nil"/>
              <w:right w:val="nil"/>
            </w:tcBorders>
            <w:shd w:val="clear" w:color="auto" w:fill="auto"/>
            <w:noWrap/>
            <w:vAlign w:val="bottom"/>
            <w:hideMark/>
          </w:tcPr>
          <w:p w14:paraId="209E3AC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347.5</w:t>
            </w:r>
          </w:p>
        </w:tc>
      </w:tr>
      <w:tr w:rsidR="00634ABA" w:rsidRPr="00986F85" w14:paraId="507022B0" w14:textId="77777777" w:rsidTr="00476987">
        <w:trPr>
          <w:trHeight w:val="250"/>
        </w:trPr>
        <w:tc>
          <w:tcPr>
            <w:tcW w:w="360" w:type="dxa"/>
            <w:vMerge/>
            <w:tcBorders>
              <w:top w:val="nil"/>
              <w:left w:val="nil"/>
              <w:bottom w:val="nil"/>
              <w:right w:val="nil"/>
            </w:tcBorders>
            <w:vAlign w:val="center"/>
            <w:hideMark/>
          </w:tcPr>
          <w:p w14:paraId="66F8C91F" w14:textId="77777777" w:rsidR="00634ABA" w:rsidRPr="00986F85" w:rsidRDefault="00634ABA" w:rsidP="00476987">
            <w:pPr>
              <w:spacing w:after="0" w:line="240" w:lineRule="auto"/>
              <w:rPr>
                <w:rFonts w:eastAsia="Times New Roman"/>
                <w:color w:val="000000"/>
                <w:lang w:eastAsia="hu-HU"/>
              </w:rPr>
            </w:pPr>
          </w:p>
        </w:tc>
        <w:tc>
          <w:tcPr>
            <w:tcW w:w="1488" w:type="dxa"/>
            <w:tcBorders>
              <w:top w:val="nil"/>
              <w:left w:val="nil"/>
              <w:bottom w:val="nil"/>
              <w:right w:val="nil"/>
            </w:tcBorders>
            <w:shd w:val="clear" w:color="auto" w:fill="auto"/>
            <w:noWrap/>
            <w:vAlign w:val="bottom"/>
            <w:hideMark/>
          </w:tcPr>
          <w:p w14:paraId="71488659"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xml:space="preserve">Egy foglalkoztatottra eső üzemi </w:t>
            </w:r>
            <w:r w:rsidRPr="00986F85">
              <w:rPr>
                <w:rFonts w:eastAsia="Times New Roman"/>
                <w:color w:val="000000"/>
                <w:lang w:eastAsia="hu-HU"/>
              </w:rPr>
              <w:lastRenderedPageBreak/>
              <w:t>eredmény</w:t>
            </w:r>
          </w:p>
        </w:tc>
        <w:tc>
          <w:tcPr>
            <w:tcW w:w="702" w:type="dxa"/>
            <w:tcBorders>
              <w:top w:val="nil"/>
              <w:left w:val="nil"/>
              <w:bottom w:val="nil"/>
              <w:right w:val="nil"/>
            </w:tcBorders>
            <w:shd w:val="clear" w:color="auto" w:fill="auto"/>
            <w:noWrap/>
            <w:vAlign w:val="bottom"/>
            <w:hideMark/>
          </w:tcPr>
          <w:p w14:paraId="0656E73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lastRenderedPageBreak/>
              <w:t>-1483.6</w:t>
            </w:r>
          </w:p>
        </w:tc>
        <w:tc>
          <w:tcPr>
            <w:tcW w:w="742" w:type="dxa"/>
            <w:tcBorders>
              <w:top w:val="nil"/>
              <w:left w:val="nil"/>
              <w:bottom w:val="nil"/>
              <w:right w:val="nil"/>
            </w:tcBorders>
            <w:shd w:val="clear" w:color="auto" w:fill="auto"/>
            <w:noWrap/>
            <w:vAlign w:val="bottom"/>
            <w:hideMark/>
          </w:tcPr>
          <w:p w14:paraId="4EF1E00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-897.6</w:t>
            </w:r>
          </w:p>
        </w:tc>
        <w:tc>
          <w:tcPr>
            <w:tcW w:w="787" w:type="dxa"/>
            <w:tcBorders>
              <w:top w:val="nil"/>
              <w:left w:val="nil"/>
              <w:bottom w:val="nil"/>
              <w:right w:val="nil"/>
            </w:tcBorders>
            <w:shd w:val="clear" w:color="auto" w:fill="auto"/>
            <w:noWrap/>
            <w:vAlign w:val="bottom"/>
            <w:hideMark/>
          </w:tcPr>
          <w:p w14:paraId="302B863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-161.2</w:t>
            </w:r>
          </w:p>
        </w:tc>
        <w:tc>
          <w:tcPr>
            <w:tcW w:w="696" w:type="dxa"/>
            <w:tcBorders>
              <w:top w:val="nil"/>
              <w:left w:val="nil"/>
              <w:bottom w:val="nil"/>
              <w:right w:val="nil"/>
            </w:tcBorders>
            <w:shd w:val="clear" w:color="auto" w:fill="auto"/>
            <w:noWrap/>
            <w:vAlign w:val="bottom"/>
            <w:hideMark/>
          </w:tcPr>
          <w:p w14:paraId="10C7DAF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-64.5</w:t>
            </w:r>
          </w:p>
        </w:tc>
        <w:tc>
          <w:tcPr>
            <w:tcW w:w="696" w:type="dxa"/>
            <w:tcBorders>
              <w:top w:val="nil"/>
              <w:left w:val="nil"/>
              <w:bottom w:val="nil"/>
              <w:right w:val="nil"/>
            </w:tcBorders>
            <w:shd w:val="clear" w:color="auto" w:fill="auto"/>
            <w:noWrap/>
            <w:vAlign w:val="bottom"/>
            <w:hideMark/>
          </w:tcPr>
          <w:p w14:paraId="5E29304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-46.5</w:t>
            </w:r>
          </w:p>
        </w:tc>
        <w:tc>
          <w:tcPr>
            <w:tcW w:w="696" w:type="dxa"/>
            <w:tcBorders>
              <w:top w:val="nil"/>
              <w:left w:val="nil"/>
              <w:bottom w:val="nil"/>
              <w:right w:val="nil"/>
            </w:tcBorders>
            <w:shd w:val="clear" w:color="auto" w:fill="auto"/>
            <w:noWrap/>
            <w:vAlign w:val="bottom"/>
            <w:hideMark/>
          </w:tcPr>
          <w:p w14:paraId="6D2D936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-485.7</w:t>
            </w:r>
          </w:p>
        </w:tc>
        <w:tc>
          <w:tcPr>
            <w:tcW w:w="817" w:type="dxa"/>
            <w:tcBorders>
              <w:top w:val="nil"/>
              <w:left w:val="nil"/>
              <w:bottom w:val="nil"/>
              <w:right w:val="nil"/>
            </w:tcBorders>
            <w:shd w:val="clear" w:color="auto" w:fill="auto"/>
            <w:noWrap/>
            <w:vAlign w:val="bottom"/>
            <w:hideMark/>
          </w:tcPr>
          <w:p w14:paraId="087D4D3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73.4</w:t>
            </w:r>
          </w:p>
        </w:tc>
        <w:tc>
          <w:tcPr>
            <w:tcW w:w="742" w:type="dxa"/>
            <w:tcBorders>
              <w:top w:val="nil"/>
              <w:left w:val="nil"/>
              <w:bottom w:val="nil"/>
              <w:right w:val="nil"/>
            </w:tcBorders>
            <w:shd w:val="clear" w:color="auto" w:fill="auto"/>
            <w:noWrap/>
            <w:vAlign w:val="bottom"/>
            <w:hideMark/>
          </w:tcPr>
          <w:p w14:paraId="4A08B6D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-850.7</w:t>
            </w:r>
          </w:p>
        </w:tc>
        <w:tc>
          <w:tcPr>
            <w:tcW w:w="675" w:type="dxa"/>
            <w:tcBorders>
              <w:top w:val="nil"/>
              <w:left w:val="nil"/>
              <w:bottom w:val="nil"/>
              <w:right w:val="nil"/>
            </w:tcBorders>
            <w:shd w:val="clear" w:color="auto" w:fill="auto"/>
            <w:noWrap/>
            <w:vAlign w:val="bottom"/>
            <w:hideMark/>
          </w:tcPr>
          <w:p w14:paraId="4B5BFB6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-6.8</w:t>
            </w:r>
          </w:p>
        </w:tc>
        <w:tc>
          <w:tcPr>
            <w:tcW w:w="360" w:type="dxa"/>
            <w:tcBorders>
              <w:top w:val="nil"/>
              <w:left w:val="nil"/>
              <w:bottom w:val="nil"/>
              <w:right w:val="nil"/>
            </w:tcBorders>
            <w:shd w:val="clear" w:color="000000" w:fill="BFBFBF"/>
            <w:noWrap/>
            <w:vAlign w:val="bottom"/>
            <w:hideMark/>
          </w:tcPr>
          <w:p w14:paraId="22C76978"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360" w:type="dxa"/>
            <w:tcBorders>
              <w:top w:val="nil"/>
              <w:left w:val="nil"/>
              <w:bottom w:val="nil"/>
              <w:right w:val="nil"/>
            </w:tcBorders>
            <w:shd w:val="clear" w:color="000000" w:fill="BFBFBF"/>
            <w:noWrap/>
            <w:vAlign w:val="bottom"/>
            <w:hideMark/>
          </w:tcPr>
          <w:p w14:paraId="5725E108"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787" w:type="dxa"/>
            <w:tcBorders>
              <w:top w:val="nil"/>
              <w:left w:val="nil"/>
              <w:bottom w:val="nil"/>
              <w:right w:val="nil"/>
            </w:tcBorders>
            <w:shd w:val="clear" w:color="auto" w:fill="auto"/>
            <w:noWrap/>
            <w:vAlign w:val="bottom"/>
            <w:hideMark/>
          </w:tcPr>
          <w:p w14:paraId="6336D1D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-5186.4</w:t>
            </w:r>
          </w:p>
        </w:tc>
        <w:tc>
          <w:tcPr>
            <w:tcW w:w="742" w:type="dxa"/>
            <w:tcBorders>
              <w:top w:val="nil"/>
              <w:left w:val="nil"/>
              <w:bottom w:val="nil"/>
              <w:right w:val="nil"/>
            </w:tcBorders>
            <w:shd w:val="clear" w:color="auto" w:fill="auto"/>
            <w:noWrap/>
            <w:vAlign w:val="bottom"/>
            <w:hideMark/>
          </w:tcPr>
          <w:p w14:paraId="491CE81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-128.3</w:t>
            </w:r>
          </w:p>
        </w:tc>
        <w:tc>
          <w:tcPr>
            <w:tcW w:w="817" w:type="dxa"/>
            <w:tcBorders>
              <w:top w:val="nil"/>
              <w:left w:val="nil"/>
              <w:bottom w:val="nil"/>
              <w:right w:val="nil"/>
            </w:tcBorders>
            <w:shd w:val="clear" w:color="auto" w:fill="auto"/>
            <w:noWrap/>
            <w:vAlign w:val="bottom"/>
            <w:hideMark/>
          </w:tcPr>
          <w:p w14:paraId="7500A30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44.7</w:t>
            </w:r>
          </w:p>
        </w:tc>
        <w:tc>
          <w:tcPr>
            <w:tcW w:w="696" w:type="dxa"/>
            <w:tcBorders>
              <w:top w:val="nil"/>
              <w:left w:val="nil"/>
              <w:bottom w:val="nil"/>
              <w:right w:val="nil"/>
            </w:tcBorders>
            <w:shd w:val="clear" w:color="auto" w:fill="auto"/>
            <w:noWrap/>
            <w:vAlign w:val="bottom"/>
            <w:hideMark/>
          </w:tcPr>
          <w:p w14:paraId="347B3A3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-66.5</w:t>
            </w:r>
          </w:p>
        </w:tc>
        <w:tc>
          <w:tcPr>
            <w:tcW w:w="696" w:type="dxa"/>
            <w:tcBorders>
              <w:top w:val="nil"/>
              <w:left w:val="nil"/>
              <w:bottom w:val="nil"/>
              <w:right w:val="nil"/>
            </w:tcBorders>
            <w:shd w:val="clear" w:color="auto" w:fill="auto"/>
            <w:noWrap/>
            <w:vAlign w:val="bottom"/>
            <w:hideMark/>
          </w:tcPr>
          <w:p w14:paraId="7675B87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-151</w:t>
            </w:r>
          </w:p>
        </w:tc>
        <w:tc>
          <w:tcPr>
            <w:tcW w:w="727" w:type="dxa"/>
            <w:tcBorders>
              <w:top w:val="nil"/>
              <w:left w:val="nil"/>
              <w:bottom w:val="nil"/>
              <w:right w:val="nil"/>
            </w:tcBorders>
            <w:shd w:val="clear" w:color="auto" w:fill="auto"/>
            <w:noWrap/>
            <w:vAlign w:val="bottom"/>
            <w:hideMark/>
          </w:tcPr>
          <w:p w14:paraId="1D3338B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-178.7</w:t>
            </w:r>
          </w:p>
        </w:tc>
        <w:tc>
          <w:tcPr>
            <w:tcW w:w="361" w:type="dxa"/>
            <w:tcBorders>
              <w:top w:val="nil"/>
              <w:left w:val="nil"/>
              <w:bottom w:val="nil"/>
              <w:right w:val="nil"/>
            </w:tcBorders>
            <w:shd w:val="clear" w:color="000000" w:fill="BFBFBF"/>
            <w:noWrap/>
            <w:vAlign w:val="bottom"/>
            <w:hideMark/>
          </w:tcPr>
          <w:p w14:paraId="5113FCBA"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727" w:type="dxa"/>
            <w:tcBorders>
              <w:top w:val="nil"/>
              <w:left w:val="nil"/>
              <w:bottom w:val="nil"/>
              <w:right w:val="nil"/>
            </w:tcBorders>
            <w:shd w:val="clear" w:color="auto" w:fill="auto"/>
            <w:noWrap/>
            <w:vAlign w:val="bottom"/>
            <w:hideMark/>
          </w:tcPr>
          <w:p w14:paraId="06D35E8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385.6</w:t>
            </w:r>
          </w:p>
        </w:tc>
        <w:tc>
          <w:tcPr>
            <w:tcW w:w="696" w:type="dxa"/>
            <w:tcBorders>
              <w:top w:val="nil"/>
              <w:left w:val="nil"/>
              <w:bottom w:val="nil"/>
              <w:right w:val="nil"/>
            </w:tcBorders>
            <w:shd w:val="clear" w:color="auto" w:fill="auto"/>
            <w:noWrap/>
            <w:vAlign w:val="bottom"/>
            <w:hideMark/>
          </w:tcPr>
          <w:p w14:paraId="75DD937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-69.8</w:t>
            </w:r>
          </w:p>
        </w:tc>
      </w:tr>
      <w:tr w:rsidR="00634ABA" w:rsidRPr="00986F85" w14:paraId="1D8F74CE" w14:textId="77777777" w:rsidTr="00476987">
        <w:trPr>
          <w:trHeight w:val="250"/>
        </w:trPr>
        <w:tc>
          <w:tcPr>
            <w:tcW w:w="360" w:type="dxa"/>
            <w:vMerge/>
            <w:tcBorders>
              <w:top w:val="nil"/>
              <w:left w:val="nil"/>
              <w:bottom w:val="nil"/>
              <w:right w:val="nil"/>
            </w:tcBorders>
            <w:vAlign w:val="center"/>
            <w:hideMark/>
          </w:tcPr>
          <w:p w14:paraId="78EF9293" w14:textId="77777777" w:rsidR="00634ABA" w:rsidRPr="00986F85" w:rsidRDefault="00634ABA" w:rsidP="00476987">
            <w:pPr>
              <w:spacing w:after="0" w:line="240" w:lineRule="auto"/>
              <w:rPr>
                <w:rFonts w:eastAsia="Times New Roman"/>
                <w:color w:val="000000"/>
                <w:lang w:eastAsia="hu-HU"/>
              </w:rPr>
            </w:pPr>
          </w:p>
        </w:tc>
        <w:tc>
          <w:tcPr>
            <w:tcW w:w="1488" w:type="dxa"/>
            <w:tcBorders>
              <w:top w:val="nil"/>
              <w:left w:val="nil"/>
              <w:bottom w:val="nil"/>
              <w:right w:val="nil"/>
            </w:tcBorders>
            <w:shd w:val="clear" w:color="auto" w:fill="auto"/>
            <w:noWrap/>
            <w:vAlign w:val="bottom"/>
            <w:hideMark/>
          </w:tcPr>
          <w:p w14:paraId="19D70D09"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Hozzáadott érték</w:t>
            </w:r>
          </w:p>
        </w:tc>
        <w:tc>
          <w:tcPr>
            <w:tcW w:w="702" w:type="dxa"/>
            <w:tcBorders>
              <w:top w:val="nil"/>
              <w:left w:val="nil"/>
              <w:bottom w:val="nil"/>
              <w:right w:val="nil"/>
            </w:tcBorders>
            <w:shd w:val="clear" w:color="auto" w:fill="auto"/>
            <w:noWrap/>
            <w:vAlign w:val="bottom"/>
            <w:hideMark/>
          </w:tcPr>
          <w:p w14:paraId="6A1BE10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24196</w:t>
            </w:r>
          </w:p>
        </w:tc>
        <w:tc>
          <w:tcPr>
            <w:tcW w:w="742" w:type="dxa"/>
            <w:tcBorders>
              <w:top w:val="nil"/>
              <w:left w:val="nil"/>
              <w:bottom w:val="nil"/>
              <w:right w:val="nil"/>
            </w:tcBorders>
            <w:shd w:val="clear" w:color="auto" w:fill="auto"/>
            <w:noWrap/>
            <w:vAlign w:val="bottom"/>
            <w:hideMark/>
          </w:tcPr>
          <w:p w14:paraId="4A9452F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-34201</w:t>
            </w:r>
          </w:p>
        </w:tc>
        <w:tc>
          <w:tcPr>
            <w:tcW w:w="787" w:type="dxa"/>
            <w:tcBorders>
              <w:top w:val="nil"/>
              <w:left w:val="nil"/>
              <w:bottom w:val="nil"/>
              <w:right w:val="nil"/>
            </w:tcBorders>
            <w:shd w:val="clear" w:color="auto" w:fill="auto"/>
            <w:noWrap/>
            <w:vAlign w:val="bottom"/>
            <w:hideMark/>
          </w:tcPr>
          <w:p w14:paraId="3740630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9924.5</w:t>
            </w:r>
          </w:p>
        </w:tc>
        <w:tc>
          <w:tcPr>
            <w:tcW w:w="696" w:type="dxa"/>
            <w:tcBorders>
              <w:top w:val="nil"/>
              <w:left w:val="nil"/>
              <w:bottom w:val="nil"/>
              <w:right w:val="nil"/>
            </w:tcBorders>
            <w:shd w:val="clear" w:color="auto" w:fill="auto"/>
            <w:noWrap/>
            <w:vAlign w:val="bottom"/>
            <w:hideMark/>
          </w:tcPr>
          <w:p w14:paraId="3C245A2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9407</w:t>
            </w:r>
          </w:p>
        </w:tc>
        <w:tc>
          <w:tcPr>
            <w:tcW w:w="696" w:type="dxa"/>
            <w:tcBorders>
              <w:top w:val="nil"/>
              <w:left w:val="nil"/>
              <w:bottom w:val="nil"/>
              <w:right w:val="nil"/>
            </w:tcBorders>
            <w:shd w:val="clear" w:color="auto" w:fill="auto"/>
            <w:noWrap/>
            <w:vAlign w:val="bottom"/>
            <w:hideMark/>
          </w:tcPr>
          <w:p w14:paraId="59A2D2F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12313</w:t>
            </w:r>
          </w:p>
        </w:tc>
        <w:tc>
          <w:tcPr>
            <w:tcW w:w="696" w:type="dxa"/>
            <w:tcBorders>
              <w:top w:val="nil"/>
              <w:left w:val="nil"/>
              <w:bottom w:val="nil"/>
              <w:right w:val="nil"/>
            </w:tcBorders>
            <w:shd w:val="clear" w:color="auto" w:fill="auto"/>
            <w:noWrap/>
            <w:vAlign w:val="bottom"/>
            <w:hideMark/>
          </w:tcPr>
          <w:p w14:paraId="56836CC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5521</w:t>
            </w:r>
          </w:p>
        </w:tc>
        <w:tc>
          <w:tcPr>
            <w:tcW w:w="817" w:type="dxa"/>
            <w:tcBorders>
              <w:top w:val="nil"/>
              <w:left w:val="nil"/>
              <w:bottom w:val="nil"/>
              <w:right w:val="nil"/>
            </w:tcBorders>
            <w:shd w:val="clear" w:color="auto" w:fill="auto"/>
            <w:noWrap/>
            <w:vAlign w:val="bottom"/>
            <w:hideMark/>
          </w:tcPr>
          <w:p w14:paraId="0AF0C02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10201.5</w:t>
            </w:r>
          </w:p>
        </w:tc>
        <w:tc>
          <w:tcPr>
            <w:tcW w:w="742" w:type="dxa"/>
            <w:tcBorders>
              <w:top w:val="nil"/>
              <w:left w:val="nil"/>
              <w:bottom w:val="nil"/>
              <w:right w:val="nil"/>
            </w:tcBorders>
            <w:shd w:val="clear" w:color="auto" w:fill="auto"/>
            <w:noWrap/>
            <w:vAlign w:val="bottom"/>
            <w:hideMark/>
          </w:tcPr>
          <w:p w14:paraId="5107371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-39247</w:t>
            </w:r>
          </w:p>
        </w:tc>
        <w:tc>
          <w:tcPr>
            <w:tcW w:w="675" w:type="dxa"/>
            <w:tcBorders>
              <w:top w:val="nil"/>
              <w:left w:val="nil"/>
              <w:bottom w:val="nil"/>
              <w:right w:val="nil"/>
            </w:tcBorders>
            <w:shd w:val="clear" w:color="auto" w:fill="auto"/>
            <w:noWrap/>
            <w:vAlign w:val="bottom"/>
            <w:hideMark/>
          </w:tcPr>
          <w:p w14:paraId="1CD907F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8095</w:t>
            </w:r>
          </w:p>
        </w:tc>
        <w:tc>
          <w:tcPr>
            <w:tcW w:w="360" w:type="dxa"/>
            <w:tcBorders>
              <w:top w:val="nil"/>
              <w:left w:val="nil"/>
              <w:bottom w:val="nil"/>
              <w:right w:val="nil"/>
            </w:tcBorders>
            <w:shd w:val="clear" w:color="000000" w:fill="BFBFBF"/>
            <w:noWrap/>
            <w:vAlign w:val="bottom"/>
            <w:hideMark/>
          </w:tcPr>
          <w:p w14:paraId="4D1307FD"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360" w:type="dxa"/>
            <w:tcBorders>
              <w:top w:val="nil"/>
              <w:left w:val="nil"/>
              <w:bottom w:val="nil"/>
              <w:right w:val="nil"/>
            </w:tcBorders>
            <w:shd w:val="clear" w:color="000000" w:fill="BFBFBF"/>
            <w:noWrap/>
            <w:vAlign w:val="bottom"/>
            <w:hideMark/>
          </w:tcPr>
          <w:p w14:paraId="6E264169"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787" w:type="dxa"/>
            <w:tcBorders>
              <w:top w:val="nil"/>
              <w:left w:val="nil"/>
              <w:bottom w:val="nil"/>
              <w:right w:val="nil"/>
            </w:tcBorders>
            <w:shd w:val="clear" w:color="auto" w:fill="auto"/>
            <w:noWrap/>
            <w:vAlign w:val="bottom"/>
            <w:hideMark/>
          </w:tcPr>
          <w:p w14:paraId="4CA8447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15705</w:t>
            </w:r>
          </w:p>
        </w:tc>
        <w:tc>
          <w:tcPr>
            <w:tcW w:w="742" w:type="dxa"/>
            <w:tcBorders>
              <w:top w:val="nil"/>
              <w:left w:val="nil"/>
              <w:bottom w:val="nil"/>
              <w:right w:val="nil"/>
            </w:tcBorders>
            <w:shd w:val="clear" w:color="auto" w:fill="auto"/>
            <w:noWrap/>
            <w:vAlign w:val="bottom"/>
            <w:hideMark/>
          </w:tcPr>
          <w:p w14:paraId="6E56811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-17213</w:t>
            </w:r>
          </w:p>
        </w:tc>
        <w:tc>
          <w:tcPr>
            <w:tcW w:w="817" w:type="dxa"/>
            <w:tcBorders>
              <w:top w:val="nil"/>
              <w:left w:val="nil"/>
              <w:bottom w:val="nil"/>
              <w:right w:val="nil"/>
            </w:tcBorders>
            <w:shd w:val="clear" w:color="auto" w:fill="auto"/>
            <w:noWrap/>
            <w:vAlign w:val="bottom"/>
            <w:hideMark/>
          </w:tcPr>
          <w:p w14:paraId="07A3014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25357.5</w:t>
            </w:r>
          </w:p>
        </w:tc>
        <w:tc>
          <w:tcPr>
            <w:tcW w:w="696" w:type="dxa"/>
            <w:tcBorders>
              <w:top w:val="nil"/>
              <w:left w:val="nil"/>
              <w:bottom w:val="nil"/>
              <w:right w:val="nil"/>
            </w:tcBorders>
            <w:shd w:val="clear" w:color="auto" w:fill="auto"/>
            <w:noWrap/>
            <w:vAlign w:val="bottom"/>
            <w:hideMark/>
          </w:tcPr>
          <w:p w14:paraId="137419E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3704</w:t>
            </w:r>
          </w:p>
        </w:tc>
        <w:tc>
          <w:tcPr>
            <w:tcW w:w="696" w:type="dxa"/>
            <w:tcBorders>
              <w:top w:val="nil"/>
              <w:left w:val="nil"/>
              <w:bottom w:val="nil"/>
              <w:right w:val="nil"/>
            </w:tcBorders>
            <w:shd w:val="clear" w:color="auto" w:fill="auto"/>
            <w:noWrap/>
            <w:vAlign w:val="bottom"/>
            <w:hideMark/>
          </w:tcPr>
          <w:p w14:paraId="6813172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7878</w:t>
            </w:r>
          </w:p>
        </w:tc>
        <w:tc>
          <w:tcPr>
            <w:tcW w:w="727" w:type="dxa"/>
            <w:tcBorders>
              <w:top w:val="nil"/>
              <w:left w:val="nil"/>
              <w:bottom w:val="nil"/>
              <w:right w:val="nil"/>
            </w:tcBorders>
            <w:shd w:val="clear" w:color="auto" w:fill="auto"/>
            <w:noWrap/>
            <w:vAlign w:val="bottom"/>
            <w:hideMark/>
          </w:tcPr>
          <w:p w14:paraId="3F6BF14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18982</w:t>
            </w:r>
          </w:p>
        </w:tc>
        <w:tc>
          <w:tcPr>
            <w:tcW w:w="361" w:type="dxa"/>
            <w:tcBorders>
              <w:top w:val="nil"/>
              <w:left w:val="nil"/>
              <w:bottom w:val="nil"/>
              <w:right w:val="nil"/>
            </w:tcBorders>
            <w:shd w:val="clear" w:color="000000" w:fill="BFBFBF"/>
            <w:noWrap/>
            <w:vAlign w:val="bottom"/>
            <w:hideMark/>
          </w:tcPr>
          <w:p w14:paraId="2B144740"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727" w:type="dxa"/>
            <w:tcBorders>
              <w:top w:val="nil"/>
              <w:left w:val="nil"/>
              <w:bottom w:val="nil"/>
              <w:right w:val="nil"/>
            </w:tcBorders>
            <w:shd w:val="clear" w:color="auto" w:fill="auto"/>
            <w:noWrap/>
            <w:vAlign w:val="bottom"/>
            <w:hideMark/>
          </w:tcPr>
          <w:p w14:paraId="43FE31E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37766</w:t>
            </w:r>
          </w:p>
        </w:tc>
        <w:tc>
          <w:tcPr>
            <w:tcW w:w="696" w:type="dxa"/>
            <w:tcBorders>
              <w:top w:val="nil"/>
              <w:left w:val="nil"/>
              <w:bottom w:val="nil"/>
              <w:right w:val="nil"/>
            </w:tcBorders>
            <w:shd w:val="clear" w:color="auto" w:fill="auto"/>
            <w:noWrap/>
            <w:vAlign w:val="bottom"/>
            <w:hideMark/>
          </w:tcPr>
          <w:p w14:paraId="09CD219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9277</w:t>
            </w:r>
          </w:p>
        </w:tc>
      </w:tr>
      <w:tr w:rsidR="00634ABA" w:rsidRPr="00986F85" w14:paraId="43981BBF" w14:textId="77777777" w:rsidTr="00476987">
        <w:trPr>
          <w:trHeight w:val="250"/>
        </w:trPr>
        <w:tc>
          <w:tcPr>
            <w:tcW w:w="360" w:type="dxa"/>
            <w:vMerge/>
            <w:tcBorders>
              <w:top w:val="nil"/>
              <w:left w:val="nil"/>
              <w:bottom w:val="nil"/>
              <w:right w:val="nil"/>
            </w:tcBorders>
            <w:vAlign w:val="center"/>
            <w:hideMark/>
          </w:tcPr>
          <w:p w14:paraId="2380C47A" w14:textId="77777777" w:rsidR="00634ABA" w:rsidRPr="00986F85" w:rsidRDefault="00634ABA" w:rsidP="00476987">
            <w:pPr>
              <w:spacing w:after="0" w:line="240" w:lineRule="auto"/>
              <w:rPr>
                <w:rFonts w:eastAsia="Times New Roman"/>
                <w:color w:val="000000"/>
                <w:lang w:eastAsia="hu-HU"/>
              </w:rPr>
            </w:pPr>
          </w:p>
        </w:tc>
        <w:tc>
          <w:tcPr>
            <w:tcW w:w="1488" w:type="dxa"/>
            <w:tcBorders>
              <w:top w:val="nil"/>
              <w:left w:val="nil"/>
              <w:bottom w:val="nil"/>
              <w:right w:val="nil"/>
            </w:tcBorders>
            <w:shd w:val="clear" w:color="auto" w:fill="auto"/>
            <w:noWrap/>
            <w:vAlign w:val="bottom"/>
            <w:hideMark/>
          </w:tcPr>
          <w:p w14:paraId="1DFE344B"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Egy foglalkoztatottra eső hozzáadott érték</w:t>
            </w:r>
          </w:p>
        </w:tc>
        <w:tc>
          <w:tcPr>
            <w:tcW w:w="702" w:type="dxa"/>
            <w:tcBorders>
              <w:top w:val="nil"/>
              <w:left w:val="nil"/>
              <w:bottom w:val="nil"/>
              <w:right w:val="nil"/>
            </w:tcBorders>
            <w:shd w:val="clear" w:color="auto" w:fill="auto"/>
            <w:noWrap/>
            <w:vAlign w:val="bottom"/>
            <w:hideMark/>
          </w:tcPr>
          <w:p w14:paraId="3C28EF0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2158.8</w:t>
            </w:r>
          </w:p>
        </w:tc>
        <w:tc>
          <w:tcPr>
            <w:tcW w:w="742" w:type="dxa"/>
            <w:tcBorders>
              <w:top w:val="nil"/>
              <w:left w:val="nil"/>
              <w:bottom w:val="nil"/>
              <w:right w:val="nil"/>
            </w:tcBorders>
            <w:shd w:val="clear" w:color="auto" w:fill="auto"/>
            <w:noWrap/>
            <w:vAlign w:val="bottom"/>
            <w:hideMark/>
          </w:tcPr>
          <w:p w14:paraId="0966817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-1710</w:t>
            </w:r>
          </w:p>
        </w:tc>
        <w:tc>
          <w:tcPr>
            <w:tcW w:w="787" w:type="dxa"/>
            <w:tcBorders>
              <w:top w:val="nil"/>
              <w:left w:val="nil"/>
              <w:bottom w:val="nil"/>
              <w:right w:val="nil"/>
            </w:tcBorders>
            <w:shd w:val="clear" w:color="auto" w:fill="auto"/>
            <w:noWrap/>
            <w:vAlign w:val="bottom"/>
            <w:hideMark/>
          </w:tcPr>
          <w:p w14:paraId="3C8256C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1554.1</w:t>
            </w:r>
          </w:p>
        </w:tc>
        <w:tc>
          <w:tcPr>
            <w:tcW w:w="696" w:type="dxa"/>
            <w:tcBorders>
              <w:top w:val="nil"/>
              <w:left w:val="nil"/>
              <w:bottom w:val="nil"/>
              <w:right w:val="nil"/>
            </w:tcBorders>
            <w:shd w:val="clear" w:color="auto" w:fill="auto"/>
            <w:noWrap/>
            <w:vAlign w:val="bottom"/>
            <w:hideMark/>
          </w:tcPr>
          <w:p w14:paraId="6F46E26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252.5</w:t>
            </w:r>
          </w:p>
        </w:tc>
        <w:tc>
          <w:tcPr>
            <w:tcW w:w="696" w:type="dxa"/>
            <w:tcBorders>
              <w:top w:val="nil"/>
              <w:left w:val="nil"/>
              <w:bottom w:val="nil"/>
              <w:right w:val="nil"/>
            </w:tcBorders>
            <w:shd w:val="clear" w:color="auto" w:fill="auto"/>
            <w:noWrap/>
            <w:vAlign w:val="bottom"/>
            <w:hideMark/>
          </w:tcPr>
          <w:p w14:paraId="0D67B34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501.8</w:t>
            </w:r>
          </w:p>
        </w:tc>
        <w:tc>
          <w:tcPr>
            <w:tcW w:w="696" w:type="dxa"/>
            <w:tcBorders>
              <w:top w:val="nil"/>
              <w:left w:val="nil"/>
              <w:bottom w:val="nil"/>
              <w:right w:val="nil"/>
            </w:tcBorders>
            <w:shd w:val="clear" w:color="auto" w:fill="auto"/>
            <w:noWrap/>
            <w:vAlign w:val="bottom"/>
            <w:hideMark/>
          </w:tcPr>
          <w:p w14:paraId="5E547C9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770.8</w:t>
            </w:r>
          </w:p>
        </w:tc>
        <w:tc>
          <w:tcPr>
            <w:tcW w:w="817" w:type="dxa"/>
            <w:tcBorders>
              <w:top w:val="nil"/>
              <w:left w:val="nil"/>
              <w:bottom w:val="nil"/>
              <w:right w:val="nil"/>
            </w:tcBorders>
            <w:shd w:val="clear" w:color="auto" w:fill="auto"/>
            <w:noWrap/>
            <w:vAlign w:val="bottom"/>
            <w:hideMark/>
          </w:tcPr>
          <w:p w14:paraId="6A3C544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-141.5</w:t>
            </w:r>
          </w:p>
        </w:tc>
        <w:tc>
          <w:tcPr>
            <w:tcW w:w="742" w:type="dxa"/>
            <w:tcBorders>
              <w:top w:val="nil"/>
              <w:left w:val="nil"/>
              <w:bottom w:val="nil"/>
              <w:right w:val="nil"/>
            </w:tcBorders>
            <w:shd w:val="clear" w:color="auto" w:fill="auto"/>
            <w:noWrap/>
            <w:vAlign w:val="bottom"/>
            <w:hideMark/>
          </w:tcPr>
          <w:p w14:paraId="2779A36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-105.5</w:t>
            </w:r>
          </w:p>
        </w:tc>
        <w:tc>
          <w:tcPr>
            <w:tcW w:w="675" w:type="dxa"/>
            <w:tcBorders>
              <w:top w:val="nil"/>
              <w:left w:val="nil"/>
              <w:bottom w:val="nil"/>
              <w:right w:val="nil"/>
            </w:tcBorders>
            <w:shd w:val="clear" w:color="auto" w:fill="auto"/>
            <w:noWrap/>
            <w:vAlign w:val="bottom"/>
            <w:hideMark/>
          </w:tcPr>
          <w:p w14:paraId="007D583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157</w:t>
            </w:r>
          </w:p>
        </w:tc>
        <w:tc>
          <w:tcPr>
            <w:tcW w:w="360" w:type="dxa"/>
            <w:tcBorders>
              <w:top w:val="nil"/>
              <w:left w:val="nil"/>
              <w:bottom w:val="nil"/>
              <w:right w:val="nil"/>
            </w:tcBorders>
            <w:shd w:val="clear" w:color="000000" w:fill="BFBFBF"/>
            <w:noWrap/>
            <w:vAlign w:val="bottom"/>
            <w:hideMark/>
          </w:tcPr>
          <w:p w14:paraId="63AE149D"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360" w:type="dxa"/>
            <w:tcBorders>
              <w:top w:val="nil"/>
              <w:left w:val="nil"/>
              <w:bottom w:val="nil"/>
              <w:right w:val="nil"/>
            </w:tcBorders>
            <w:shd w:val="clear" w:color="000000" w:fill="BFBFBF"/>
            <w:noWrap/>
            <w:vAlign w:val="bottom"/>
            <w:hideMark/>
          </w:tcPr>
          <w:p w14:paraId="2859B4B0"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787" w:type="dxa"/>
            <w:tcBorders>
              <w:top w:val="nil"/>
              <w:left w:val="nil"/>
              <w:bottom w:val="nil"/>
              <w:right w:val="nil"/>
            </w:tcBorders>
            <w:shd w:val="clear" w:color="auto" w:fill="auto"/>
            <w:noWrap/>
            <w:vAlign w:val="bottom"/>
            <w:hideMark/>
          </w:tcPr>
          <w:p w14:paraId="1475873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2243.6</w:t>
            </w:r>
          </w:p>
        </w:tc>
        <w:tc>
          <w:tcPr>
            <w:tcW w:w="742" w:type="dxa"/>
            <w:tcBorders>
              <w:top w:val="nil"/>
              <w:left w:val="nil"/>
              <w:bottom w:val="nil"/>
              <w:right w:val="nil"/>
            </w:tcBorders>
            <w:shd w:val="clear" w:color="auto" w:fill="auto"/>
            <w:noWrap/>
            <w:vAlign w:val="bottom"/>
            <w:hideMark/>
          </w:tcPr>
          <w:p w14:paraId="7BD173E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-475</w:t>
            </w:r>
          </w:p>
        </w:tc>
        <w:tc>
          <w:tcPr>
            <w:tcW w:w="817" w:type="dxa"/>
            <w:tcBorders>
              <w:top w:val="nil"/>
              <w:left w:val="nil"/>
              <w:bottom w:val="nil"/>
              <w:right w:val="nil"/>
            </w:tcBorders>
            <w:shd w:val="clear" w:color="auto" w:fill="auto"/>
            <w:noWrap/>
            <w:vAlign w:val="bottom"/>
            <w:hideMark/>
          </w:tcPr>
          <w:p w14:paraId="2D57D80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903.8</w:t>
            </w:r>
          </w:p>
        </w:tc>
        <w:tc>
          <w:tcPr>
            <w:tcW w:w="696" w:type="dxa"/>
            <w:tcBorders>
              <w:top w:val="nil"/>
              <w:left w:val="nil"/>
              <w:bottom w:val="nil"/>
              <w:right w:val="nil"/>
            </w:tcBorders>
            <w:shd w:val="clear" w:color="auto" w:fill="auto"/>
            <w:noWrap/>
            <w:vAlign w:val="bottom"/>
            <w:hideMark/>
          </w:tcPr>
          <w:p w14:paraId="1E077B7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815.1</w:t>
            </w:r>
          </w:p>
        </w:tc>
        <w:tc>
          <w:tcPr>
            <w:tcW w:w="696" w:type="dxa"/>
            <w:tcBorders>
              <w:top w:val="nil"/>
              <w:left w:val="nil"/>
              <w:bottom w:val="nil"/>
              <w:right w:val="nil"/>
            </w:tcBorders>
            <w:shd w:val="clear" w:color="auto" w:fill="auto"/>
            <w:noWrap/>
            <w:vAlign w:val="bottom"/>
            <w:hideMark/>
          </w:tcPr>
          <w:p w14:paraId="2017F51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210.5</w:t>
            </w:r>
          </w:p>
        </w:tc>
        <w:tc>
          <w:tcPr>
            <w:tcW w:w="727" w:type="dxa"/>
            <w:tcBorders>
              <w:top w:val="nil"/>
              <w:left w:val="nil"/>
              <w:bottom w:val="nil"/>
              <w:right w:val="nil"/>
            </w:tcBorders>
            <w:shd w:val="clear" w:color="auto" w:fill="auto"/>
            <w:noWrap/>
            <w:vAlign w:val="bottom"/>
            <w:hideMark/>
          </w:tcPr>
          <w:p w14:paraId="52227F6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412.7</w:t>
            </w:r>
          </w:p>
        </w:tc>
        <w:tc>
          <w:tcPr>
            <w:tcW w:w="361" w:type="dxa"/>
            <w:tcBorders>
              <w:top w:val="nil"/>
              <w:left w:val="nil"/>
              <w:bottom w:val="nil"/>
              <w:right w:val="nil"/>
            </w:tcBorders>
            <w:shd w:val="clear" w:color="000000" w:fill="BFBFBF"/>
            <w:noWrap/>
            <w:vAlign w:val="bottom"/>
            <w:hideMark/>
          </w:tcPr>
          <w:p w14:paraId="107E3231"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727" w:type="dxa"/>
            <w:tcBorders>
              <w:top w:val="nil"/>
              <w:left w:val="nil"/>
              <w:bottom w:val="nil"/>
              <w:right w:val="nil"/>
            </w:tcBorders>
            <w:shd w:val="clear" w:color="auto" w:fill="auto"/>
            <w:noWrap/>
            <w:vAlign w:val="bottom"/>
            <w:hideMark/>
          </w:tcPr>
          <w:p w14:paraId="545835E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2988.8</w:t>
            </w:r>
          </w:p>
        </w:tc>
        <w:tc>
          <w:tcPr>
            <w:tcW w:w="696" w:type="dxa"/>
            <w:tcBorders>
              <w:top w:val="nil"/>
              <w:left w:val="nil"/>
              <w:bottom w:val="nil"/>
              <w:right w:val="nil"/>
            </w:tcBorders>
            <w:shd w:val="clear" w:color="auto" w:fill="auto"/>
            <w:noWrap/>
            <w:vAlign w:val="bottom"/>
            <w:hideMark/>
          </w:tcPr>
          <w:p w14:paraId="5717B56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421.2</w:t>
            </w:r>
          </w:p>
        </w:tc>
      </w:tr>
      <w:tr w:rsidR="00634ABA" w:rsidRPr="00986F85" w14:paraId="127F792E" w14:textId="77777777" w:rsidTr="00476987">
        <w:trPr>
          <w:trHeight w:val="250"/>
        </w:trPr>
        <w:tc>
          <w:tcPr>
            <w:tcW w:w="360" w:type="dxa"/>
            <w:vMerge/>
            <w:tcBorders>
              <w:top w:val="nil"/>
              <w:left w:val="nil"/>
              <w:bottom w:val="nil"/>
              <w:right w:val="nil"/>
            </w:tcBorders>
            <w:vAlign w:val="center"/>
            <w:hideMark/>
          </w:tcPr>
          <w:p w14:paraId="3D6D3F9C" w14:textId="77777777" w:rsidR="00634ABA" w:rsidRPr="00986F85" w:rsidRDefault="00634ABA" w:rsidP="00476987">
            <w:pPr>
              <w:spacing w:after="0" w:line="240" w:lineRule="auto"/>
              <w:rPr>
                <w:rFonts w:eastAsia="Times New Roman"/>
                <w:color w:val="000000"/>
                <w:lang w:eastAsia="hu-HU"/>
              </w:rPr>
            </w:pPr>
          </w:p>
        </w:tc>
        <w:tc>
          <w:tcPr>
            <w:tcW w:w="1488" w:type="dxa"/>
            <w:tcBorders>
              <w:top w:val="nil"/>
              <w:left w:val="nil"/>
              <w:bottom w:val="nil"/>
              <w:right w:val="nil"/>
            </w:tcBorders>
            <w:shd w:val="clear" w:color="auto" w:fill="auto"/>
            <w:noWrap/>
            <w:vAlign w:val="bottom"/>
            <w:hideMark/>
          </w:tcPr>
          <w:p w14:paraId="232E199E"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ROA</w:t>
            </w:r>
          </w:p>
        </w:tc>
        <w:tc>
          <w:tcPr>
            <w:tcW w:w="702" w:type="dxa"/>
            <w:tcBorders>
              <w:top w:val="nil"/>
              <w:left w:val="nil"/>
              <w:bottom w:val="nil"/>
              <w:right w:val="nil"/>
            </w:tcBorders>
            <w:shd w:val="clear" w:color="auto" w:fill="auto"/>
            <w:noWrap/>
            <w:vAlign w:val="bottom"/>
            <w:hideMark/>
          </w:tcPr>
          <w:p w14:paraId="3A9982F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-0.156</w:t>
            </w:r>
          </w:p>
        </w:tc>
        <w:tc>
          <w:tcPr>
            <w:tcW w:w="742" w:type="dxa"/>
            <w:tcBorders>
              <w:top w:val="nil"/>
              <w:left w:val="nil"/>
              <w:bottom w:val="nil"/>
              <w:right w:val="nil"/>
            </w:tcBorders>
            <w:shd w:val="clear" w:color="auto" w:fill="auto"/>
            <w:noWrap/>
            <w:vAlign w:val="bottom"/>
            <w:hideMark/>
          </w:tcPr>
          <w:p w14:paraId="2E42ED6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-0.023</w:t>
            </w:r>
          </w:p>
        </w:tc>
        <w:tc>
          <w:tcPr>
            <w:tcW w:w="787" w:type="dxa"/>
            <w:tcBorders>
              <w:top w:val="nil"/>
              <w:left w:val="nil"/>
              <w:bottom w:val="nil"/>
              <w:right w:val="nil"/>
            </w:tcBorders>
            <w:shd w:val="clear" w:color="auto" w:fill="auto"/>
            <w:noWrap/>
            <w:vAlign w:val="bottom"/>
            <w:hideMark/>
          </w:tcPr>
          <w:p w14:paraId="589ADC9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0.005</w:t>
            </w:r>
          </w:p>
        </w:tc>
        <w:tc>
          <w:tcPr>
            <w:tcW w:w="696" w:type="dxa"/>
            <w:tcBorders>
              <w:top w:val="nil"/>
              <w:left w:val="nil"/>
              <w:bottom w:val="nil"/>
              <w:right w:val="nil"/>
            </w:tcBorders>
            <w:shd w:val="clear" w:color="auto" w:fill="auto"/>
            <w:noWrap/>
            <w:vAlign w:val="bottom"/>
            <w:hideMark/>
          </w:tcPr>
          <w:p w14:paraId="480E5C7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-0.034</w:t>
            </w:r>
          </w:p>
        </w:tc>
        <w:tc>
          <w:tcPr>
            <w:tcW w:w="696" w:type="dxa"/>
            <w:tcBorders>
              <w:top w:val="nil"/>
              <w:left w:val="nil"/>
              <w:bottom w:val="nil"/>
              <w:right w:val="nil"/>
            </w:tcBorders>
            <w:shd w:val="clear" w:color="auto" w:fill="auto"/>
            <w:noWrap/>
            <w:vAlign w:val="bottom"/>
            <w:hideMark/>
          </w:tcPr>
          <w:p w14:paraId="69FDE42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-0.022</w:t>
            </w:r>
          </w:p>
        </w:tc>
        <w:tc>
          <w:tcPr>
            <w:tcW w:w="696" w:type="dxa"/>
            <w:tcBorders>
              <w:top w:val="nil"/>
              <w:left w:val="nil"/>
              <w:bottom w:val="nil"/>
              <w:right w:val="nil"/>
            </w:tcBorders>
            <w:shd w:val="clear" w:color="auto" w:fill="auto"/>
            <w:noWrap/>
            <w:vAlign w:val="bottom"/>
            <w:hideMark/>
          </w:tcPr>
          <w:p w14:paraId="4C26520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-0.051</w:t>
            </w:r>
          </w:p>
        </w:tc>
        <w:tc>
          <w:tcPr>
            <w:tcW w:w="817" w:type="dxa"/>
            <w:tcBorders>
              <w:top w:val="nil"/>
              <w:left w:val="nil"/>
              <w:bottom w:val="nil"/>
              <w:right w:val="nil"/>
            </w:tcBorders>
            <w:shd w:val="clear" w:color="auto" w:fill="auto"/>
            <w:noWrap/>
            <w:vAlign w:val="bottom"/>
            <w:hideMark/>
          </w:tcPr>
          <w:p w14:paraId="7524E62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-0.025</w:t>
            </w:r>
          </w:p>
        </w:tc>
        <w:tc>
          <w:tcPr>
            <w:tcW w:w="742" w:type="dxa"/>
            <w:tcBorders>
              <w:top w:val="nil"/>
              <w:left w:val="nil"/>
              <w:bottom w:val="nil"/>
              <w:right w:val="nil"/>
            </w:tcBorders>
            <w:shd w:val="clear" w:color="auto" w:fill="auto"/>
            <w:noWrap/>
            <w:vAlign w:val="bottom"/>
            <w:hideMark/>
          </w:tcPr>
          <w:p w14:paraId="239E2E5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-0.045</w:t>
            </w:r>
          </w:p>
        </w:tc>
        <w:tc>
          <w:tcPr>
            <w:tcW w:w="675" w:type="dxa"/>
            <w:tcBorders>
              <w:top w:val="nil"/>
              <w:left w:val="nil"/>
              <w:bottom w:val="nil"/>
              <w:right w:val="nil"/>
            </w:tcBorders>
            <w:shd w:val="clear" w:color="auto" w:fill="auto"/>
            <w:noWrap/>
            <w:vAlign w:val="bottom"/>
            <w:hideMark/>
          </w:tcPr>
          <w:p w14:paraId="0663FD0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-0.026</w:t>
            </w:r>
          </w:p>
        </w:tc>
        <w:tc>
          <w:tcPr>
            <w:tcW w:w="360" w:type="dxa"/>
            <w:tcBorders>
              <w:top w:val="nil"/>
              <w:left w:val="nil"/>
              <w:bottom w:val="nil"/>
              <w:right w:val="nil"/>
            </w:tcBorders>
            <w:shd w:val="clear" w:color="000000" w:fill="BFBFBF"/>
            <w:noWrap/>
            <w:vAlign w:val="bottom"/>
            <w:hideMark/>
          </w:tcPr>
          <w:p w14:paraId="44ED8A1E"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360" w:type="dxa"/>
            <w:tcBorders>
              <w:top w:val="nil"/>
              <w:left w:val="nil"/>
              <w:bottom w:val="nil"/>
              <w:right w:val="nil"/>
            </w:tcBorders>
            <w:shd w:val="clear" w:color="000000" w:fill="BFBFBF"/>
            <w:noWrap/>
            <w:vAlign w:val="bottom"/>
            <w:hideMark/>
          </w:tcPr>
          <w:p w14:paraId="67D885AD"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787" w:type="dxa"/>
            <w:tcBorders>
              <w:top w:val="nil"/>
              <w:left w:val="nil"/>
              <w:bottom w:val="nil"/>
              <w:right w:val="nil"/>
            </w:tcBorders>
            <w:shd w:val="clear" w:color="auto" w:fill="auto"/>
            <w:noWrap/>
            <w:vAlign w:val="bottom"/>
            <w:hideMark/>
          </w:tcPr>
          <w:p w14:paraId="788D237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-0.336</w:t>
            </w:r>
          </w:p>
        </w:tc>
        <w:tc>
          <w:tcPr>
            <w:tcW w:w="742" w:type="dxa"/>
            <w:tcBorders>
              <w:top w:val="nil"/>
              <w:left w:val="nil"/>
              <w:bottom w:val="nil"/>
              <w:right w:val="nil"/>
            </w:tcBorders>
            <w:shd w:val="clear" w:color="auto" w:fill="auto"/>
            <w:noWrap/>
            <w:vAlign w:val="bottom"/>
            <w:hideMark/>
          </w:tcPr>
          <w:p w14:paraId="5995D84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-0.003</w:t>
            </w:r>
          </w:p>
        </w:tc>
        <w:tc>
          <w:tcPr>
            <w:tcW w:w="817" w:type="dxa"/>
            <w:tcBorders>
              <w:top w:val="nil"/>
              <w:left w:val="nil"/>
              <w:bottom w:val="nil"/>
              <w:right w:val="nil"/>
            </w:tcBorders>
            <w:shd w:val="clear" w:color="auto" w:fill="auto"/>
            <w:noWrap/>
            <w:vAlign w:val="bottom"/>
            <w:hideMark/>
          </w:tcPr>
          <w:p w14:paraId="649806F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0.008</w:t>
            </w:r>
          </w:p>
        </w:tc>
        <w:tc>
          <w:tcPr>
            <w:tcW w:w="696" w:type="dxa"/>
            <w:tcBorders>
              <w:top w:val="nil"/>
              <w:left w:val="nil"/>
              <w:bottom w:val="nil"/>
              <w:right w:val="nil"/>
            </w:tcBorders>
            <w:shd w:val="clear" w:color="auto" w:fill="auto"/>
            <w:noWrap/>
            <w:vAlign w:val="bottom"/>
            <w:hideMark/>
          </w:tcPr>
          <w:p w14:paraId="375041B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-0.045</w:t>
            </w:r>
          </w:p>
        </w:tc>
        <w:tc>
          <w:tcPr>
            <w:tcW w:w="696" w:type="dxa"/>
            <w:tcBorders>
              <w:top w:val="nil"/>
              <w:left w:val="nil"/>
              <w:bottom w:val="nil"/>
              <w:right w:val="nil"/>
            </w:tcBorders>
            <w:shd w:val="clear" w:color="auto" w:fill="auto"/>
            <w:noWrap/>
            <w:vAlign w:val="bottom"/>
            <w:hideMark/>
          </w:tcPr>
          <w:p w14:paraId="1CF6F43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-0.037</w:t>
            </w:r>
          </w:p>
        </w:tc>
        <w:tc>
          <w:tcPr>
            <w:tcW w:w="727" w:type="dxa"/>
            <w:tcBorders>
              <w:top w:val="nil"/>
              <w:left w:val="nil"/>
              <w:bottom w:val="nil"/>
              <w:right w:val="nil"/>
            </w:tcBorders>
            <w:shd w:val="clear" w:color="auto" w:fill="auto"/>
            <w:noWrap/>
            <w:vAlign w:val="bottom"/>
            <w:hideMark/>
          </w:tcPr>
          <w:p w14:paraId="49037B7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-0.032</w:t>
            </w:r>
          </w:p>
        </w:tc>
        <w:tc>
          <w:tcPr>
            <w:tcW w:w="361" w:type="dxa"/>
            <w:tcBorders>
              <w:top w:val="nil"/>
              <w:left w:val="nil"/>
              <w:bottom w:val="nil"/>
              <w:right w:val="nil"/>
            </w:tcBorders>
            <w:shd w:val="clear" w:color="000000" w:fill="BFBFBF"/>
            <w:noWrap/>
            <w:vAlign w:val="bottom"/>
            <w:hideMark/>
          </w:tcPr>
          <w:p w14:paraId="25A4080E"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 </w:t>
            </w:r>
          </w:p>
        </w:tc>
        <w:tc>
          <w:tcPr>
            <w:tcW w:w="727" w:type="dxa"/>
            <w:tcBorders>
              <w:top w:val="nil"/>
              <w:left w:val="nil"/>
              <w:bottom w:val="nil"/>
              <w:right w:val="nil"/>
            </w:tcBorders>
            <w:shd w:val="clear" w:color="auto" w:fill="auto"/>
            <w:noWrap/>
            <w:vAlign w:val="bottom"/>
            <w:hideMark/>
          </w:tcPr>
          <w:p w14:paraId="20D5BEA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0.021</w:t>
            </w:r>
          </w:p>
        </w:tc>
        <w:tc>
          <w:tcPr>
            <w:tcW w:w="696" w:type="dxa"/>
            <w:tcBorders>
              <w:top w:val="nil"/>
              <w:left w:val="nil"/>
              <w:bottom w:val="nil"/>
              <w:right w:val="nil"/>
            </w:tcBorders>
            <w:shd w:val="clear" w:color="auto" w:fill="auto"/>
            <w:noWrap/>
            <w:vAlign w:val="bottom"/>
            <w:hideMark/>
          </w:tcPr>
          <w:p w14:paraId="4300D88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-0.027</w:t>
            </w:r>
          </w:p>
        </w:tc>
      </w:tr>
    </w:tbl>
    <w:p w14:paraId="3F588DC9" w14:textId="77777777" w:rsidR="00634ABA" w:rsidRPr="00986F85" w:rsidRDefault="00634ABA" w:rsidP="00634ABA"/>
    <w:p w14:paraId="43443B13" w14:textId="77777777" w:rsidR="00634ABA" w:rsidRPr="00986F85" w:rsidRDefault="00634ABA" w:rsidP="00634ABA">
      <w:pPr>
        <w:sectPr w:rsidR="00634ABA" w:rsidRPr="00986F85" w:rsidSect="00476987">
          <w:pgSz w:w="16838" w:h="11906" w:orient="landscape"/>
          <w:pgMar w:top="1418" w:right="1418" w:bottom="1418" w:left="1418" w:header="709" w:footer="709" w:gutter="0"/>
          <w:cols w:space="708"/>
          <w:docGrid w:linePitch="360"/>
        </w:sectPr>
      </w:pPr>
    </w:p>
    <w:p w14:paraId="2B9B26B0" w14:textId="77777777" w:rsidR="00634ABA" w:rsidRPr="00986F85" w:rsidRDefault="00634ABA" w:rsidP="00634ABA"/>
    <w:tbl>
      <w:tblPr>
        <w:tblW w:w="9299" w:type="dxa"/>
        <w:tblInd w:w="70" w:type="dxa"/>
        <w:tblCellMar>
          <w:left w:w="70" w:type="dxa"/>
          <w:right w:w="70" w:type="dxa"/>
        </w:tblCellMar>
        <w:tblLook w:val="04A0" w:firstRow="1" w:lastRow="0" w:firstColumn="1" w:lastColumn="0" w:noHBand="0" w:noVBand="1"/>
      </w:tblPr>
      <w:tblGrid>
        <w:gridCol w:w="444"/>
        <w:gridCol w:w="4032"/>
        <w:gridCol w:w="965"/>
        <w:gridCol w:w="806"/>
        <w:gridCol w:w="750"/>
        <w:gridCol w:w="806"/>
        <w:gridCol w:w="1552"/>
      </w:tblGrid>
      <w:tr w:rsidR="00634ABA" w:rsidRPr="00986F85" w14:paraId="6B749DD6" w14:textId="77777777" w:rsidTr="00476987">
        <w:trPr>
          <w:trHeight w:val="300"/>
        </w:trPr>
        <w:tc>
          <w:tcPr>
            <w:tcW w:w="9299" w:type="dxa"/>
            <w:gridSpan w:val="7"/>
            <w:tcBorders>
              <w:top w:val="nil"/>
              <w:left w:val="nil"/>
              <w:right w:val="nil"/>
            </w:tcBorders>
            <w:shd w:val="clear" w:color="000000" w:fill="B10000"/>
            <w:noWrap/>
            <w:vAlign w:val="bottom"/>
            <w:hideMark/>
          </w:tcPr>
          <w:p w14:paraId="7A27FF28" w14:textId="77777777" w:rsidR="00634ABA" w:rsidRPr="00986F85" w:rsidRDefault="00634ABA" w:rsidP="00476987">
            <w:pPr>
              <w:spacing w:after="0" w:line="240" w:lineRule="auto"/>
              <w:jc w:val="center"/>
              <w:rPr>
                <w:rFonts w:eastAsia="Times New Roman"/>
                <w:b/>
                <w:bCs/>
                <w:color w:val="FFFFFF"/>
                <w:lang w:eastAsia="hu-HU"/>
              </w:rPr>
            </w:pPr>
            <w:r w:rsidRPr="00986F85">
              <w:rPr>
                <w:rFonts w:eastAsia="Times New Roman"/>
                <w:b/>
                <w:bCs/>
                <w:color w:val="FFFFFF"/>
                <w:lang w:eastAsia="hu-HU"/>
              </w:rPr>
              <w:t>Főbb indikátorok változásának mediánja kor szerinti bontásban (2011/2006)</w:t>
            </w:r>
          </w:p>
        </w:tc>
      </w:tr>
      <w:tr w:rsidR="00634ABA" w:rsidRPr="00986F85" w14:paraId="0B817E4E" w14:textId="77777777" w:rsidTr="00476987">
        <w:trPr>
          <w:trHeight w:val="285"/>
        </w:trPr>
        <w:tc>
          <w:tcPr>
            <w:tcW w:w="406" w:type="dxa"/>
            <w:tcBorders>
              <w:top w:val="nil"/>
              <w:left w:val="nil"/>
              <w:bottom w:val="nil"/>
              <w:right w:val="nil"/>
            </w:tcBorders>
            <w:shd w:val="clear" w:color="auto" w:fill="B10000"/>
            <w:noWrap/>
            <w:vAlign w:val="bottom"/>
            <w:hideMark/>
          </w:tcPr>
          <w:p w14:paraId="73D801C4" w14:textId="77777777" w:rsidR="00634ABA" w:rsidRPr="00986F85" w:rsidRDefault="00634ABA" w:rsidP="00476987">
            <w:pPr>
              <w:spacing w:after="0" w:line="240" w:lineRule="auto"/>
              <w:rPr>
                <w:rFonts w:eastAsia="Times New Roman"/>
                <w:color w:val="FFFFFF" w:themeColor="background1"/>
                <w:lang w:eastAsia="hu-HU"/>
              </w:rPr>
            </w:pPr>
          </w:p>
        </w:tc>
        <w:tc>
          <w:tcPr>
            <w:tcW w:w="4032" w:type="dxa"/>
            <w:tcBorders>
              <w:top w:val="nil"/>
              <w:left w:val="nil"/>
              <w:bottom w:val="nil"/>
              <w:right w:val="nil"/>
            </w:tcBorders>
            <w:shd w:val="clear" w:color="auto" w:fill="B10000"/>
            <w:noWrap/>
            <w:vAlign w:val="bottom"/>
            <w:hideMark/>
          </w:tcPr>
          <w:p w14:paraId="40C8B31D" w14:textId="77777777" w:rsidR="00634ABA" w:rsidRPr="00986F85" w:rsidRDefault="00634ABA" w:rsidP="00476987">
            <w:pPr>
              <w:spacing w:after="0" w:line="240" w:lineRule="auto"/>
              <w:rPr>
                <w:rFonts w:eastAsia="Times New Roman"/>
                <w:color w:val="FFFFFF" w:themeColor="background1"/>
                <w:lang w:eastAsia="hu-HU"/>
              </w:rPr>
            </w:pPr>
          </w:p>
        </w:tc>
        <w:tc>
          <w:tcPr>
            <w:tcW w:w="965" w:type="dxa"/>
            <w:tcBorders>
              <w:top w:val="nil"/>
              <w:left w:val="nil"/>
              <w:bottom w:val="nil"/>
              <w:right w:val="nil"/>
            </w:tcBorders>
            <w:shd w:val="clear" w:color="auto" w:fill="B10000"/>
            <w:noWrap/>
            <w:vAlign w:val="bottom"/>
            <w:hideMark/>
          </w:tcPr>
          <w:p w14:paraId="6E8C4390" w14:textId="77777777" w:rsidR="00634ABA" w:rsidRPr="00986F85" w:rsidRDefault="00634ABA" w:rsidP="00476987">
            <w:pPr>
              <w:spacing w:after="0" w:line="240" w:lineRule="auto"/>
              <w:jc w:val="center"/>
              <w:rPr>
                <w:rFonts w:eastAsia="Times New Roman"/>
                <w:color w:val="FFFFFF" w:themeColor="background1"/>
                <w:lang w:eastAsia="hu-HU"/>
              </w:rPr>
            </w:pPr>
            <w:r w:rsidRPr="00986F85">
              <w:rPr>
                <w:rFonts w:eastAsia="Times New Roman"/>
                <w:color w:val="FFFFFF" w:themeColor="background1"/>
                <w:lang w:eastAsia="hu-HU"/>
              </w:rPr>
              <w:t>0-4</w:t>
            </w:r>
          </w:p>
        </w:tc>
        <w:tc>
          <w:tcPr>
            <w:tcW w:w="797" w:type="dxa"/>
            <w:tcBorders>
              <w:top w:val="nil"/>
              <w:left w:val="nil"/>
              <w:bottom w:val="nil"/>
              <w:right w:val="nil"/>
            </w:tcBorders>
            <w:shd w:val="clear" w:color="auto" w:fill="B10000"/>
            <w:noWrap/>
            <w:vAlign w:val="bottom"/>
            <w:hideMark/>
          </w:tcPr>
          <w:p w14:paraId="1608D7F6" w14:textId="77777777" w:rsidR="00634ABA" w:rsidRPr="00986F85" w:rsidRDefault="00634ABA" w:rsidP="00476987">
            <w:pPr>
              <w:spacing w:after="0" w:line="240" w:lineRule="auto"/>
              <w:jc w:val="center"/>
              <w:rPr>
                <w:rFonts w:eastAsia="Times New Roman"/>
                <w:color w:val="FFFFFF" w:themeColor="background1"/>
                <w:lang w:eastAsia="hu-HU"/>
              </w:rPr>
            </w:pPr>
            <w:r w:rsidRPr="00986F85">
              <w:rPr>
                <w:rFonts w:eastAsia="Times New Roman"/>
                <w:color w:val="FFFFFF" w:themeColor="background1"/>
                <w:lang w:eastAsia="hu-HU"/>
              </w:rPr>
              <w:t>5-9</w:t>
            </w:r>
          </w:p>
        </w:tc>
        <w:tc>
          <w:tcPr>
            <w:tcW w:w="750" w:type="dxa"/>
            <w:tcBorders>
              <w:top w:val="nil"/>
              <w:left w:val="nil"/>
              <w:bottom w:val="nil"/>
              <w:right w:val="nil"/>
            </w:tcBorders>
            <w:shd w:val="clear" w:color="auto" w:fill="B10000"/>
            <w:noWrap/>
            <w:vAlign w:val="bottom"/>
            <w:hideMark/>
          </w:tcPr>
          <w:p w14:paraId="6C51BA87" w14:textId="77777777" w:rsidR="00634ABA" w:rsidRPr="00986F85" w:rsidRDefault="00634ABA" w:rsidP="00476987">
            <w:pPr>
              <w:spacing w:after="0" w:line="240" w:lineRule="auto"/>
              <w:jc w:val="center"/>
              <w:rPr>
                <w:rFonts w:eastAsia="Times New Roman"/>
                <w:color w:val="FFFFFF" w:themeColor="background1"/>
                <w:lang w:eastAsia="hu-HU"/>
              </w:rPr>
            </w:pPr>
            <w:r w:rsidRPr="00986F85">
              <w:rPr>
                <w:rFonts w:eastAsia="Times New Roman"/>
                <w:color w:val="FFFFFF" w:themeColor="background1"/>
                <w:lang w:eastAsia="hu-HU"/>
              </w:rPr>
              <w:t>10-14</w:t>
            </w:r>
          </w:p>
        </w:tc>
        <w:tc>
          <w:tcPr>
            <w:tcW w:w="797" w:type="dxa"/>
            <w:tcBorders>
              <w:top w:val="nil"/>
              <w:left w:val="nil"/>
              <w:bottom w:val="nil"/>
              <w:right w:val="nil"/>
            </w:tcBorders>
            <w:shd w:val="clear" w:color="auto" w:fill="B10000"/>
            <w:noWrap/>
            <w:vAlign w:val="bottom"/>
            <w:hideMark/>
          </w:tcPr>
          <w:p w14:paraId="166DB5CC" w14:textId="77777777" w:rsidR="00634ABA" w:rsidRPr="00986F85" w:rsidRDefault="00634ABA" w:rsidP="00476987">
            <w:pPr>
              <w:spacing w:after="0" w:line="240" w:lineRule="auto"/>
              <w:jc w:val="center"/>
              <w:rPr>
                <w:rFonts w:eastAsia="Times New Roman"/>
                <w:color w:val="FFFFFF" w:themeColor="background1"/>
                <w:lang w:eastAsia="hu-HU"/>
              </w:rPr>
            </w:pPr>
            <w:r w:rsidRPr="00986F85">
              <w:rPr>
                <w:rFonts w:eastAsia="Times New Roman"/>
                <w:color w:val="FFFFFF" w:themeColor="background1"/>
                <w:lang w:eastAsia="hu-HU"/>
              </w:rPr>
              <w:t>15+</w:t>
            </w:r>
          </w:p>
        </w:tc>
        <w:tc>
          <w:tcPr>
            <w:tcW w:w="1552" w:type="dxa"/>
            <w:tcBorders>
              <w:top w:val="nil"/>
              <w:left w:val="nil"/>
              <w:bottom w:val="nil"/>
              <w:right w:val="nil"/>
            </w:tcBorders>
            <w:shd w:val="clear" w:color="auto" w:fill="B10000"/>
            <w:noWrap/>
            <w:vAlign w:val="bottom"/>
            <w:hideMark/>
          </w:tcPr>
          <w:p w14:paraId="09E40431" w14:textId="77777777" w:rsidR="00634ABA" w:rsidRPr="00986F85" w:rsidRDefault="00634ABA" w:rsidP="00476987">
            <w:pPr>
              <w:spacing w:after="0" w:line="240" w:lineRule="auto"/>
              <w:jc w:val="center"/>
              <w:rPr>
                <w:rFonts w:eastAsia="Times New Roman"/>
                <w:color w:val="FFFFFF" w:themeColor="background1"/>
                <w:lang w:eastAsia="hu-HU"/>
              </w:rPr>
            </w:pPr>
            <w:r w:rsidRPr="00986F85">
              <w:rPr>
                <w:rFonts w:eastAsia="Times New Roman"/>
                <w:color w:val="FFFFFF" w:themeColor="background1"/>
                <w:lang w:eastAsia="hu-HU"/>
              </w:rPr>
              <w:t>Országos átlag</w:t>
            </w:r>
          </w:p>
        </w:tc>
      </w:tr>
      <w:tr w:rsidR="00634ABA" w:rsidRPr="00986F85" w14:paraId="7CBC32DB" w14:textId="77777777" w:rsidTr="00476987">
        <w:trPr>
          <w:trHeight w:val="285"/>
        </w:trPr>
        <w:tc>
          <w:tcPr>
            <w:tcW w:w="406" w:type="dxa"/>
            <w:vMerge w:val="restart"/>
            <w:tcBorders>
              <w:top w:val="nil"/>
              <w:left w:val="nil"/>
              <w:bottom w:val="nil"/>
              <w:right w:val="nil"/>
            </w:tcBorders>
            <w:shd w:val="clear" w:color="auto" w:fill="auto"/>
            <w:noWrap/>
            <w:textDirection w:val="btLr"/>
            <w:vAlign w:val="bottom"/>
            <w:hideMark/>
          </w:tcPr>
          <w:p w14:paraId="01D73A26" w14:textId="77777777" w:rsidR="00634ABA" w:rsidRPr="00986F85" w:rsidRDefault="00634ABA" w:rsidP="00476987">
            <w:pPr>
              <w:spacing w:after="0" w:line="240" w:lineRule="auto"/>
              <w:jc w:val="center"/>
              <w:rPr>
                <w:rFonts w:eastAsia="Times New Roman"/>
                <w:b/>
                <w:color w:val="000000"/>
                <w:lang w:eastAsia="hu-HU"/>
              </w:rPr>
            </w:pPr>
            <w:r w:rsidRPr="00986F85">
              <w:rPr>
                <w:rFonts w:eastAsia="Times New Roman"/>
                <w:b/>
                <w:color w:val="000000"/>
                <w:lang w:eastAsia="hu-HU"/>
              </w:rPr>
              <w:t>Kontroll</w:t>
            </w:r>
          </w:p>
        </w:tc>
        <w:tc>
          <w:tcPr>
            <w:tcW w:w="4032" w:type="dxa"/>
            <w:tcBorders>
              <w:top w:val="nil"/>
              <w:left w:val="nil"/>
              <w:bottom w:val="nil"/>
              <w:right w:val="nil"/>
            </w:tcBorders>
            <w:shd w:val="clear" w:color="auto" w:fill="auto"/>
            <w:noWrap/>
            <w:vAlign w:val="bottom"/>
            <w:hideMark/>
          </w:tcPr>
          <w:p w14:paraId="38DE860B"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Foglalkoztatottak száma (%)</w:t>
            </w:r>
          </w:p>
        </w:tc>
        <w:tc>
          <w:tcPr>
            <w:tcW w:w="965" w:type="dxa"/>
            <w:tcBorders>
              <w:top w:val="nil"/>
              <w:left w:val="nil"/>
              <w:bottom w:val="nil"/>
              <w:right w:val="nil"/>
            </w:tcBorders>
            <w:shd w:val="clear" w:color="auto" w:fill="auto"/>
            <w:noWrap/>
            <w:vAlign w:val="bottom"/>
            <w:hideMark/>
          </w:tcPr>
          <w:p w14:paraId="4BC91D5A"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-17.5</w:t>
            </w:r>
          </w:p>
        </w:tc>
        <w:tc>
          <w:tcPr>
            <w:tcW w:w="797" w:type="dxa"/>
            <w:tcBorders>
              <w:top w:val="nil"/>
              <w:left w:val="nil"/>
              <w:bottom w:val="nil"/>
              <w:right w:val="nil"/>
            </w:tcBorders>
            <w:shd w:val="clear" w:color="auto" w:fill="auto"/>
            <w:noWrap/>
            <w:vAlign w:val="bottom"/>
            <w:hideMark/>
          </w:tcPr>
          <w:p w14:paraId="7D77EFDE"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-19.4</w:t>
            </w:r>
          </w:p>
        </w:tc>
        <w:tc>
          <w:tcPr>
            <w:tcW w:w="750" w:type="dxa"/>
            <w:tcBorders>
              <w:top w:val="nil"/>
              <w:left w:val="nil"/>
              <w:bottom w:val="nil"/>
              <w:right w:val="nil"/>
            </w:tcBorders>
            <w:shd w:val="clear" w:color="auto" w:fill="auto"/>
            <w:noWrap/>
            <w:vAlign w:val="bottom"/>
            <w:hideMark/>
          </w:tcPr>
          <w:p w14:paraId="7D3A003F"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-20</w:t>
            </w:r>
          </w:p>
        </w:tc>
        <w:tc>
          <w:tcPr>
            <w:tcW w:w="797" w:type="dxa"/>
            <w:tcBorders>
              <w:top w:val="nil"/>
              <w:left w:val="nil"/>
              <w:bottom w:val="nil"/>
              <w:right w:val="nil"/>
            </w:tcBorders>
            <w:shd w:val="clear" w:color="auto" w:fill="auto"/>
            <w:noWrap/>
            <w:vAlign w:val="bottom"/>
            <w:hideMark/>
          </w:tcPr>
          <w:p w14:paraId="3528609B"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-23.5</w:t>
            </w:r>
          </w:p>
        </w:tc>
        <w:tc>
          <w:tcPr>
            <w:tcW w:w="1552" w:type="dxa"/>
            <w:tcBorders>
              <w:top w:val="nil"/>
              <w:left w:val="nil"/>
              <w:bottom w:val="nil"/>
              <w:right w:val="nil"/>
            </w:tcBorders>
            <w:shd w:val="clear" w:color="auto" w:fill="auto"/>
            <w:noWrap/>
            <w:vAlign w:val="bottom"/>
            <w:hideMark/>
          </w:tcPr>
          <w:p w14:paraId="690EED8D"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-20</w:t>
            </w:r>
          </w:p>
        </w:tc>
      </w:tr>
      <w:tr w:rsidR="00634ABA" w:rsidRPr="00986F85" w14:paraId="130A918D" w14:textId="77777777" w:rsidTr="00476987">
        <w:trPr>
          <w:trHeight w:val="285"/>
        </w:trPr>
        <w:tc>
          <w:tcPr>
            <w:tcW w:w="406" w:type="dxa"/>
            <w:vMerge/>
            <w:tcBorders>
              <w:top w:val="nil"/>
              <w:left w:val="nil"/>
              <w:bottom w:val="nil"/>
              <w:right w:val="nil"/>
            </w:tcBorders>
            <w:vAlign w:val="center"/>
            <w:hideMark/>
          </w:tcPr>
          <w:p w14:paraId="5AF7E655" w14:textId="77777777" w:rsidR="00634ABA" w:rsidRPr="00986F85" w:rsidRDefault="00634ABA" w:rsidP="00476987">
            <w:pPr>
              <w:spacing w:after="0" w:line="240" w:lineRule="auto"/>
              <w:rPr>
                <w:rFonts w:eastAsia="Times New Roman"/>
                <w:color w:val="000000"/>
                <w:lang w:eastAsia="hu-HU"/>
              </w:rPr>
            </w:pPr>
          </w:p>
        </w:tc>
        <w:tc>
          <w:tcPr>
            <w:tcW w:w="4032" w:type="dxa"/>
            <w:tcBorders>
              <w:top w:val="nil"/>
              <w:left w:val="nil"/>
              <w:bottom w:val="nil"/>
              <w:right w:val="nil"/>
            </w:tcBorders>
            <w:shd w:val="clear" w:color="auto" w:fill="auto"/>
            <w:noWrap/>
            <w:vAlign w:val="bottom"/>
            <w:hideMark/>
          </w:tcPr>
          <w:p w14:paraId="734C1E92"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Nettó árbevétel (%)</w:t>
            </w:r>
          </w:p>
        </w:tc>
        <w:tc>
          <w:tcPr>
            <w:tcW w:w="965" w:type="dxa"/>
            <w:tcBorders>
              <w:top w:val="nil"/>
              <w:left w:val="nil"/>
              <w:bottom w:val="nil"/>
              <w:right w:val="nil"/>
            </w:tcBorders>
            <w:shd w:val="clear" w:color="auto" w:fill="auto"/>
            <w:noWrap/>
            <w:vAlign w:val="bottom"/>
            <w:hideMark/>
          </w:tcPr>
          <w:p w14:paraId="4A3DC31F"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-2.10</w:t>
            </w:r>
          </w:p>
        </w:tc>
        <w:tc>
          <w:tcPr>
            <w:tcW w:w="797" w:type="dxa"/>
            <w:tcBorders>
              <w:top w:val="nil"/>
              <w:left w:val="nil"/>
              <w:bottom w:val="nil"/>
              <w:right w:val="nil"/>
            </w:tcBorders>
            <w:shd w:val="clear" w:color="auto" w:fill="auto"/>
            <w:noWrap/>
            <w:vAlign w:val="bottom"/>
            <w:hideMark/>
          </w:tcPr>
          <w:p w14:paraId="3E734E4F"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-14.10</w:t>
            </w:r>
          </w:p>
        </w:tc>
        <w:tc>
          <w:tcPr>
            <w:tcW w:w="750" w:type="dxa"/>
            <w:tcBorders>
              <w:top w:val="nil"/>
              <w:left w:val="nil"/>
              <w:bottom w:val="nil"/>
              <w:right w:val="nil"/>
            </w:tcBorders>
            <w:shd w:val="clear" w:color="auto" w:fill="auto"/>
            <w:noWrap/>
            <w:vAlign w:val="bottom"/>
            <w:hideMark/>
          </w:tcPr>
          <w:p w14:paraId="68900291"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-16.70</w:t>
            </w:r>
          </w:p>
        </w:tc>
        <w:tc>
          <w:tcPr>
            <w:tcW w:w="797" w:type="dxa"/>
            <w:tcBorders>
              <w:top w:val="nil"/>
              <w:left w:val="nil"/>
              <w:bottom w:val="nil"/>
              <w:right w:val="nil"/>
            </w:tcBorders>
            <w:shd w:val="clear" w:color="auto" w:fill="auto"/>
            <w:noWrap/>
            <w:vAlign w:val="bottom"/>
            <w:hideMark/>
          </w:tcPr>
          <w:p w14:paraId="77BF54A8"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-21.10</w:t>
            </w:r>
          </w:p>
        </w:tc>
        <w:tc>
          <w:tcPr>
            <w:tcW w:w="1552" w:type="dxa"/>
            <w:tcBorders>
              <w:top w:val="nil"/>
              <w:left w:val="nil"/>
              <w:bottom w:val="nil"/>
              <w:right w:val="nil"/>
            </w:tcBorders>
            <w:shd w:val="clear" w:color="auto" w:fill="auto"/>
            <w:noWrap/>
            <w:vAlign w:val="bottom"/>
            <w:hideMark/>
          </w:tcPr>
          <w:p w14:paraId="021FA506"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-14.30</w:t>
            </w:r>
          </w:p>
        </w:tc>
      </w:tr>
      <w:tr w:rsidR="00634ABA" w:rsidRPr="00986F85" w14:paraId="1784680D" w14:textId="77777777" w:rsidTr="00476987">
        <w:trPr>
          <w:trHeight w:val="285"/>
        </w:trPr>
        <w:tc>
          <w:tcPr>
            <w:tcW w:w="406" w:type="dxa"/>
            <w:vMerge/>
            <w:tcBorders>
              <w:top w:val="nil"/>
              <w:left w:val="nil"/>
              <w:bottom w:val="nil"/>
              <w:right w:val="nil"/>
            </w:tcBorders>
            <w:vAlign w:val="center"/>
            <w:hideMark/>
          </w:tcPr>
          <w:p w14:paraId="177E94CF" w14:textId="77777777" w:rsidR="00634ABA" w:rsidRPr="00986F85" w:rsidRDefault="00634ABA" w:rsidP="00476987">
            <w:pPr>
              <w:spacing w:after="0" w:line="240" w:lineRule="auto"/>
              <w:rPr>
                <w:rFonts w:eastAsia="Times New Roman"/>
                <w:color w:val="000000"/>
                <w:lang w:eastAsia="hu-HU"/>
              </w:rPr>
            </w:pPr>
          </w:p>
        </w:tc>
        <w:tc>
          <w:tcPr>
            <w:tcW w:w="4032" w:type="dxa"/>
            <w:tcBorders>
              <w:top w:val="nil"/>
              <w:left w:val="nil"/>
              <w:bottom w:val="nil"/>
              <w:right w:val="nil"/>
            </w:tcBorders>
            <w:shd w:val="clear" w:color="auto" w:fill="auto"/>
            <w:noWrap/>
            <w:vAlign w:val="bottom"/>
            <w:hideMark/>
          </w:tcPr>
          <w:p w14:paraId="6E1F97B9"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Egy foglalkoztatottra eső árbevétel (%)</w:t>
            </w:r>
          </w:p>
        </w:tc>
        <w:tc>
          <w:tcPr>
            <w:tcW w:w="965" w:type="dxa"/>
            <w:tcBorders>
              <w:top w:val="nil"/>
              <w:left w:val="nil"/>
              <w:bottom w:val="nil"/>
              <w:right w:val="nil"/>
            </w:tcBorders>
            <w:shd w:val="clear" w:color="auto" w:fill="auto"/>
            <w:noWrap/>
            <w:vAlign w:val="bottom"/>
            <w:hideMark/>
          </w:tcPr>
          <w:p w14:paraId="4D0C7BD5"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17.3</w:t>
            </w:r>
          </w:p>
        </w:tc>
        <w:tc>
          <w:tcPr>
            <w:tcW w:w="797" w:type="dxa"/>
            <w:tcBorders>
              <w:top w:val="nil"/>
              <w:left w:val="nil"/>
              <w:bottom w:val="nil"/>
              <w:right w:val="nil"/>
            </w:tcBorders>
            <w:shd w:val="clear" w:color="auto" w:fill="auto"/>
            <w:noWrap/>
            <w:vAlign w:val="bottom"/>
            <w:hideMark/>
          </w:tcPr>
          <w:p w14:paraId="72F77C4F"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8</w:t>
            </w:r>
          </w:p>
        </w:tc>
        <w:tc>
          <w:tcPr>
            <w:tcW w:w="750" w:type="dxa"/>
            <w:tcBorders>
              <w:top w:val="nil"/>
              <w:left w:val="nil"/>
              <w:bottom w:val="nil"/>
              <w:right w:val="nil"/>
            </w:tcBorders>
            <w:shd w:val="clear" w:color="auto" w:fill="auto"/>
            <w:noWrap/>
            <w:vAlign w:val="bottom"/>
            <w:hideMark/>
          </w:tcPr>
          <w:p w14:paraId="1B68CC0D"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6.5</w:t>
            </w:r>
          </w:p>
        </w:tc>
        <w:tc>
          <w:tcPr>
            <w:tcW w:w="797" w:type="dxa"/>
            <w:tcBorders>
              <w:top w:val="nil"/>
              <w:left w:val="nil"/>
              <w:bottom w:val="nil"/>
              <w:right w:val="nil"/>
            </w:tcBorders>
            <w:shd w:val="clear" w:color="auto" w:fill="auto"/>
            <w:noWrap/>
            <w:vAlign w:val="bottom"/>
            <w:hideMark/>
          </w:tcPr>
          <w:p w14:paraId="1E68D130"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4.1</w:t>
            </w:r>
          </w:p>
        </w:tc>
        <w:tc>
          <w:tcPr>
            <w:tcW w:w="1552" w:type="dxa"/>
            <w:tcBorders>
              <w:top w:val="nil"/>
              <w:left w:val="nil"/>
              <w:bottom w:val="nil"/>
              <w:right w:val="nil"/>
            </w:tcBorders>
            <w:shd w:val="clear" w:color="auto" w:fill="auto"/>
            <w:noWrap/>
            <w:vAlign w:val="bottom"/>
            <w:hideMark/>
          </w:tcPr>
          <w:p w14:paraId="362DD656"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8.5</w:t>
            </w:r>
          </w:p>
        </w:tc>
      </w:tr>
      <w:tr w:rsidR="00634ABA" w:rsidRPr="00986F85" w14:paraId="282B4CD1" w14:textId="77777777" w:rsidTr="00476987">
        <w:trPr>
          <w:trHeight w:val="285"/>
        </w:trPr>
        <w:tc>
          <w:tcPr>
            <w:tcW w:w="406" w:type="dxa"/>
            <w:vMerge/>
            <w:tcBorders>
              <w:top w:val="nil"/>
              <w:left w:val="nil"/>
              <w:bottom w:val="nil"/>
              <w:right w:val="nil"/>
            </w:tcBorders>
            <w:vAlign w:val="center"/>
            <w:hideMark/>
          </w:tcPr>
          <w:p w14:paraId="4D988726" w14:textId="77777777" w:rsidR="00634ABA" w:rsidRPr="00986F85" w:rsidRDefault="00634ABA" w:rsidP="00476987">
            <w:pPr>
              <w:spacing w:after="0" w:line="240" w:lineRule="auto"/>
              <w:rPr>
                <w:rFonts w:eastAsia="Times New Roman"/>
                <w:color w:val="000000"/>
                <w:lang w:eastAsia="hu-HU"/>
              </w:rPr>
            </w:pPr>
          </w:p>
        </w:tc>
        <w:tc>
          <w:tcPr>
            <w:tcW w:w="4032" w:type="dxa"/>
            <w:tcBorders>
              <w:top w:val="nil"/>
              <w:left w:val="nil"/>
              <w:bottom w:val="nil"/>
              <w:right w:val="nil"/>
            </w:tcBorders>
            <w:shd w:val="clear" w:color="auto" w:fill="auto"/>
            <w:noWrap/>
            <w:vAlign w:val="bottom"/>
            <w:hideMark/>
          </w:tcPr>
          <w:p w14:paraId="6F85A122"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Tárgyi eszköz (%)</w:t>
            </w:r>
          </w:p>
        </w:tc>
        <w:tc>
          <w:tcPr>
            <w:tcW w:w="965" w:type="dxa"/>
            <w:tcBorders>
              <w:top w:val="nil"/>
              <w:left w:val="nil"/>
              <w:bottom w:val="nil"/>
              <w:right w:val="nil"/>
            </w:tcBorders>
            <w:shd w:val="clear" w:color="auto" w:fill="auto"/>
            <w:noWrap/>
            <w:vAlign w:val="bottom"/>
            <w:hideMark/>
          </w:tcPr>
          <w:p w14:paraId="74837781"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-12.8</w:t>
            </w:r>
          </w:p>
        </w:tc>
        <w:tc>
          <w:tcPr>
            <w:tcW w:w="797" w:type="dxa"/>
            <w:tcBorders>
              <w:top w:val="nil"/>
              <w:left w:val="nil"/>
              <w:bottom w:val="nil"/>
              <w:right w:val="nil"/>
            </w:tcBorders>
            <w:shd w:val="clear" w:color="auto" w:fill="auto"/>
            <w:noWrap/>
            <w:vAlign w:val="bottom"/>
            <w:hideMark/>
          </w:tcPr>
          <w:p w14:paraId="728C8E44"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-13.1</w:t>
            </w:r>
          </w:p>
        </w:tc>
        <w:tc>
          <w:tcPr>
            <w:tcW w:w="750" w:type="dxa"/>
            <w:tcBorders>
              <w:top w:val="nil"/>
              <w:left w:val="nil"/>
              <w:bottom w:val="nil"/>
              <w:right w:val="nil"/>
            </w:tcBorders>
            <w:shd w:val="clear" w:color="auto" w:fill="auto"/>
            <w:noWrap/>
            <w:vAlign w:val="bottom"/>
            <w:hideMark/>
          </w:tcPr>
          <w:p w14:paraId="153AB108"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-13.2</w:t>
            </w:r>
          </w:p>
        </w:tc>
        <w:tc>
          <w:tcPr>
            <w:tcW w:w="797" w:type="dxa"/>
            <w:tcBorders>
              <w:top w:val="nil"/>
              <w:left w:val="nil"/>
              <w:bottom w:val="nil"/>
              <w:right w:val="nil"/>
            </w:tcBorders>
            <w:shd w:val="clear" w:color="auto" w:fill="auto"/>
            <w:noWrap/>
            <w:vAlign w:val="bottom"/>
            <w:hideMark/>
          </w:tcPr>
          <w:p w14:paraId="07A629CC"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-14</w:t>
            </w:r>
          </w:p>
        </w:tc>
        <w:tc>
          <w:tcPr>
            <w:tcW w:w="1552" w:type="dxa"/>
            <w:tcBorders>
              <w:top w:val="nil"/>
              <w:left w:val="nil"/>
              <w:bottom w:val="nil"/>
              <w:right w:val="nil"/>
            </w:tcBorders>
            <w:shd w:val="clear" w:color="auto" w:fill="auto"/>
            <w:noWrap/>
            <w:vAlign w:val="bottom"/>
            <w:hideMark/>
          </w:tcPr>
          <w:p w14:paraId="0C9E18D5"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-13.4</w:t>
            </w:r>
          </w:p>
        </w:tc>
      </w:tr>
      <w:tr w:rsidR="00634ABA" w:rsidRPr="00986F85" w14:paraId="3917E33F" w14:textId="77777777" w:rsidTr="00476987">
        <w:trPr>
          <w:trHeight w:val="285"/>
        </w:trPr>
        <w:tc>
          <w:tcPr>
            <w:tcW w:w="406" w:type="dxa"/>
            <w:vMerge/>
            <w:tcBorders>
              <w:top w:val="nil"/>
              <w:left w:val="nil"/>
              <w:bottom w:val="nil"/>
              <w:right w:val="nil"/>
            </w:tcBorders>
            <w:vAlign w:val="center"/>
            <w:hideMark/>
          </w:tcPr>
          <w:p w14:paraId="202EB290" w14:textId="77777777" w:rsidR="00634ABA" w:rsidRPr="00986F85" w:rsidRDefault="00634ABA" w:rsidP="00476987">
            <w:pPr>
              <w:spacing w:after="0" w:line="240" w:lineRule="auto"/>
              <w:rPr>
                <w:rFonts w:eastAsia="Times New Roman"/>
                <w:color w:val="000000"/>
                <w:lang w:eastAsia="hu-HU"/>
              </w:rPr>
            </w:pPr>
          </w:p>
        </w:tc>
        <w:tc>
          <w:tcPr>
            <w:tcW w:w="4032" w:type="dxa"/>
            <w:tcBorders>
              <w:top w:val="nil"/>
              <w:left w:val="nil"/>
              <w:bottom w:val="nil"/>
              <w:right w:val="nil"/>
            </w:tcBorders>
            <w:shd w:val="clear" w:color="auto" w:fill="auto"/>
            <w:noWrap/>
            <w:vAlign w:val="bottom"/>
            <w:hideMark/>
          </w:tcPr>
          <w:p w14:paraId="3A85007A"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Tőkeintenzitás (%)</w:t>
            </w:r>
          </w:p>
        </w:tc>
        <w:tc>
          <w:tcPr>
            <w:tcW w:w="965" w:type="dxa"/>
            <w:tcBorders>
              <w:top w:val="nil"/>
              <w:left w:val="nil"/>
              <w:bottom w:val="nil"/>
              <w:right w:val="nil"/>
            </w:tcBorders>
            <w:shd w:val="clear" w:color="auto" w:fill="auto"/>
            <w:noWrap/>
            <w:vAlign w:val="bottom"/>
            <w:hideMark/>
          </w:tcPr>
          <w:p w14:paraId="1B700AB6"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11</w:t>
            </w:r>
          </w:p>
        </w:tc>
        <w:tc>
          <w:tcPr>
            <w:tcW w:w="797" w:type="dxa"/>
            <w:tcBorders>
              <w:top w:val="nil"/>
              <w:left w:val="nil"/>
              <w:bottom w:val="nil"/>
              <w:right w:val="nil"/>
            </w:tcBorders>
            <w:shd w:val="clear" w:color="auto" w:fill="auto"/>
            <w:noWrap/>
            <w:vAlign w:val="bottom"/>
            <w:hideMark/>
          </w:tcPr>
          <w:p w14:paraId="3457990C"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9.1</w:t>
            </w:r>
          </w:p>
        </w:tc>
        <w:tc>
          <w:tcPr>
            <w:tcW w:w="750" w:type="dxa"/>
            <w:tcBorders>
              <w:top w:val="nil"/>
              <w:left w:val="nil"/>
              <w:bottom w:val="nil"/>
              <w:right w:val="nil"/>
            </w:tcBorders>
            <w:shd w:val="clear" w:color="auto" w:fill="auto"/>
            <w:noWrap/>
            <w:vAlign w:val="bottom"/>
            <w:hideMark/>
          </w:tcPr>
          <w:p w14:paraId="1F972C4A"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11.3</w:t>
            </w:r>
          </w:p>
        </w:tc>
        <w:tc>
          <w:tcPr>
            <w:tcW w:w="797" w:type="dxa"/>
            <w:tcBorders>
              <w:top w:val="nil"/>
              <w:left w:val="nil"/>
              <w:bottom w:val="nil"/>
              <w:right w:val="nil"/>
            </w:tcBorders>
            <w:shd w:val="clear" w:color="auto" w:fill="auto"/>
            <w:noWrap/>
            <w:vAlign w:val="bottom"/>
            <w:hideMark/>
          </w:tcPr>
          <w:p w14:paraId="058ADEF0"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13.7</w:t>
            </w:r>
          </w:p>
        </w:tc>
        <w:tc>
          <w:tcPr>
            <w:tcW w:w="1552" w:type="dxa"/>
            <w:tcBorders>
              <w:top w:val="nil"/>
              <w:left w:val="nil"/>
              <w:bottom w:val="nil"/>
              <w:right w:val="nil"/>
            </w:tcBorders>
            <w:shd w:val="clear" w:color="auto" w:fill="auto"/>
            <w:noWrap/>
            <w:vAlign w:val="bottom"/>
            <w:hideMark/>
          </w:tcPr>
          <w:p w14:paraId="3B975EAD"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11</w:t>
            </w:r>
          </w:p>
        </w:tc>
      </w:tr>
      <w:tr w:rsidR="00634ABA" w:rsidRPr="00986F85" w14:paraId="21420496" w14:textId="77777777" w:rsidTr="00476987">
        <w:trPr>
          <w:trHeight w:val="285"/>
        </w:trPr>
        <w:tc>
          <w:tcPr>
            <w:tcW w:w="406" w:type="dxa"/>
            <w:vMerge/>
            <w:tcBorders>
              <w:top w:val="nil"/>
              <w:left w:val="nil"/>
              <w:bottom w:val="nil"/>
              <w:right w:val="nil"/>
            </w:tcBorders>
            <w:vAlign w:val="center"/>
            <w:hideMark/>
          </w:tcPr>
          <w:p w14:paraId="6475BDE7" w14:textId="77777777" w:rsidR="00634ABA" w:rsidRPr="00986F85" w:rsidRDefault="00634ABA" w:rsidP="00476987">
            <w:pPr>
              <w:spacing w:after="0" w:line="240" w:lineRule="auto"/>
              <w:rPr>
                <w:rFonts w:eastAsia="Times New Roman"/>
                <w:color w:val="000000"/>
                <w:lang w:eastAsia="hu-HU"/>
              </w:rPr>
            </w:pPr>
          </w:p>
        </w:tc>
        <w:tc>
          <w:tcPr>
            <w:tcW w:w="4032" w:type="dxa"/>
            <w:tcBorders>
              <w:top w:val="nil"/>
              <w:left w:val="nil"/>
              <w:bottom w:val="nil"/>
              <w:right w:val="nil"/>
            </w:tcBorders>
            <w:shd w:val="clear" w:color="auto" w:fill="auto"/>
            <w:noWrap/>
            <w:vAlign w:val="bottom"/>
            <w:hideMark/>
          </w:tcPr>
          <w:p w14:paraId="140334D7"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Jegyzett tőke</w:t>
            </w:r>
          </w:p>
        </w:tc>
        <w:tc>
          <w:tcPr>
            <w:tcW w:w="965" w:type="dxa"/>
            <w:tcBorders>
              <w:top w:val="nil"/>
              <w:left w:val="nil"/>
              <w:bottom w:val="nil"/>
              <w:right w:val="nil"/>
            </w:tcBorders>
            <w:shd w:val="clear" w:color="auto" w:fill="auto"/>
            <w:noWrap/>
            <w:vAlign w:val="bottom"/>
            <w:hideMark/>
          </w:tcPr>
          <w:p w14:paraId="5A0EE17D"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0</w:t>
            </w:r>
          </w:p>
        </w:tc>
        <w:tc>
          <w:tcPr>
            <w:tcW w:w="797" w:type="dxa"/>
            <w:tcBorders>
              <w:top w:val="nil"/>
              <w:left w:val="nil"/>
              <w:bottom w:val="nil"/>
              <w:right w:val="nil"/>
            </w:tcBorders>
            <w:shd w:val="clear" w:color="auto" w:fill="auto"/>
            <w:noWrap/>
            <w:vAlign w:val="bottom"/>
            <w:hideMark/>
          </w:tcPr>
          <w:p w14:paraId="07ED59E5"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0</w:t>
            </w:r>
          </w:p>
        </w:tc>
        <w:tc>
          <w:tcPr>
            <w:tcW w:w="750" w:type="dxa"/>
            <w:tcBorders>
              <w:top w:val="nil"/>
              <w:left w:val="nil"/>
              <w:bottom w:val="nil"/>
              <w:right w:val="nil"/>
            </w:tcBorders>
            <w:shd w:val="clear" w:color="auto" w:fill="auto"/>
            <w:noWrap/>
            <w:vAlign w:val="bottom"/>
            <w:hideMark/>
          </w:tcPr>
          <w:p w14:paraId="379E65BB"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0</w:t>
            </w:r>
          </w:p>
        </w:tc>
        <w:tc>
          <w:tcPr>
            <w:tcW w:w="797" w:type="dxa"/>
            <w:tcBorders>
              <w:top w:val="nil"/>
              <w:left w:val="nil"/>
              <w:bottom w:val="nil"/>
              <w:right w:val="nil"/>
            </w:tcBorders>
            <w:shd w:val="clear" w:color="auto" w:fill="auto"/>
            <w:noWrap/>
            <w:vAlign w:val="bottom"/>
            <w:hideMark/>
          </w:tcPr>
          <w:p w14:paraId="52B191F8"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0</w:t>
            </w:r>
          </w:p>
        </w:tc>
        <w:tc>
          <w:tcPr>
            <w:tcW w:w="1552" w:type="dxa"/>
            <w:tcBorders>
              <w:top w:val="nil"/>
              <w:left w:val="nil"/>
              <w:bottom w:val="nil"/>
              <w:right w:val="nil"/>
            </w:tcBorders>
            <w:shd w:val="clear" w:color="auto" w:fill="auto"/>
            <w:noWrap/>
            <w:vAlign w:val="bottom"/>
            <w:hideMark/>
          </w:tcPr>
          <w:p w14:paraId="0139CB89"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0</w:t>
            </w:r>
          </w:p>
        </w:tc>
      </w:tr>
      <w:tr w:rsidR="00634ABA" w:rsidRPr="00986F85" w14:paraId="0033CA38" w14:textId="77777777" w:rsidTr="00476987">
        <w:trPr>
          <w:trHeight w:val="285"/>
        </w:trPr>
        <w:tc>
          <w:tcPr>
            <w:tcW w:w="406" w:type="dxa"/>
            <w:vMerge/>
            <w:tcBorders>
              <w:top w:val="nil"/>
              <w:left w:val="nil"/>
              <w:bottom w:val="nil"/>
              <w:right w:val="nil"/>
            </w:tcBorders>
            <w:vAlign w:val="center"/>
            <w:hideMark/>
          </w:tcPr>
          <w:p w14:paraId="7CB6C2B6" w14:textId="77777777" w:rsidR="00634ABA" w:rsidRPr="00986F85" w:rsidRDefault="00634ABA" w:rsidP="00476987">
            <w:pPr>
              <w:spacing w:after="0" w:line="240" w:lineRule="auto"/>
              <w:rPr>
                <w:rFonts w:eastAsia="Times New Roman"/>
                <w:color w:val="000000"/>
                <w:lang w:eastAsia="hu-HU"/>
              </w:rPr>
            </w:pPr>
          </w:p>
        </w:tc>
        <w:tc>
          <w:tcPr>
            <w:tcW w:w="4032" w:type="dxa"/>
            <w:tcBorders>
              <w:top w:val="nil"/>
              <w:left w:val="nil"/>
              <w:bottom w:val="nil"/>
              <w:right w:val="nil"/>
            </w:tcBorders>
            <w:shd w:val="clear" w:color="auto" w:fill="auto"/>
            <w:noWrap/>
            <w:vAlign w:val="bottom"/>
            <w:hideMark/>
          </w:tcPr>
          <w:p w14:paraId="0A58ABC1"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Egy foglalkoztatottra eső jegyzett tőke (%)</w:t>
            </w:r>
          </w:p>
        </w:tc>
        <w:tc>
          <w:tcPr>
            <w:tcW w:w="965" w:type="dxa"/>
            <w:tcBorders>
              <w:top w:val="nil"/>
              <w:left w:val="nil"/>
              <w:bottom w:val="nil"/>
              <w:right w:val="nil"/>
            </w:tcBorders>
            <w:shd w:val="clear" w:color="auto" w:fill="auto"/>
            <w:noWrap/>
            <w:vAlign w:val="bottom"/>
            <w:hideMark/>
          </w:tcPr>
          <w:p w14:paraId="06C1CF14"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20</w:t>
            </w:r>
          </w:p>
        </w:tc>
        <w:tc>
          <w:tcPr>
            <w:tcW w:w="797" w:type="dxa"/>
            <w:tcBorders>
              <w:top w:val="nil"/>
              <w:left w:val="nil"/>
              <w:bottom w:val="nil"/>
              <w:right w:val="nil"/>
            </w:tcBorders>
            <w:shd w:val="clear" w:color="auto" w:fill="auto"/>
            <w:noWrap/>
            <w:vAlign w:val="bottom"/>
            <w:hideMark/>
          </w:tcPr>
          <w:p w14:paraId="5431DC13"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23.5</w:t>
            </w:r>
          </w:p>
        </w:tc>
        <w:tc>
          <w:tcPr>
            <w:tcW w:w="750" w:type="dxa"/>
            <w:tcBorders>
              <w:top w:val="nil"/>
              <w:left w:val="nil"/>
              <w:bottom w:val="nil"/>
              <w:right w:val="nil"/>
            </w:tcBorders>
            <w:shd w:val="clear" w:color="auto" w:fill="auto"/>
            <w:noWrap/>
            <w:vAlign w:val="bottom"/>
            <w:hideMark/>
          </w:tcPr>
          <w:p w14:paraId="17D4AC62"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25</w:t>
            </w:r>
          </w:p>
        </w:tc>
        <w:tc>
          <w:tcPr>
            <w:tcW w:w="797" w:type="dxa"/>
            <w:tcBorders>
              <w:top w:val="nil"/>
              <w:left w:val="nil"/>
              <w:bottom w:val="nil"/>
              <w:right w:val="nil"/>
            </w:tcBorders>
            <w:shd w:val="clear" w:color="auto" w:fill="auto"/>
            <w:noWrap/>
            <w:vAlign w:val="bottom"/>
            <w:hideMark/>
          </w:tcPr>
          <w:p w14:paraId="54E5D928"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27.3</w:t>
            </w:r>
          </w:p>
        </w:tc>
        <w:tc>
          <w:tcPr>
            <w:tcW w:w="1552" w:type="dxa"/>
            <w:tcBorders>
              <w:top w:val="nil"/>
              <w:left w:val="nil"/>
              <w:bottom w:val="nil"/>
              <w:right w:val="nil"/>
            </w:tcBorders>
            <w:shd w:val="clear" w:color="auto" w:fill="auto"/>
            <w:noWrap/>
            <w:vAlign w:val="bottom"/>
            <w:hideMark/>
          </w:tcPr>
          <w:p w14:paraId="10C8BE28"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24.1</w:t>
            </w:r>
          </w:p>
        </w:tc>
      </w:tr>
      <w:tr w:rsidR="00634ABA" w:rsidRPr="00986F85" w14:paraId="55657C97" w14:textId="77777777" w:rsidTr="00476987">
        <w:trPr>
          <w:trHeight w:val="285"/>
        </w:trPr>
        <w:tc>
          <w:tcPr>
            <w:tcW w:w="406" w:type="dxa"/>
            <w:vMerge/>
            <w:tcBorders>
              <w:top w:val="nil"/>
              <w:left w:val="nil"/>
              <w:bottom w:val="nil"/>
              <w:right w:val="nil"/>
            </w:tcBorders>
            <w:vAlign w:val="center"/>
            <w:hideMark/>
          </w:tcPr>
          <w:p w14:paraId="5DE176F9" w14:textId="77777777" w:rsidR="00634ABA" w:rsidRPr="00986F85" w:rsidRDefault="00634ABA" w:rsidP="00476987">
            <w:pPr>
              <w:spacing w:after="0" w:line="240" w:lineRule="auto"/>
              <w:rPr>
                <w:rFonts w:eastAsia="Times New Roman"/>
                <w:color w:val="000000"/>
                <w:lang w:eastAsia="hu-HU"/>
              </w:rPr>
            </w:pPr>
          </w:p>
        </w:tc>
        <w:tc>
          <w:tcPr>
            <w:tcW w:w="4032" w:type="dxa"/>
            <w:tcBorders>
              <w:top w:val="nil"/>
              <w:left w:val="nil"/>
              <w:bottom w:val="nil"/>
              <w:right w:val="nil"/>
            </w:tcBorders>
            <w:shd w:val="clear" w:color="auto" w:fill="auto"/>
            <w:noWrap/>
            <w:vAlign w:val="bottom"/>
            <w:hideMark/>
          </w:tcPr>
          <w:p w14:paraId="2D9E03E1"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Likviditás</w:t>
            </w:r>
          </w:p>
        </w:tc>
        <w:tc>
          <w:tcPr>
            <w:tcW w:w="965" w:type="dxa"/>
            <w:tcBorders>
              <w:top w:val="nil"/>
              <w:left w:val="nil"/>
              <w:bottom w:val="nil"/>
              <w:right w:val="nil"/>
            </w:tcBorders>
            <w:shd w:val="clear" w:color="auto" w:fill="auto"/>
            <w:noWrap/>
            <w:vAlign w:val="bottom"/>
            <w:hideMark/>
          </w:tcPr>
          <w:p w14:paraId="2207934D"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8.2</w:t>
            </w:r>
          </w:p>
        </w:tc>
        <w:tc>
          <w:tcPr>
            <w:tcW w:w="797" w:type="dxa"/>
            <w:tcBorders>
              <w:top w:val="nil"/>
              <w:left w:val="nil"/>
              <w:bottom w:val="nil"/>
              <w:right w:val="nil"/>
            </w:tcBorders>
            <w:shd w:val="clear" w:color="auto" w:fill="auto"/>
            <w:noWrap/>
            <w:vAlign w:val="bottom"/>
            <w:hideMark/>
          </w:tcPr>
          <w:p w14:paraId="17AAAC2B"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9.2</w:t>
            </w:r>
          </w:p>
        </w:tc>
        <w:tc>
          <w:tcPr>
            <w:tcW w:w="750" w:type="dxa"/>
            <w:tcBorders>
              <w:top w:val="nil"/>
              <w:left w:val="nil"/>
              <w:bottom w:val="nil"/>
              <w:right w:val="nil"/>
            </w:tcBorders>
            <w:shd w:val="clear" w:color="auto" w:fill="auto"/>
            <w:noWrap/>
            <w:vAlign w:val="bottom"/>
            <w:hideMark/>
          </w:tcPr>
          <w:p w14:paraId="099BB422"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9</w:t>
            </w:r>
          </w:p>
        </w:tc>
        <w:tc>
          <w:tcPr>
            <w:tcW w:w="797" w:type="dxa"/>
            <w:tcBorders>
              <w:top w:val="nil"/>
              <w:left w:val="nil"/>
              <w:bottom w:val="nil"/>
              <w:right w:val="nil"/>
            </w:tcBorders>
            <w:shd w:val="clear" w:color="auto" w:fill="auto"/>
            <w:noWrap/>
            <w:vAlign w:val="bottom"/>
            <w:hideMark/>
          </w:tcPr>
          <w:p w14:paraId="355A2CE8"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8.2</w:t>
            </w:r>
          </w:p>
        </w:tc>
        <w:tc>
          <w:tcPr>
            <w:tcW w:w="1552" w:type="dxa"/>
            <w:tcBorders>
              <w:top w:val="nil"/>
              <w:left w:val="nil"/>
              <w:bottom w:val="nil"/>
              <w:right w:val="nil"/>
            </w:tcBorders>
            <w:shd w:val="clear" w:color="auto" w:fill="auto"/>
            <w:noWrap/>
            <w:vAlign w:val="bottom"/>
            <w:hideMark/>
          </w:tcPr>
          <w:p w14:paraId="5F798EBB"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8.7</w:t>
            </w:r>
          </w:p>
        </w:tc>
      </w:tr>
      <w:tr w:rsidR="00634ABA" w:rsidRPr="00986F85" w14:paraId="5314958D" w14:textId="77777777" w:rsidTr="00476987">
        <w:trPr>
          <w:trHeight w:val="285"/>
        </w:trPr>
        <w:tc>
          <w:tcPr>
            <w:tcW w:w="406" w:type="dxa"/>
            <w:vMerge/>
            <w:tcBorders>
              <w:top w:val="nil"/>
              <w:left w:val="nil"/>
              <w:bottom w:val="nil"/>
              <w:right w:val="nil"/>
            </w:tcBorders>
            <w:vAlign w:val="center"/>
            <w:hideMark/>
          </w:tcPr>
          <w:p w14:paraId="316992D6" w14:textId="77777777" w:rsidR="00634ABA" w:rsidRPr="00986F85" w:rsidRDefault="00634ABA" w:rsidP="00476987">
            <w:pPr>
              <w:spacing w:after="0" w:line="240" w:lineRule="auto"/>
              <w:rPr>
                <w:rFonts w:eastAsia="Times New Roman"/>
                <w:color w:val="000000"/>
                <w:lang w:eastAsia="hu-HU"/>
              </w:rPr>
            </w:pPr>
          </w:p>
        </w:tc>
        <w:tc>
          <w:tcPr>
            <w:tcW w:w="4032" w:type="dxa"/>
            <w:tcBorders>
              <w:top w:val="nil"/>
              <w:left w:val="nil"/>
              <w:bottom w:val="nil"/>
              <w:right w:val="nil"/>
            </w:tcBorders>
            <w:shd w:val="clear" w:color="auto" w:fill="auto"/>
            <w:noWrap/>
            <w:vAlign w:val="bottom"/>
            <w:hideMark/>
          </w:tcPr>
          <w:p w14:paraId="3A32D763"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Üzemi eredmény</w:t>
            </w:r>
          </w:p>
        </w:tc>
        <w:tc>
          <w:tcPr>
            <w:tcW w:w="965" w:type="dxa"/>
            <w:tcBorders>
              <w:top w:val="nil"/>
              <w:left w:val="nil"/>
              <w:bottom w:val="nil"/>
              <w:right w:val="nil"/>
            </w:tcBorders>
            <w:shd w:val="clear" w:color="auto" w:fill="auto"/>
            <w:noWrap/>
            <w:vAlign w:val="bottom"/>
            <w:hideMark/>
          </w:tcPr>
          <w:p w14:paraId="4B7DBAEB"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-161</w:t>
            </w:r>
          </w:p>
        </w:tc>
        <w:tc>
          <w:tcPr>
            <w:tcW w:w="797" w:type="dxa"/>
            <w:tcBorders>
              <w:top w:val="nil"/>
              <w:left w:val="nil"/>
              <w:bottom w:val="nil"/>
              <w:right w:val="nil"/>
            </w:tcBorders>
            <w:shd w:val="clear" w:color="auto" w:fill="auto"/>
            <w:noWrap/>
            <w:vAlign w:val="bottom"/>
            <w:hideMark/>
          </w:tcPr>
          <w:p w14:paraId="3178ADED"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-759</w:t>
            </w:r>
          </w:p>
        </w:tc>
        <w:tc>
          <w:tcPr>
            <w:tcW w:w="750" w:type="dxa"/>
            <w:tcBorders>
              <w:top w:val="nil"/>
              <w:left w:val="nil"/>
              <w:bottom w:val="nil"/>
              <w:right w:val="nil"/>
            </w:tcBorders>
            <w:shd w:val="clear" w:color="auto" w:fill="auto"/>
            <w:noWrap/>
            <w:vAlign w:val="bottom"/>
            <w:hideMark/>
          </w:tcPr>
          <w:p w14:paraId="7DB52DCB"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-1069</w:t>
            </w:r>
          </w:p>
        </w:tc>
        <w:tc>
          <w:tcPr>
            <w:tcW w:w="797" w:type="dxa"/>
            <w:tcBorders>
              <w:top w:val="nil"/>
              <w:left w:val="nil"/>
              <w:bottom w:val="nil"/>
              <w:right w:val="nil"/>
            </w:tcBorders>
            <w:shd w:val="clear" w:color="auto" w:fill="auto"/>
            <w:noWrap/>
            <w:vAlign w:val="bottom"/>
            <w:hideMark/>
          </w:tcPr>
          <w:p w14:paraId="2AAAB6A4"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-1061</w:t>
            </w:r>
          </w:p>
        </w:tc>
        <w:tc>
          <w:tcPr>
            <w:tcW w:w="1552" w:type="dxa"/>
            <w:tcBorders>
              <w:top w:val="nil"/>
              <w:left w:val="nil"/>
              <w:bottom w:val="nil"/>
              <w:right w:val="nil"/>
            </w:tcBorders>
            <w:shd w:val="clear" w:color="auto" w:fill="auto"/>
            <w:noWrap/>
            <w:vAlign w:val="bottom"/>
            <w:hideMark/>
          </w:tcPr>
          <w:p w14:paraId="722D68A6"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-722</w:t>
            </w:r>
          </w:p>
        </w:tc>
      </w:tr>
      <w:tr w:rsidR="00634ABA" w:rsidRPr="00986F85" w14:paraId="71BE6CEB" w14:textId="77777777" w:rsidTr="00476987">
        <w:trPr>
          <w:trHeight w:val="285"/>
        </w:trPr>
        <w:tc>
          <w:tcPr>
            <w:tcW w:w="406" w:type="dxa"/>
            <w:vMerge/>
            <w:tcBorders>
              <w:top w:val="nil"/>
              <w:left w:val="nil"/>
              <w:bottom w:val="nil"/>
              <w:right w:val="nil"/>
            </w:tcBorders>
            <w:vAlign w:val="center"/>
            <w:hideMark/>
          </w:tcPr>
          <w:p w14:paraId="57BA15C4" w14:textId="77777777" w:rsidR="00634ABA" w:rsidRPr="00986F85" w:rsidRDefault="00634ABA" w:rsidP="00476987">
            <w:pPr>
              <w:spacing w:after="0" w:line="240" w:lineRule="auto"/>
              <w:rPr>
                <w:rFonts w:eastAsia="Times New Roman"/>
                <w:color w:val="000000"/>
                <w:lang w:eastAsia="hu-HU"/>
              </w:rPr>
            </w:pPr>
          </w:p>
        </w:tc>
        <w:tc>
          <w:tcPr>
            <w:tcW w:w="4032" w:type="dxa"/>
            <w:tcBorders>
              <w:top w:val="nil"/>
              <w:left w:val="nil"/>
              <w:bottom w:val="nil"/>
              <w:right w:val="nil"/>
            </w:tcBorders>
            <w:shd w:val="clear" w:color="auto" w:fill="auto"/>
            <w:noWrap/>
            <w:vAlign w:val="bottom"/>
            <w:hideMark/>
          </w:tcPr>
          <w:p w14:paraId="18E1EE5A"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Egy foglalkoztatottra eső üzemi eredmény</w:t>
            </w:r>
          </w:p>
        </w:tc>
        <w:tc>
          <w:tcPr>
            <w:tcW w:w="965" w:type="dxa"/>
            <w:tcBorders>
              <w:top w:val="nil"/>
              <w:left w:val="nil"/>
              <w:bottom w:val="nil"/>
              <w:right w:val="nil"/>
            </w:tcBorders>
            <w:shd w:val="clear" w:color="auto" w:fill="auto"/>
            <w:noWrap/>
            <w:vAlign w:val="bottom"/>
            <w:hideMark/>
          </w:tcPr>
          <w:p w14:paraId="2E81A69F"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-14.7</w:t>
            </w:r>
          </w:p>
        </w:tc>
        <w:tc>
          <w:tcPr>
            <w:tcW w:w="797" w:type="dxa"/>
            <w:tcBorders>
              <w:top w:val="nil"/>
              <w:left w:val="nil"/>
              <w:bottom w:val="nil"/>
              <w:right w:val="nil"/>
            </w:tcBorders>
            <w:shd w:val="clear" w:color="auto" w:fill="auto"/>
            <w:noWrap/>
            <w:vAlign w:val="bottom"/>
            <w:hideMark/>
          </w:tcPr>
          <w:p w14:paraId="3EE1F6E1"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-62.8</w:t>
            </w:r>
          </w:p>
        </w:tc>
        <w:tc>
          <w:tcPr>
            <w:tcW w:w="750" w:type="dxa"/>
            <w:tcBorders>
              <w:top w:val="nil"/>
              <w:left w:val="nil"/>
              <w:bottom w:val="nil"/>
              <w:right w:val="nil"/>
            </w:tcBorders>
            <w:shd w:val="clear" w:color="auto" w:fill="auto"/>
            <w:noWrap/>
            <w:vAlign w:val="bottom"/>
            <w:hideMark/>
          </w:tcPr>
          <w:p w14:paraId="7DC8FCC3"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-83.6</w:t>
            </w:r>
          </w:p>
        </w:tc>
        <w:tc>
          <w:tcPr>
            <w:tcW w:w="797" w:type="dxa"/>
            <w:tcBorders>
              <w:top w:val="nil"/>
              <w:left w:val="nil"/>
              <w:bottom w:val="nil"/>
              <w:right w:val="nil"/>
            </w:tcBorders>
            <w:shd w:val="clear" w:color="auto" w:fill="auto"/>
            <w:noWrap/>
            <w:vAlign w:val="bottom"/>
            <w:hideMark/>
          </w:tcPr>
          <w:p w14:paraId="2295BBAE"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-89.1</w:t>
            </w:r>
          </w:p>
        </w:tc>
        <w:tc>
          <w:tcPr>
            <w:tcW w:w="1552" w:type="dxa"/>
            <w:tcBorders>
              <w:top w:val="nil"/>
              <w:left w:val="nil"/>
              <w:bottom w:val="nil"/>
              <w:right w:val="nil"/>
            </w:tcBorders>
            <w:shd w:val="clear" w:color="auto" w:fill="auto"/>
            <w:noWrap/>
            <w:vAlign w:val="bottom"/>
            <w:hideMark/>
          </w:tcPr>
          <w:p w14:paraId="654DB8FB"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-62</w:t>
            </w:r>
          </w:p>
        </w:tc>
      </w:tr>
      <w:tr w:rsidR="00634ABA" w:rsidRPr="00986F85" w14:paraId="305C70B0" w14:textId="77777777" w:rsidTr="00476987">
        <w:trPr>
          <w:trHeight w:val="285"/>
        </w:trPr>
        <w:tc>
          <w:tcPr>
            <w:tcW w:w="406" w:type="dxa"/>
            <w:vMerge/>
            <w:tcBorders>
              <w:top w:val="nil"/>
              <w:left w:val="nil"/>
              <w:bottom w:val="nil"/>
              <w:right w:val="nil"/>
            </w:tcBorders>
            <w:vAlign w:val="center"/>
            <w:hideMark/>
          </w:tcPr>
          <w:p w14:paraId="31655740" w14:textId="77777777" w:rsidR="00634ABA" w:rsidRPr="00986F85" w:rsidRDefault="00634ABA" w:rsidP="00476987">
            <w:pPr>
              <w:spacing w:after="0" w:line="240" w:lineRule="auto"/>
              <w:rPr>
                <w:rFonts w:eastAsia="Times New Roman"/>
                <w:color w:val="000000"/>
                <w:lang w:eastAsia="hu-HU"/>
              </w:rPr>
            </w:pPr>
          </w:p>
        </w:tc>
        <w:tc>
          <w:tcPr>
            <w:tcW w:w="4032" w:type="dxa"/>
            <w:tcBorders>
              <w:top w:val="nil"/>
              <w:left w:val="nil"/>
              <w:bottom w:val="nil"/>
              <w:right w:val="nil"/>
            </w:tcBorders>
            <w:shd w:val="clear" w:color="auto" w:fill="auto"/>
            <w:noWrap/>
            <w:vAlign w:val="bottom"/>
            <w:hideMark/>
          </w:tcPr>
          <w:p w14:paraId="17D11109"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Hozzáadott érték</w:t>
            </w:r>
          </w:p>
        </w:tc>
        <w:tc>
          <w:tcPr>
            <w:tcW w:w="965" w:type="dxa"/>
            <w:tcBorders>
              <w:top w:val="nil"/>
              <w:left w:val="nil"/>
              <w:bottom w:val="nil"/>
              <w:right w:val="nil"/>
            </w:tcBorders>
            <w:shd w:val="clear" w:color="auto" w:fill="auto"/>
            <w:noWrap/>
            <w:vAlign w:val="bottom"/>
            <w:hideMark/>
          </w:tcPr>
          <w:p w14:paraId="4A87577E"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-624.5</w:t>
            </w:r>
          </w:p>
        </w:tc>
        <w:tc>
          <w:tcPr>
            <w:tcW w:w="797" w:type="dxa"/>
            <w:tcBorders>
              <w:top w:val="nil"/>
              <w:left w:val="nil"/>
              <w:bottom w:val="nil"/>
              <w:right w:val="nil"/>
            </w:tcBorders>
            <w:shd w:val="clear" w:color="auto" w:fill="auto"/>
            <w:noWrap/>
            <w:vAlign w:val="bottom"/>
            <w:hideMark/>
          </w:tcPr>
          <w:p w14:paraId="453452B7"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-3095</w:t>
            </w:r>
          </w:p>
        </w:tc>
        <w:tc>
          <w:tcPr>
            <w:tcW w:w="750" w:type="dxa"/>
            <w:tcBorders>
              <w:top w:val="nil"/>
              <w:left w:val="nil"/>
              <w:bottom w:val="nil"/>
              <w:right w:val="nil"/>
            </w:tcBorders>
            <w:shd w:val="clear" w:color="auto" w:fill="auto"/>
            <w:noWrap/>
            <w:vAlign w:val="bottom"/>
            <w:hideMark/>
          </w:tcPr>
          <w:p w14:paraId="03561D70"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-4163</w:t>
            </w:r>
          </w:p>
        </w:tc>
        <w:tc>
          <w:tcPr>
            <w:tcW w:w="797" w:type="dxa"/>
            <w:tcBorders>
              <w:top w:val="nil"/>
              <w:left w:val="nil"/>
              <w:bottom w:val="nil"/>
              <w:right w:val="nil"/>
            </w:tcBorders>
            <w:shd w:val="clear" w:color="auto" w:fill="auto"/>
            <w:noWrap/>
            <w:vAlign w:val="bottom"/>
            <w:hideMark/>
          </w:tcPr>
          <w:p w14:paraId="19B3F4D5"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-5790</w:t>
            </w:r>
          </w:p>
        </w:tc>
        <w:tc>
          <w:tcPr>
            <w:tcW w:w="1552" w:type="dxa"/>
            <w:tcBorders>
              <w:top w:val="nil"/>
              <w:left w:val="nil"/>
              <w:bottom w:val="nil"/>
              <w:right w:val="nil"/>
            </w:tcBorders>
            <w:shd w:val="clear" w:color="auto" w:fill="auto"/>
            <w:noWrap/>
            <w:vAlign w:val="bottom"/>
            <w:hideMark/>
          </w:tcPr>
          <w:p w14:paraId="27C44A20"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-3285</w:t>
            </w:r>
          </w:p>
        </w:tc>
      </w:tr>
      <w:tr w:rsidR="00634ABA" w:rsidRPr="00986F85" w14:paraId="7D967BB9" w14:textId="77777777" w:rsidTr="00476987">
        <w:trPr>
          <w:trHeight w:val="285"/>
        </w:trPr>
        <w:tc>
          <w:tcPr>
            <w:tcW w:w="406" w:type="dxa"/>
            <w:vMerge/>
            <w:tcBorders>
              <w:top w:val="nil"/>
              <w:left w:val="nil"/>
              <w:bottom w:val="nil"/>
              <w:right w:val="nil"/>
            </w:tcBorders>
            <w:vAlign w:val="center"/>
            <w:hideMark/>
          </w:tcPr>
          <w:p w14:paraId="655BD937" w14:textId="77777777" w:rsidR="00634ABA" w:rsidRPr="00986F85" w:rsidRDefault="00634ABA" w:rsidP="00476987">
            <w:pPr>
              <w:spacing w:after="0" w:line="240" w:lineRule="auto"/>
              <w:rPr>
                <w:rFonts w:eastAsia="Times New Roman"/>
                <w:color w:val="000000"/>
                <w:lang w:eastAsia="hu-HU"/>
              </w:rPr>
            </w:pPr>
          </w:p>
        </w:tc>
        <w:tc>
          <w:tcPr>
            <w:tcW w:w="4032" w:type="dxa"/>
            <w:tcBorders>
              <w:top w:val="nil"/>
              <w:left w:val="nil"/>
              <w:bottom w:val="nil"/>
              <w:right w:val="nil"/>
            </w:tcBorders>
            <w:shd w:val="clear" w:color="auto" w:fill="auto"/>
            <w:noWrap/>
            <w:vAlign w:val="bottom"/>
            <w:hideMark/>
          </w:tcPr>
          <w:p w14:paraId="0FA9058D"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Egy foglalkoztatottra eső hozzáadott érték</w:t>
            </w:r>
          </w:p>
        </w:tc>
        <w:tc>
          <w:tcPr>
            <w:tcW w:w="965" w:type="dxa"/>
            <w:tcBorders>
              <w:top w:val="nil"/>
              <w:left w:val="nil"/>
              <w:bottom w:val="nil"/>
              <w:right w:val="nil"/>
            </w:tcBorders>
            <w:shd w:val="clear" w:color="auto" w:fill="auto"/>
            <w:noWrap/>
            <w:vAlign w:val="bottom"/>
            <w:hideMark/>
          </w:tcPr>
          <w:p w14:paraId="62469B48"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304.1</w:t>
            </w:r>
          </w:p>
        </w:tc>
        <w:tc>
          <w:tcPr>
            <w:tcW w:w="797" w:type="dxa"/>
            <w:tcBorders>
              <w:top w:val="nil"/>
              <w:left w:val="nil"/>
              <w:bottom w:val="nil"/>
              <w:right w:val="nil"/>
            </w:tcBorders>
            <w:shd w:val="clear" w:color="auto" w:fill="auto"/>
            <w:noWrap/>
            <w:vAlign w:val="bottom"/>
            <w:hideMark/>
          </w:tcPr>
          <w:p w14:paraId="49C007AD"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137.9</w:t>
            </w:r>
          </w:p>
        </w:tc>
        <w:tc>
          <w:tcPr>
            <w:tcW w:w="750" w:type="dxa"/>
            <w:tcBorders>
              <w:top w:val="nil"/>
              <w:left w:val="nil"/>
              <w:bottom w:val="nil"/>
              <w:right w:val="nil"/>
            </w:tcBorders>
            <w:shd w:val="clear" w:color="auto" w:fill="auto"/>
            <w:noWrap/>
            <w:vAlign w:val="bottom"/>
            <w:hideMark/>
          </w:tcPr>
          <w:p w14:paraId="66F34E9D"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121.7</w:t>
            </w:r>
          </w:p>
        </w:tc>
        <w:tc>
          <w:tcPr>
            <w:tcW w:w="797" w:type="dxa"/>
            <w:tcBorders>
              <w:top w:val="nil"/>
              <w:left w:val="nil"/>
              <w:bottom w:val="nil"/>
              <w:right w:val="nil"/>
            </w:tcBorders>
            <w:shd w:val="clear" w:color="auto" w:fill="auto"/>
            <w:noWrap/>
            <w:vAlign w:val="bottom"/>
            <w:hideMark/>
          </w:tcPr>
          <w:p w14:paraId="1F1BC3EA"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77.6</w:t>
            </w:r>
          </w:p>
        </w:tc>
        <w:tc>
          <w:tcPr>
            <w:tcW w:w="1552" w:type="dxa"/>
            <w:tcBorders>
              <w:top w:val="nil"/>
              <w:left w:val="nil"/>
              <w:bottom w:val="nil"/>
              <w:right w:val="nil"/>
            </w:tcBorders>
            <w:shd w:val="clear" w:color="auto" w:fill="auto"/>
            <w:noWrap/>
            <w:vAlign w:val="bottom"/>
            <w:hideMark/>
          </w:tcPr>
          <w:p w14:paraId="0737AA8C"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159.8</w:t>
            </w:r>
          </w:p>
        </w:tc>
      </w:tr>
      <w:tr w:rsidR="00634ABA" w:rsidRPr="00986F85" w14:paraId="4AE99AD4" w14:textId="77777777" w:rsidTr="00476987">
        <w:trPr>
          <w:trHeight w:val="285"/>
        </w:trPr>
        <w:tc>
          <w:tcPr>
            <w:tcW w:w="406" w:type="dxa"/>
            <w:vMerge/>
            <w:tcBorders>
              <w:top w:val="nil"/>
              <w:left w:val="nil"/>
              <w:bottom w:val="nil"/>
              <w:right w:val="nil"/>
            </w:tcBorders>
            <w:vAlign w:val="center"/>
            <w:hideMark/>
          </w:tcPr>
          <w:p w14:paraId="11155142" w14:textId="77777777" w:rsidR="00634ABA" w:rsidRPr="00986F85" w:rsidRDefault="00634ABA" w:rsidP="00476987">
            <w:pPr>
              <w:spacing w:after="0" w:line="240" w:lineRule="auto"/>
              <w:rPr>
                <w:rFonts w:eastAsia="Times New Roman"/>
                <w:color w:val="000000"/>
                <w:lang w:eastAsia="hu-HU"/>
              </w:rPr>
            </w:pPr>
          </w:p>
        </w:tc>
        <w:tc>
          <w:tcPr>
            <w:tcW w:w="4032" w:type="dxa"/>
            <w:tcBorders>
              <w:top w:val="nil"/>
              <w:left w:val="nil"/>
              <w:bottom w:val="nil"/>
              <w:right w:val="nil"/>
            </w:tcBorders>
            <w:shd w:val="clear" w:color="auto" w:fill="auto"/>
            <w:noWrap/>
            <w:vAlign w:val="bottom"/>
            <w:hideMark/>
          </w:tcPr>
          <w:p w14:paraId="79DB1DED"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ROA</w:t>
            </w:r>
          </w:p>
        </w:tc>
        <w:tc>
          <w:tcPr>
            <w:tcW w:w="965" w:type="dxa"/>
            <w:tcBorders>
              <w:top w:val="nil"/>
              <w:left w:val="nil"/>
              <w:bottom w:val="nil"/>
              <w:right w:val="nil"/>
            </w:tcBorders>
            <w:shd w:val="clear" w:color="auto" w:fill="auto"/>
            <w:noWrap/>
            <w:vAlign w:val="bottom"/>
            <w:hideMark/>
          </w:tcPr>
          <w:p w14:paraId="6617FBD7"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-0.025</w:t>
            </w:r>
          </w:p>
        </w:tc>
        <w:tc>
          <w:tcPr>
            <w:tcW w:w="797" w:type="dxa"/>
            <w:tcBorders>
              <w:top w:val="nil"/>
              <w:left w:val="nil"/>
              <w:bottom w:val="nil"/>
              <w:right w:val="nil"/>
            </w:tcBorders>
            <w:shd w:val="clear" w:color="auto" w:fill="auto"/>
            <w:noWrap/>
            <w:vAlign w:val="bottom"/>
            <w:hideMark/>
          </w:tcPr>
          <w:p w14:paraId="412552ED"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-0.029</w:t>
            </w:r>
          </w:p>
        </w:tc>
        <w:tc>
          <w:tcPr>
            <w:tcW w:w="750" w:type="dxa"/>
            <w:tcBorders>
              <w:top w:val="nil"/>
              <w:left w:val="nil"/>
              <w:bottom w:val="nil"/>
              <w:right w:val="nil"/>
            </w:tcBorders>
            <w:shd w:val="clear" w:color="auto" w:fill="auto"/>
            <w:noWrap/>
            <w:vAlign w:val="bottom"/>
            <w:hideMark/>
          </w:tcPr>
          <w:p w14:paraId="4FEB368C"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-0.029</w:t>
            </w:r>
          </w:p>
        </w:tc>
        <w:tc>
          <w:tcPr>
            <w:tcW w:w="797" w:type="dxa"/>
            <w:tcBorders>
              <w:top w:val="nil"/>
              <w:left w:val="nil"/>
              <w:bottom w:val="nil"/>
              <w:right w:val="nil"/>
            </w:tcBorders>
            <w:shd w:val="clear" w:color="auto" w:fill="auto"/>
            <w:noWrap/>
            <w:vAlign w:val="bottom"/>
            <w:hideMark/>
          </w:tcPr>
          <w:p w14:paraId="0D987AA5"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-0.025</w:t>
            </w:r>
          </w:p>
        </w:tc>
        <w:tc>
          <w:tcPr>
            <w:tcW w:w="1552" w:type="dxa"/>
            <w:tcBorders>
              <w:top w:val="nil"/>
              <w:left w:val="nil"/>
              <w:bottom w:val="nil"/>
              <w:right w:val="nil"/>
            </w:tcBorders>
            <w:shd w:val="clear" w:color="auto" w:fill="auto"/>
            <w:noWrap/>
            <w:vAlign w:val="bottom"/>
            <w:hideMark/>
          </w:tcPr>
          <w:p w14:paraId="2DA5C0FE"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-0.027</w:t>
            </w:r>
          </w:p>
        </w:tc>
      </w:tr>
      <w:tr w:rsidR="00634ABA" w:rsidRPr="00986F85" w14:paraId="37FB5CD0" w14:textId="77777777" w:rsidTr="00476987">
        <w:trPr>
          <w:trHeight w:val="285"/>
        </w:trPr>
        <w:tc>
          <w:tcPr>
            <w:tcW w:w="406" w:type="dxa"/>
            <w:tcBorders>
              <w:top w:val="nil"/>
              <w:left w:val="nil"/>
              <w:bottom w:val="nil"/>
              <w:right w:val="nil"/>
            </w:tcBorders>
            <w:shd w:val="clear" w:color="auto" w:fill="auto"/>
            <w:noWrap/>
            <w:textDirection w:val="btLr"/>
            <w:vAlign w:val="bottom"/>
            <w:hideMark/>
          </w:tcPr>
          <w:p w14:paraId="7EE58696" w14:textId="77777777" w:rsidR="00634ABA" w:rsidRPr="00986F85" w:rsidRDefault="00634ABA" w:rsidP="00476987">
            <w:pPr>
              <w:spacing w:after="0" w:line="240" w:lineRule="auto"/>
              <w:jc w:val="center"/>
              <w:rPr>
                <w:rFonts w:eastAsia="Times New Roman"/>
                <w:color w:val="000000"/>
                <w:lang w:eastAsia="hu-HU"/>
              </w:rPr>
            </w:pPr>
          </w:p>
        </w:tc>
        <w:tc>
          <w:tcPr>
            <w:tcW w:w="4032" w:type="dxa"/>
            <w:tcBorders>
              <w:top w:val="nil"/>
              <w:left w:val="nil"/>
              <w:bottom w:val="nil"/>
              <w:right w:val="nil"/>
            </w:tcBorders>
            <w:shd w:val="clear" w:color="auto" w:fill="auto"/>
            <w:noWrap/>
            <w:vAlign w:val="bottom"/>
            <w:hideMark/>
          </w:tcPr>
          <w:p w14:paraId="466924F3" w14:textId="77777777" w:rsidR="00634ABA" w:rsidRPr="00986F85" w:rsidRDefault="00634ABA" w:rsidP="00476987">
            <w:pPr>
              <w:spacing w:after="0" w:line="240" w:lineRule="auto"/>
              <w:rPr>
                <w:rFonts w:eastAsia="Times New Roman"/>
                <w:color w:val="000000"/>
                <w:lang w:eastAsia="hu-HU"/>
              </w:rPr>
            </w:pPr>
          </w:p>
        </w:tc>
        <w:tc>
          <w:tcPr>
            <w:tcW w:w="965" w:type="dxa"/>
            <w:tcBorders>
              <w:top w:val="nil"/>
              <w:left w:val="nil"/>
              <w:bottom w:val="nil"/>
              <w:right w:val="nil"/>
            </w:tcBorders>
            <w:shd w:val="clear" w:color="auto" w:fill="auto"/>
            <w:noWrap/>
            <w:vAlign w:val="bottom"/>
            <w:hideMark/>
          </w:tcPr>
          <w:p w14:paraId="4ABB4CE0" w14:textId="77777777" w:rsidR="00634ABA" w:rsidRPr="00986F85" w:rsidRDefault="00634ABA" w:rsidP="00476987">
            <w:pPr>
              <w:spacing w:after="0" w:line="240" w:lineRule="auto"/>
              <w:jc w:val="center"/>
              <w:rPr>
                <w:rFonts w:eastAsia="Times New Roman"/>
                <w:color w:val="000000"/>
                <w:lang w:eastAsia="hu-HU"/>
              </w:rPr>
            </w:pPr>
          </w:p>
        </w:tc>
        <w:tc>
          <w:tcPr>
            <w:tcW w:w="797" w:type="dxa"/>
            <w:tcBorders>
              <w:top w:val="nil"/>
              <w:left w:val="nil"/>
              <w:bottom w:val="nil"/>
              <w:right w:val="nil"/>
            </w:tcBorders>
            <w:shd w:val="clear" w:color="auto" w:fill="auto"/>
            <w:noWrap/>
            <w:vAlign w:val="bottom"/>
            <w:hideMark/>
          </w:tcPr>
          <w:p w14:paraId="0E811BF9" w14:textId="77777777" w:rsidR="00634ABA" w:rsidRPr="00986F85" w:rsidRDefault="00634ABA" w:rsidP="00476987">
            <w:pPr>
              <w:spacing w:after="0" w:line="240" w:lineRule="auto"/>
              <w:jc w:val="center"/>
              <w:rPr>
                <w:rFonts w:eastAsia="Times New Roman"/>
                <w:color w:val="000000"/>
                <w:lang w:eastAsia="hu-HU"/>
              </w:rPr>
            </w:pPr>
          </w:p>
        </w:tc>
        <w:tc>
          <w:tcPr>
            <w:tcW w:w="750" w:type="dxa"/>
            <w:tcBorders>
              <w:top w:val="nil"/>
              <w:left w:val="nil"/>
              <w:bottom w:val="nil"/>
              <w:right w:val="nil"/>
            </w:tcBorders>
            <w:shd w:val="clear" w:color="auto" w:fill="auto"/>
            <w:noWrap/>
            <w:vAlign w:val="bottom"/>
            <w:hideMark/>
          </w:tcPr>
          <w:p w14:paraId="0A1AD6D5" w14:textId="77777777" w:rsidR="00634ABA" w:rsidRPr="00986F85" w:rsidRDefault="00634ABA" w:rsidP="00476987">
            <w:pPr>
              <w:spacing w:after="0" w:line="240" w:lineRule="auto"/>
              <w:jc w:val="center"/>
              <w:rPr>
                <w:rFonts w:eastAsia="Times New Roman"/>
                <w:color w:val="000000"/>
                <w:lang w:eastAsia="hu-HU"/>
              </w:rPr>
            </w:pPr>
          </w:p>
        </w:tc>
        <w:tc>
          <w:tcPr>
            <w:tcW w:w="797" w:type="dxa"/>
            <w:tcBorders>
              <w:top w:val="nil"/>
              <w:left w:val="nil"/>
              <w:bottom w:val="nil"/>
              <w:right w:val="nil"/>
            </w:tcBorders>
            <w:shd w:val="clear" w:color="auto" w:fill="auto"/>
            <w:noWrap/>
            <w:vAlign w:val="bottom"/>
            <w:hideMark/>
          </w:tcPr>
          <w:p w14:paraId="42B065C5" w14:textId="77777777" w:rsidR="00634ABA" w:rsidRPr="00986F85" w:rsidRDefault="00634ABA" w:rsidP="00476987">
            <w:pPr>
              <w:spacing w:after="0" w:line="240" w:lineRule="auto"/>
              <w:jc w:val="center"/>
              <w:rPr>
                <w:rFonts w:eastAsia="Times New Roman"/>
                <w:color w:val="000000"/>
                <w:lang w:eastAsia="hu-HU"/>
              </w:rPr>
            </w:pPr>
          </w:p>
        </w:tc>
        <w:tc>
          <w:tcPr>
            <w:tcW w:w="1552" w:type="dxa"/>
            <w:tcBorders>
              <w:top w:val="nil"/>
              <w:left w:val="nil"/>
              <w:bottom w:val="nil"/>
              <w:right w:val="nil"/>
            </w:tcBorders>
            <w:shd w:val="clear" w:color="auto" w:fill="auto"/>
            <w:noWrap/>
            <w:vAlign w:val="bottom"/>
            <w:hideMark/>
          </w:tcPr>
          <w:p w14:paraId="043D1FD8" w14:textId="77777777" w:rsidR="00634ABA" w:rsidRPr="00986F85" w:rsidRDefault="00634ABA" w:rsidP="00476987">
            <w:pPr>
              <w:spacing w:after="0" w:line="240" w:lineRule="auto"/>
              <w:jc w:val="center"/>
              <w:rPr>
                <w:rFonts w:eastAsia="Times New Roman"/>
                <w:color w:val="000000"/>
                <w:lang w:eastAsia="hu-HU"/>
              </w:rPr>
            </w:pPr>
          </w:p>
        </w:tc>
      </w:tr>
      <w:tr w:rsidR="00634ABA" w:rsidRPr="00986F85" w14:paraId="754A0B48" w14:textId="77777777" w:rsidTr="00476987">
        <w:trPr>
          <w:trHeight w:val="285"/>
        </w:trPr>
        <w:tc>
          <w:tcPr>
            <w:tcW w:w="406" w:type="dxa"/>
            <w:vMerge w:val="restart"/>
            <w:tcBorders>
              <w:top w:val="nil"/>
              <w:left w:val="nil"/>
              <w:bottom w:val="nil"/>
              <w:right w:val="nil"/>
            </w:tcBorders>
            <w:shd w:val="clear" w:color="auto" w:fill="auto"/>
            <w:noWrap/>
            <w:textDirection w:val="btLr"/>
            <w:vAlign w:val="bottom"/>
            <w:hideMark/>
          </w:tcPr>
          <w:p w14:paraId="41246C02" w14:textId="77777777" w:rsidR="00634ABA" w:rsidRPr="00986F85" w:rsidRDefault="00634ABA" w:rsidP="00476987">
            <w:pPr>
              <w:spacing w:after="0" w:line="240" w:lineRule="auto"/>
              <w:jc w:val="center"/>
              <w:rPr>
                <w:rFonts w:eastAsia="Times New Roman"/>
                <w:b/>
                <w:color w:val="000000"/>
                <w:lang w:eastAsia="hu-HU"/>
              </w:rPr>
            </w:pPr>
            <w:r w:rsidRPr="00986F85">
              <w:rPr>
                <w:rFonts w:eastAsia="Times New Roman"/>
                <w:b/>
                <w:color w:val="000000"/>
                <w:lang w:eastAsia="hu-HU"/>
              </w:rPr>
              <w:t>Nyertes</w:t>
            </w:r>
          </w:p>
        </w:tc>
        <w:tc>
          <w:tcPr>
            <w:tcW w:w="4032" w:type="dxa"/>
            <w:tcBorders>
              <w:top w:val="nil"/>
              <w:left w:val="nil"/>
              <w:bottom w:val="nil"/>
              <w:right w:val="nil"/>
            </w:tcBorders>
            <w:shd w:val="clear" w:color="auto" w:fill="auto"/>
            <w:noWrap/>
            <w:vAlign w:val="bottom"/>
            <w:hideMark/>
          </w:tcPr>
          <w:p w14:paraId="2D505767"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Foglalkoztatottak száma (%)</w:t>
            </w:r>
          </w:p>
        </w:tc>
        <w:tc>
          <w:tcPr>
            <w:tcW w:w="965" w:type="dxa"/>
            <w:tcBorders>
              <w:top w:val="nil"/>
              <w:left w:val="nil"/>
              <w:bottom w:val="nil"/>
              <w:right w:val="nil"/>
            </w:tcBorders>
            <w:shd w:val="clear" w:color="auto" w:fill="auto"/>
            <w:noWrap/>
            <w:vAlign w:val="bottom"/>
            <w:hideMark/>
          </w:tcPr>
          <w:p w14:paraId="7E35D99D"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22</w:t>
            </w:r>
          </w:p>
        </w:tc>
        <w:tc>
          <w:tcPr>
            <w:tcW w:w="797" w:type="dxa"/>
            <w:tcBorders>
              <w:top w:val="nil"/>
              <w:left w:val="nil"/>
              <w:bottom w:val="nil"/>
              <w:right w:val="nil"/>
            </w:tcBorders>
            <w:shd w:val="clear" w:color="auto" w:fill="auto"/>
            <w:noWrap/>
            <w:vAlign w:val="bottom"/>
            <w:hideMark/>
          </w:tcPr>
          <w:p w14:paraId="72EA5C03"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9.7</w:t>
            </w:r>
          </w:p>
        </w:tc>
        <w:tc>
          <w:tcPr>
            <w:tcW w:w="750" w:type="dxa"/>
            <w:tcBorders>
              <w:top w:val="nil"/>
              <w:left w:val="nil"/>
              <w:bottom w:val="nil"/>
              <w:right w:val="nil"/>
            </w:tcBorders>
            <w:shd w:val="clear" w:color="auto" w:fill="auto"/>
            <w:noWrap/>
            <w:vAlign w:val="bottom"/>
            <w:hideMark/>
          </w:tcPr>
          <w:p w14:paraId="23D8C239"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0</w:t>
            </w:r>
          </w:p>
        </w:tc>
        <w:tc>
          <w:tcPr>
            <w:tcW w:w="797" w:type="dxa"/>
            <w:tcBorders>
              <w:top w:val="nil"/>
              <w:left w:val="nil"/>
              <w:bottom w:val="nil"/>
              <w:right w:val="nil"/>
            </w:tcBorders>
            <w:shd w:val="clear" w:color="auto" w:fill="auto"/>
            <w:noWrap/>
            <w:vAlign w:val="bottom"/>
            <w:hideMark/>
          </w:tcPr>
          <w:p w14:paraId="4D9FC42C"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-1.3</w:t>
            </w:r>
          </w:p>
        </w:tc>
        <w:tc>
          <w:tcPr>
            <w:tcW w:w="1552" w:type="dxa"/>
            <w:tcBorders>
              <w:top w:val="nil"/>
              <w:left w:val="nil"/>
              <w:bottom w:val="nil"/>
              <w:right w:val="nil"/>
            </w:tcBorders>
            <w:shd w:val="clear" w:color="auto" w:fill="auto"/>
            <w:noWrap/>
            <w:vAlign w:val="bottom"/>
            <w:hideMark/>
          </w:tcPr>
          <w:p w14:paraId="0535A00F"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8.3</w:t>
            </w:r>
          </w:p>
        </w:tc>
      </w:tr>
      <w:tr w:rsidR="00634ABA" w:rsidRPr="00986F85" w14:paraId="513BC2D5" w14:textId="77777777" w:rsidTr="00476987">
        <w:trPr>
          <w:trHeight w:val="285"/>
        </w:trPr>
        <w:tc>
          <w:tcPr>
            <w:tcW w:w="406" w:type="dxa"/>
            <w:vMerge/>
            <w:tcBorders>
              <w:top w:val="nil"/>
              <w:left w:val="nil"/>
              <w:bottom w:val="nil"/>
              <w:right w:val="nil"/>
            </w:tcBorders>
            <w:vAlign w:val="center"/>
            <w:hideMark/>
          </w:tcPr>
          <w:p w14:paraId="349FACF6" w14:textId="77777777" w:rsidR="00634ABA" w:rsidRPr="00986F85" w:rsidRDefault="00634ABA" w:rsidP="00476987">
            <w:pPr>
              <w:spacing w:after="0" w:line="240" w:lineRule="auto"/>
              <w:rPr>
                <w:rFonts w:eastAsia="Times New Roman"/>
                <w:color w:val="000000"/>
                <w:lang w:eastAsia="hu-HU"/>
              </w:rPr>
            </w:pPr>
          </w:p>
        </w:tc>
        <w:tc>
          <w:tcPr>
            <w:tcW w:w="4032" w:type="dxa"/>
            <w:tcBorders>
              <w:top w:val="nil"/>
              <w:left w:val="nil"/>
              <w:bottom w:val="nil"/>
              <w:right w:val="nil"/>
            </w:tcBorders>
            <w:shd w:val="clear" w:color="auto" w:fill="auto"/>
            <w:noWrap/>
            <w:vAlign w:val="bottom"/>
            <w:hideMark/>
          </w:tcPr>
          <w:p w14:paraId="6CBB311B"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Nettó árbevétel (%)</w:t>
            </w:r>
          </w:p>
        </w:tc>
        <w:tc>
          <w:tcPr>
            <w:tcW w:w="965" w:type="dxa"/>
            <w:tcBorders>
              <w:top w:val="nil"/>
              <w:left w:val="nil"/>
              <w:bottom w:val="nil"/>
              <w:right w:val="nil"/>
            </w:tcBorders>
            <w:shd w:val="clear" w:color="auto" w:fill="auto"/>
            <w:noWrap/>
            <w:vAlign w:val="bottom"/>
            <w:hideMark/>
          </w:tcPr>
          <w:p w14:paraId="6457CD8C"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50.9</w:t>
            </w:r>
          </w:p>
        </w:tc>
        <w:tc>
          <w:tcPr>
            <w:tcW w:w="797" w:type="dxa"/>
            <w:tcBorders>
              <w:top w:val="nil"/>
              <w:left w:val="nil"/>
              <w:bottom w:val="nil"/>
              <w:right w:val="nil"/>
            </w:tcBorders>
            <w:shd w:val="clear" w:color="auto" w:fill="auto"/>
            <w:noWrap/>
            <w:vAlign w:val="bottom"/>
            <w:hideMark/>
          </w:tcPr>
          <w:p w14:paraId="17754DB4"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22.1</w:t>
            </w:r>
          </w:p>
        </w:tc>
        <w:tc>
          <w:tcPr>
            <w:tcW w:w="750" w:type="dxa"/>
            <w:tcBorders>
              <w:top w:val="nil"/>
              <w:left w:val="nil"/>
              <w:bottom w:val="nil"/>
              <w:right w:val="nil"/>
            </w:tcBorders>
            <w:shd w:val="clear" w:color="auto" w:fill="auto"/>
            <w:noWrap/>
            <w:vAlign w:val="bottom"/>
            <w:hideMark/>
          </w:tcPr>
          <w:p w14:paraId="0A329DB4"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16.7</w:t>
            </w:r>
          </w:p>
        </w:tc>
        <w:tc>
          <w:tcPr>
            <w:tcW w:w="797" w:type="dxa"/>
            <w:tcBorders>
              <w:top w:val="nil"/>
              <w:left w:val="nil"/>
              <w:bottom w:val="nil"/>
              <w:right w:val="nil"/>
            </w:tcBorders>
            <w:shd w:val="clear" w:color="auto" w:fill="auto"/>
            <w:noWrap/>
            <w:vAlign w:val="bottom"/>
            <w:hideMark/>
          </w:tcPr>
          <w:p w14:paraId="52D8B56A"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15.5</w:t>
            </w:r>
          </w:p>
        </w:tc>
        <w:tc>
          <w:tcPr>
            <w:tcW w:w="1552" w:type="dxa"/>
            <w:tcBorders>
              <w:top w:val="nil"/>
              <w:left w:val="nil"/>
              <w:bottom w:val="nil"/>
              <w:right w:val="nil"/>
            </w:tcBorders>
            <w:shd w:val="clear" w:color="auto" w:fill="auto"/>
            <w:noWrap/>
            <w:vAlign w:val="bottom"/>
            <w:hideMark/>
          </w:tcPr>
          <w:p w14:paraId="5EB49818"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22.2</w:t>
            </w:r>
          </w:p>
        </w:tc>
      </w:tr>
      <w:tr w:rsidR="00634ABA" w:rsidRPr="00986F85" w14:paraId="1729C9D7" w14:textId="77777777" w:rsidTr="00476987">
        <w:trPr>
          <w:trHeight w:val="285"/>
        </w:trPr>
        <w:tc>
          <w:tcPr>
            <w:tcW w:w="406" w:type="dxa"/>
            <w:vMerge/>
            <w:tcBorders>
              <w:top w:val="nil"/>
              <w:left w:val="nil"/>
              <w:bottom w:val="nil"/>
              <w:right w:val="nil"/>
            </w:tcBorders>
            <w:vAlign w:val="center"/>
            <w:hideMark/>
          </w:tcPr>
          <w:p w14:paraId="7CAE57B7" w14:textId="77777777" w:rsidR="00634ABA" w:rsidRPr="00986F85" w:rsidRDefault="00634ABA" w:rsidP="00476987">
            <w:pPr>
              <w:spacing w:after="0" w:line="240" w:lineRule="auto"/>
              <w:rPr>
                <w:rFonts w:eastAsia="Times New Roman"/>
                <w:color w:val="000000"/>
                <w:lang w:eastAsia="hu-HU"/>
              </w:rPr>
            </w:pPr>
          </w:p>
        </w:tc>
        <w:tc>
          <w:tcPr>
            <w:tcW w:w="4032" w:type="dxa"/>
            <w:tcBorders>
              <w:top w:val="nil"/>
              <w:left w:val="nil"/>
              <w:bottom w:val="nil"/>
              <w:right w:val="nil"/>
            </w:tcBorders>
            <w:shd w:val="clear" w:color="auto" w:fill="auto"/>
            <w:noWrap/>
            <w:vAlign w:val="bottom"/>
            <w:hideMark/>
          </w:tcPr>
          <w:p w14:paraId="47680EBA"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Egy foglalkoztatottra eső árbevétel (%)</w:t>
            </w:r>
          </w:p>
        </w:tc>
        <w:tc>
          <w:tcPr>
            <w:tcW w:w="965" w:type="dxa"/>
            <w:tcBorders>
              <w:top w:val="nil"/>
              <w:left w:val="nil"/>
              <w:bottom w:val="nil"/>
              <w:right w:val="nil"/>
            </w:tcBorders>
            <w:shd w:val="clear" w:color="auto" w:fill="auto"/>
            <w:noWrap/>
            <w:vAlign w:val="bottom"/>
            <w:hideMark/>
          </w:tcPr>
          <w:p w14:paraId="7E09CA29"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21</w:t>
            </w:r>
          </w:p>
        </w:tc>
        <w:tc>
          <w:tcPr>
            <w:tcW w:w="797" w:type="dxa"/>
            <w:tcBorders>
              <w:top w:val="nil"/>
              <w:left w:val="nil"/>
              <w:bottom w:val="nil"/>
              <w:right w:val="nil"/>
            </w:tcBorders>
            <w:shd w:val="clear" w:color="auto" w:fill="auto"/>
            <w:noWrap/>
            <w:vAlign w:val="bottom"/>
            <w:hideMark/>
          </w:tcPr>
          <w:p w14:paraId="589D89DE"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8.3</w:t>
            </w:r>
          </w:p>
        </w:tc>
        <w:tc>
          <w:tcPr>
            <w:tcW w:w="750" w:type="dxa"/>
            <w:tcBorders>
              <w:top w:val="nil"/>
              <w:left w:val="nil"/>
              <w:bottom w:val="nil"/>
              <w:right w:val="nil"/>
            </w:tcBorders>
            <w:shd w:val="clear" w:color="auto" w:fill="auto"/>
            <w:noWrap/>
            <w:vAlign w:val="bottom"/>
            <w:hideMark/>
          </w:tcPr>
          <w:p w14:paraId="2EBEF6F8"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11.1</w:t>
            </w:r>
          </w:p>
        </w:tc>
        <w:tc>
          <w:tcPr>
            <w:tcW w:w="797" w:type="dxa"/>
            <w:tcBorders>
              <w:top w:val="nil"/>
              <w:left w:val="nil"/>
              <w:bottom w:val="nil"/>
              <w:right w:val="nil"/>
            </w:tcBorders>
            <w:shd w:val="clear" w:color="auto" w:fill="auto"/>
            <w:noWrap/>
            <w:vAlign w:val="bottom"/>
            <w:hideMark/>
          </w:tcPr>
          <w:p w14:paraId="6F156274"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12.6</w:t>
            </w:r>
          </w:p>
        </w:tc>
        <w:tc>
          <w:tcPr>
            <w:tcW w:w="1552" w:type="dxa"/>
            <w:tcBorders>
              <w:top w:val="nil"/>
              <w:left w:val="nil"/>
              <w:bottom w:val="nil"/>
              <w:right w:val="nil"/>
            </w:tcBorders>
            <w:shd w:val="clear" w:color="auto" w:fill="auto"/>
            <w:noWrap/>
            <w:vAlign w:val="bottom"/>
            <w:hideMark/>
          </w:tcPr>
          <w:p w14:paraId="226EFE98"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12.4</w:t>
            </w:r>
          </w:p>
        </w:tc>
      </w:tr>
      <w:tr w:rsidR="00634ABA" w:rsidRPr="00986F85" w14:paraId="620AA7DA" w14:textId="77777777" w:rsidTr="00476987">
        <w:trPr>
          <w:trHeight w:val="285"/>
        </w:trPr>
        <w:tc>
          <w:tcPr>
            <w:tcW w:w="406" w:type="dxa"/>
            <w:vMerge/>
            <w:tcBorders>
              <w:top w:val="nil"/>
              <w:left w:val="nil"/>
              <w:bottom w:val="nil"/>
              <w:right w:val="nil"/>
            </w:tcBorders>
            <w:vAlign w:val="center"/>
            <w:hideMark/>
          </w:tcPr>
          <w:p w14:paraId="3930EE8F" w14:textId="77777777" w:rsidR="00634ABA" w:rsidRPr="00986F85" w:rsidRDefault="00634ABA" w:rsidP="00476987">
            <w:pPr>
              <w:spacing w:after="0" w:line="240" w:lineRule="auto"/>
              <w:rPr>
                <w:rFonts w:eastAsia="Times New Roman"/>
                <w:color w:val="000000"/>
                <w:lang w:eastAsia="hu-HU"/>
              </w:rPr>
            </w:pPr>
          </w:p>
        </w:tc>
        <w:tc>
          <w:tcPr>
            <w:tcW w:w="4032" w:type="dxa"/>
            <w:tcBorders>
              <w:top w:val="nil"/>
              <w:left w:val="nil"/>
              <w:bottom w:val="nil"/>
              <w:right w:val="nil"/>
            </w:tcBorders>
            <w:shd w:val="clear" w:color="auto" w:fill="auto"/>
            <w:noWrap/>
            <w:vAlign w:val="bottom"/>
            <w:hideMark/>
          </w:tcPr>
          <w:p w14:paraId="253CB94B"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Tárgyi eszköz (%)</w:t>
            </w:r>
          </w:p>
        </w:tc>
        <w:tc>
          <w:tcPr>
            <w:tcW w:w="965" w:type="dxa"/>
            <w:tcBorders>
              <w:top w:val="nil"/>
              <w:left w:val="nil"/>
              <w:bottom w:val="nil"/>
              <w:right w:val="nil"/>
            </w:tcBorders>
            <w:shd w:val="clear" w:color="auto" w:fill="auto"/>
            <w:noWrap/>
            <w:vAlign w:val="bottom"/>
            <w:hideMark/>
          </w:tcPr>
          <w:p w14:paraId="259D47D1"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81.8</w:t>
            </w:r>
          </w:p>
        </w:tc>
        <w:tc>
          <w:tcPr>
            <w:tcW w:w="797" w:type="dxa"/>
            <w:tcBorders>
              <w:top w:val="nil"/>
              <w:left w:val="nil"/>
              <w:bottom w:val="nil"/>
              <w:right w:val="nil"/>
            </w:tcBorders>
            <w:shd w:val="clear" w:color="auto" w:fill="auto"/>
            <w:noWrap/>
            <w:vAlign w:val="bottom"/>
            <w:hideMark/>
          </w:tcPr>
          <w:p w14:paraId="1DD8E10A"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32.3</w:t>
            </w:r>
          </w:p>
        </w:tc>
        <w:tc>
          <w:tcPr>
            <w:tcW w:w="750" w:type="dxa"/>
            <w:tcBorders>
              <w:top w:val="nil"/>
              <w:left w:val="nil"/>
              <w:bottom w:val="nil"/>
              <w:right w:val="nil"/>
            </w:tcBorders>
            <w:shd w:val="clear" w:color="auto" w:fill="auto"/>
            <w:noWrap/>
            <w:vAlign w:val="bottom"/>
            <w:hideMark/>
          </w:tcPr>
          <w:p w14:paraId="243DF462"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33.4</w:t>
            </w:r>
          </w:p>
        </w:tc>
        <w:tc>
          <w:tcPr>
            <w:tcW w:w="797" w:type="dxa"/>
            <w:tcBorders>
              <w:top w:val="nil"/>
              <w:left w:val="nil"/>
              <w:bottom w:val="nil"/>
              <w:right w:val="nil"/>
            </w:tcBorders>
            <w:shd w:val="clear" w:color="auto" w:fill="auto"/>
            <w:noWrap/>
            <w:vAlign w:val="bottom"/>
            <w:hideMark/>
          </w:tcPr>
          <w:p w14:paraId="77D50C78"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23.2</w:t>
            </w:r>
          </w:p>
        </w:tc>
        <w:tc>
          <w:tcPr>
            <w:tcW w:w="1552" w:type="dxa"/>
            <w:tcBorders>
              <w:top w:val="nil"/>
              <w:left w:val="nil"/>
              <w:bottom w:val="nil"/>
              <w:right w:val="nil"/>
            </w:tcBorders>
            <w:shd w:val="clear" w:color="auto" w:fill="auto"/>
            <w:noWrap/>
            <w:vAlign w:val="bottom"/>
            <w:hideMark/>
          </w:tcPr>
          <w:p w14:paraId="434C52A0"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34.5</w:t>
            </w:r>
          </w:p>
        </w:tc>
      </w:tr>
      <w:tr w:rsidR="00634ABA" w:rsidRPr="00986F85" w14:paraId="6FC60213" w14:textId="77777777" w:rsidTr="00476987">
        <w:trPr>
          <w:trHeight w:val="285"/>
        </w:trPr>
        <w:tc>
          <w:tcPr>
            <w:tcW w:w="406" w:type="dxa"/>
            <w:vMerge/>
            <w:tcBorders>
              <w:top w:val="nil"/>
              <w:left w:val="nil"/>
              <w:bottom w:val="nil"/>
              <w:right w:val="nil"/>
            </w:tcBorders>
            <w:vAlign w:val="center"/>
            <w:hideMark/>
          </w:tcPr>
          <w:p w14:paraId="4DD64D55" w14:textId="77777777" w:rsidR="00634ABA" w:rsidRPr="00986F85" w:rsidRDefault="00634ABA" w:rsidP="00476987">
            <w:pPr>
              <w:spacing w:after="0" w:line="240" w:lineRule="auto"/>
              <w:rPr>
                <w:rFonts w:eastAsia="Times New Roman"/>
                <w:color w:val="000000"/>
                <w:lang w:eastAsia="hu-HU"/>
              </w:rPr>
            </w:pPr>
          </w:p>
        </w:tc>
        <w:tc>
          <w:tcPr>
            <w:tcW w:w="4032" w:type="dxa"/>
            <w:tcBorders>
              <w:top w:val="nil"/>
              <w:left w:val="nil"/>
              <w:bottom w:val="nil"/>
              <w:right w:val="nil"/>
            </w:tcBorders>
            <w:shd w:val="clear" w:color="auto" w:fill="auto"/>
            <w:noWrap/>
            <w:vAlign w:val="bottom"/>
            <w:hideMark/>
          </w:tcPr>
          <w:p w14:paraId="31618860"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Tőkeintenzitás (%)</w:t>
            </w:r>
          </w:p>
        </w:tc>
        <w:tc>
          <w:tcPr>
            <w:tcW w:w="965" w:type="dxa"/>
            <w:tcBorders>
              <w:top w:val="nil"/>
              <w:left w:val="nil"/>
              <w:bottom w:val="nil"/>
              <w:right w:val="nil"/>
            </w:tcBorders>
            <w:shd w:val="clear" w:color="auto" w:fill="auto"/>
            <w:noWrap/>
            <w:vAlign w:val="bottom"/>
            <w:hideMark/>
          </w:tcPr>
          <w:p w14:paraId="05B9A432"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36.4</w:t>
            </w:r>
          </w:p>
        </w:tc>
        <w:tc>
          <w:tcPr>
            <w:tcW w:w="797" w:type="dxa"/>
            <w:tcBorders>
              <w:top w:val="nil"/>
              <w:left w:val="nil"/>
              <w:bottom w:val="nil"/>
              <w:right w:val="nil"/>
            </w:tcBorders>
            <w:shd w:val="clear" w:color="auto" w:fill="auto"/>
            <w:noWrap/>
            <w:vAlign w:val="bottom"/>
            <w:hideMark/>
          </w:tcPr>
          <w:p w14:paraId="3DDCB30F"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18.6</w:t>
            </w:r>
          </w:p>
        </w:tc>
        <w:tc>
          <w:tcPr>
            <w:tcW w:w="750" w:type="dxa"/>
            <w:tcBorders>
              <w:top w:val="nil"/>
              <w:left w:val="nil"/>
              <w:bottom w:val="nil"/>
              <w:right w:val="nil"/>
            </w:tcBorders>
            <w:shd w:val="clear" w:color="auto" w:fill="auto"/>
            <w:noWrap/>
            <w:vAlign w:val="bottom"/>
            <w:hideMark/>
          </w:tcPr>
          <w:p w14:paraId="56CE1652"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26.5</w:t>
            </w:r>
          </w:p>
        </w:tc>
        <w:tc>
          <w:tcPr>
            <w:tcW w:w="797" w:type="dxa"/>
            <w:tcBorders>
              <w:top w:val="nil"/>
              <w:left w:val="nil"/>
              <w:bottom w:val="nil"/>
              <w:right w:val="nil"/>
            </w:tcBorders>
            <w:shd w:val="clear" w:color="auto" w:fill="auto"/>
            <w:noWrap/>
            <w:vAlign w:val="bottom"/>
            <w:hideMark/>
          </w:tcPr>
          <w:p w14:paraId="3B3B39C1"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33.1</w:t>
            </w:r>
          </w:p>
        </w:tc>
        <w:tc>
          <w:tcPr>
            <w:tcW w:w="1552" w:type="dxa"/>
            <w:tcBorders>
              <w:top w:val="nil"/>
              <w:left w:val="nil"/>
              <w:bottom w:val="nil"/>
              <w:right w:val="nil"/>
            </w:tcBorders>
            <w:shd w:val="clear" w:color="auto" w:fill="auto"/>
            <w:noWrap/>
            <w:vAlign w:val="bottom"/>
            <w:hideMark/>
          </w:tcPr>
          <w:p w14:paraId="6A238584"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27.3</w:t>
            </w:r>
          </w:p>
        </w:tc>
      </w:tr>
      <w:tr w:rsidR="00634ABA" w:rsidRPr="00986F85" w14:paraId="0DBCF733" w14:textId="77777777" w:rsidTr="00476987">
        <w:trPr>
          <w:trHeight w:val="285"/>
        </w:trPr>
        <w:tc>
          <w:tcPr>
            <w:tcW w:w="406" w:type="dxa"/>
            <w:vMerge/>
            <w:tcBorders>
              <w:top w:val="nil"/>
              <w:left w:val="nil"/>
              <w:bottom w:val="nil"/>
              <w:right w:val="nil"/>
            </w:tcBorders>
            <w:vAlign w:val="center"/>
            <w:hideMark/>
          </w:tcPr>
          <w:p w14:paraId="1A4A8D0A" w14:textId="77777777" w:rsidR="00634ABA" w:rsidRPr="00986F85" w:rsidRDefault="00634ABA" w:rsidP="00476987">
            <w:pPr>
              <w:spacing w:after="0" w:line="240" w:lineRule="auto"/>
              <w:rPr>
                <w:rFonts w:eastAsia="Times New Roman"/>
                <w:color w:val="000000"/>
                <w:lang w:eastAsia="hu-HU"/>
              </w:rPr>
            </w:pPr>
          </w:p>
        </w:tc>
        <w:tc>
          <w:tcPr>
            <w:tcW w:w="4032" w:type="dxa"/>
            <w:tcBorders>
              <w:top w:val="nil"/>
              <w:left w:val="nil"/>
              <w:bottom w:val="nil"/>
              <w:right w:val="nil"/>
            </w:tcBorders>
            <w:shd w:val="clear" w:color="auto" w:fill="auto"/>
            <w:noWrap/>
            <w:vAlign w:val="bottom"/>
            <w:hideMark/>
          </w:tcPr>
          <w:p w14:paraId="39116F1B"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Jegyzett tőke</w:t>
            </w:r>
          </w:p>
        </w:tc>
        <w:tc>
          <w:tcPr>
            <w:tcW w:w="965" w:type="dxa"/>
            <w:tcBorders>
              <w:top w:val="nil"/>
              <w:left w:val="nil"/>
              <w:bottom w:val="nil"/>
              <w:right w:val="nil"/>
            </w:tcBorders>
            <w:shd w:val="clear" w:color="auto" w:fill="auto"/>
            <w:noWrap/>
            <w:vAlign w:val="bottom"/>
            <w:hideMark/>
          </w:tcPr>
          <w:p w14:paraId="6CE03AAB"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0</w:t>
            </w:r>
          </w:p>
        </w:tc>
        <w:tc>
          <w:tcPr>
            <w:tcW w:w="797" w:type="dxa"/>
            <w:tcBorders>
              <w:top w:val="nil"/>
              <w:left w:val="nil"/>
              <w:bottom w:val="nil"/>
              <w:right w:val="nil"/>
            </w:tcBorders>
            <w:shd w:val="clear" w:color="auto" w:fill="auto"/>
            <w:noWrap/>
            <w:vAlign w:val="bottom"/>
            <w:hideMark/>
          </w:tcPr>
          <w:p w14:paraId="7137A67B"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0</w:t>
            </w:r>
          </w:p>
        </w:tc>
        <w:tc>
          <w:tcPr>
            <w:tcW w:w="750" w:type="dxa"/>
            <w:tcBorders>
              <w:top w:val="nil"/>
              <w:left w:val="nil"/>
              <w:bottom w:val="nil"/>
              <w:right w:val="nil"/>
            </w:tcBorders>
            <w:shd w:val="clear" w:color="auto" w:fill="auto"/>
            <w:noWrap/>
            <w:vAlign w:val="bottom"/>
            <w:hideMark/>
          </w:tcPr>
          <w:p w14:paraId="7EFAC054"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0</w:t>
            </w:r>
          </w:p>
        </w:tc>
        <w:tc>
          <w:tcPr>
            <w:tcW w:w="797" w:type="dxa"/>
            <w:tcBorders>
              <w:top w:val="nil"/>
              <w:left w:val="nil"/>
              <w:bottom w:val="nil"/>
              <w:right w:val="nil"/>
            </w:tcBorders>
            <w:shd w:val="clear" w:color="auto" w:fill="auto"/>
            <w:noWrap/>
            <w:vAlign w:val="bottom"/>
            <w:hideMark/>
          </w:tcPr>
          <w:p w14:paraId="74B15C42"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0</w:t>
            </w:r>
          </w:p>
        </w:tc>
        <w:tc>
          <w:tcPr>
            <w:tcW w:w="1552" w:type="dxa"/>
            <w:tcBorders>
              <w:top w:val="nil"/>
              <w:left w:val="nil"/>
              <w:bottom w:val="nil"/>
              <w:right w:val="nil"/>
            </w:tcBorders>
            <w:shd w:val="clear" w:color="auto" w:fill="auto"/>
            <w:noWrap/>
            <w:vAlign w:val="bottom"/>
            <w:hideMark/>
          </w:tcPr>
          <w:p w14:paraId="532D5905"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0</w:t>
            </w:r>
          </w:p>
        </w:tc>
      </w:tr>
      <w:tr w:rsidR="00634ABA" w:rsidRPr="00986F85" w14:paraId="2503D0E8" w14:textId="77777777" w:rsidTr="00476987">
        <w:trPr>
          <w:trHeight w:val="285"/>
        </w:trPr>
        <w:tc>
          <w:tcPr>
            <w:tcW w:w="406" w:type="dxa"/>
            <w:vMerge/>
            <w:tcBorders>
              <w:top w:val="nil"/>
              <w:left w:val="nil"/>
              <w:bottom w:val="nil"/>
              <w:right w:val="nil"/>
            </w:tcBorders>
            <w:vAlign w:val="center"/>
            <w:hideMark/>
          </w:tcPr>
          <w:p w14:paraId="256425F6" w14:textId="77777777" w:rsidR="00634ABA" w:rsidRPr="00986F85" w:rsidRDefault="00634ABA" w:rsidP="00476987">
            <w:pPr>
              <w:spacing w:after="0" w:line="240" w:lineRule="auto"/>
              <w:rPr>
                <w:rFonts w:eastAsia="Times New Roman"/>
                <w:color w:val="000000"/>
                <w:lang w:eastAsia="hu-HU"/>
              </w:rPr>
            </w:pPr>
          </w:p>
        </w:tc>
        <w:tc>
          <w:tcPr>
            <w:tcW w:w="4032" w:type="dxa"/>
            <w:tcBorders>
              <w:top w:val="nil"/>
              <w:left w:val="nil"/>
              <w:bottom w:val="nil"/>
              <w:right w:val="nil"/>
            </w:tcBorders>
            <w:shd w:val="clear" w:color="auto" w:fill="auto"/>
            <w:noWrap/>
            <w:vAlign w:val="bottom"/>
            <w:hideMark/>
          </w:tcPr>
          <w:p w14:paraId="0E111E52"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Egy foglalkoztatottra eső jegyzett tőke (%)</w:t>
            </w:r>
          </w:p>
        </w:tc>
        <w:tc>
          <w:tcPr>
            <w:tcW w:w="965" w:type="dxa"/>
            <w:tcBorders>
              <w:top w:val="nil"/>
              <w:left w:val="nil"/>
              <w:bottom w:val="nil"/>
              <w:right w:val="nil"/>
            </w:tcBorders>
            <w:shd w:val="clear" w:color="auto" w:fill="auto"/>
            <w:noWrap/>
            <w:vAlign w:val="bottom"/>
            <w:hideMark/>
          </w:tcPr>
          <w:p w14:paraId="41C4DBFF"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-13.8</w:t>
            </w:r>
          </w:p>
        </w:tc>
        <w:tc>
          <w:tcPr>
            <w:tcW w:w="797" w:type="dxa"/>
            <w:tcBorders>
              <w:top w:val="nil"/>
              <w:left w:val="nil"/>
              <w:bottom w:val="nil"/>
              <w:right w:val="nil"/>
            </w:tcBorders>
            <w:shd w:val="clear" w:color="auto" w:fill="auto"/>
            <w:noWrap/>
            <w:vAlign w:val="bottom"/>
            <w:hideMark/>
          </w:tcPr>
          <w:p w14:paraId="3838A5EC"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-8.2</w:t>
            </w:r>
          </w:p>
        </w:tc>
        <w:tc>
          <w:tcPr>
            <w:tcW w:w="750" w:type="dxa"/>
            <w:tcBorders>
              <w:top w:val="nil"/>
              <w:left w:val="nil"/>
              <w:bottom w:val="nil"/>
              <w:right w:val="nil"/>
            </w:tcBorders>
            <w:shd w:val="clear" w:color="auto" w:fill="auto"/>
            <w:noWrap/>
            <w:vAlign w:val="bottom"/>
            <w:hideMark/>
          </w:tcPr>
          <w:p w14:paraId="704211DE"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0</w:t>
            </w:r>
          </w:p>
        </w:tc>
        <w:tc>
          <w:tcPr>
            <w:tcW w:w="797" w:type="dxa"/>
            <w:tcBorders>
              <w:top w:val="nil"/>
              <w:left w:val="nil"/>
              <w:bottom w:val="nil"/>
              <w:right w:val="nil"/>
            </w:tcBorders>
            <w:shd w:val="clear" w:color="auto" w:fill="auto"/>
            <w:noWrap/>
            <w:vAlign w:val="bottom"/>
            <w:hideMark/>
          </w:tcPr>
          <w:p w14:paraId="31B46843"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6.2</w:t>
            </w:r>
          </w:p>
        </w:tc>
        <w:tc>
          <w:tcPr>
            <w:tcW w:w="1552" w:type="dxa"/>
            <w:tcBorders>
              <w:top w:val="nil"/>
              <w:left w:val="nil"/>
              <w:bottom w:val="nil"/>
              <w:right w:val="nil"/>
            </w:tcBorders>
            <w:shd w:val="clear" w:color="auto" w:fill="auto"/>
            <w:noWrap/>
            <w:vAlign w:val="bottom"/>
            <w:hideMark/>
          </w:tcPr>
          <w:p w14:paraId="71109A7E"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-5.7</w:t>
            </w:r>
          </w:p>
        </w:tc>
      </w:tr>
      <w:tr w:rsidR="00634ABA" w:rsidRPr="00986F85" w14:paraId="177C5088" w14:textId="77777777" w:rsidTr="00476987">
        <w:trPr>
          <w:trHeight w:val="285"/>
        </w:trPr>
        <w:tc>
          <w:tcPr>
            <w:tcW w:w="406" w:type="dxa"/>
            <w:vMerge/>
            <w:tcBorders>
              <w:top w:val="nil"/>
              <w:left w:val="nil"/>
              <w:bottom w:val="nil"/>
              <w:right w:val="nil"/>
            </w:tcBorders>
            <w:vAlign w:val="center"/>
            <w:hideMark/>
          </w:tcPr>
          <w:p w14:paraId="1E7214F2" w14:textId="77777777" w:rsidR="00634ABA" w:rsidRPr="00986F85" w:rsidRDefault="00634ABA" w:rsidP="00476987">
            <w:pPr>
              <w:spacing w:after="0" w:line="240" w:lineRule="auto"/>
              <w:rPr>
                <w:rFonts w:eastAsia="Times New Roman"/>
                <w:color w:val="000000"/>
                <w:lang w:eastAsia="hu-HU"/>
              </w:rPr>
            </w:pPr>
          </w:p>
        </w:tc>
        <w:tc>
          <w:tcPr>
            <w:tcW w:w="4032" w:type="dxa"/>
            <w:tcBorders>
              <w:top w:val="nil"/>
              <w:left w:val="nil"/>
              <w:bottom w:val="nil"/>
              <w:right w:val="nil"/>
            </w:tcBorders>
            <w:shd w:val="clear" w:color="auto" w:fill="auto"/>
            <w:noWrap/>
            <w:vAlign w:val="bottom"/>
            <w:hideMark/>
          </w:tcPr>
          <w:p w14:paraId="199A5864"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Likviditás</w:t>
            </w:r>
          </w:p>
        </w:tc>
        <w:tc>
          <w:tcPr>
            <w:tcW w:w="965" w:type="dxa"/>
            <w:tcBorders>
              <w:top w:val="nil"/>
              <w:left w:val="nil"/>
              <w:bottom w:val="nil"/>
              <w:right w:val="nil"/>
            </w:tcBorders>
            <w:shd w:val="clear" w:color="auto" w:fill="auto"/>
            <w:noWrap/>
            <w:vAlign w:val="bottom"/>
            <w:hideMark/>
          </w:tcPr>
          <w:p w14:paraId="513DAAF3"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5.1</w:t>
            </w:r>
          </w:p>
        </w:tc>
        <w:tc>
          <w:tcPr>
            <w:tcW w:w="797" w:type="dxa"/>
            <w:tcBorders>
              <w:top w:val="nil"/>
              <w:left w:val="nil"/>
              <w:bottom w:val="nil"/>
              <w:right w:val="nil"/>
            </w:tcBorders>
            <w:shd w:val="clear" w:color="auto" w:fill="auto"/>
            <w:noWrap/>
            <w:vAlign w:val="bottom"/>
            <w:hideMark/>
          </w:tcPr>
          <w:p w14:paraId="45D41613"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6.3</w:t>
            </w:r>
          </w:p>
        </w:tc>
        <w:tc>
          <w:tcPr>
            <w:tcW w:w="750" w:type="dxa"/>
            <w:tcBorders>
              <w:top w:val="nil"/>
              <w:left w:val="nil"/>
              <w:bottom w:val="nil"/>
              <w:right w:val="nil"/>
            </w:tcBorders>
            <w:shd w:val="clear" w:color="auto" w:fill="auto"/>
            <w:noWrap/>
            <w:vAlign w:val="bottom"/>
            <w:hideMark/>
          </w:tcPr>
          <w:p w14:paraId="745FC305"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4.3</w:t>
            </w:r>
          </w:p>
        </w:tc>
        <w:tc>
          <w:tcPr>
            <w:tcW w:w="797" w:type="dxa"/>
            <w:tcBorders>
              <w:top w:val="nil"/>
              <w:left w:val="nil"/>
              <w:bottom w:val="nil"/>
              <w:right w:val="nil"/>
            </w:tcBorders>
            <w:shd w:val="clear" w:color="auto" w:fill="auto"/>
            <w:noWrap/>
            <w:vAlign w:val="bottom"/>
            <w:hideMark/>
          </w:tcPr>
          <w:p w14:paraId="18C99B24"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-1</w:t>
            </w:r>
          </w:p>
        </w:tc>
        <w:tc>
          <w:tcPr>
            <w:tcW w:w="1552" w:type="dxa"/>
            <w:tcBorders>
              <w:top w:val="nil"/>
              <w:left w:val="nil"/>
              <w:bottom w:val="nil"/>
              <w:right w:val="nil"/>
            </w:tcBorders>
            <w:shd w:val="clear" w:color="auto" w:fill="auto"/>
            <w:noWrap/>
            <w:vAlign w:val="bottom"/>
            <w:hideMark/>
          </w:tcPr>
          <w:p w14:paraId="09518587"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4.3</w:t>
            </w:r>
          </w:p>
        </w:tc>
      </w:tr>
      <w:tr w:rsidR="00634ABA" w:rsidRPr="00986F85" w14:paraId="5363B32D" w14:textId="77777777" w:rsidTr="00476987">
        <w:trPr>
          <w:trHeight w:val="285"/>
        </w:trPr>
        <w:tc>
          <w:tcPr>
            <w:tcW w:w="406" w:type="dxa"/>
            <w:vMerge/>
            <w:tcBorders>
              <w:top w:val="nil"/>
              <w:left w:val="nil"/>
              <w:bottom w:val="nil"/>
              <w:right w:val="nil"/>
            </w:tcBorders>
            <w:vAlign w:val="center"/>
            <w:hideMark/>
          </w:tcPr>
          <w:p w14:paraId="172A25A2" w14:textId="77777777" w:rsidR="00634ABA" w:rsidRPr="00986F85" w:rsidRDefault="00634ABA" w:rsidP="00476987">
            <w:pPr>
              <w:spacing w:after="0" w:line="240" w:lineRule="auto"/>
              <w:rPr>
                <w:rFonts w:eastAsia="Times New Roman"/>
                <w:color w:val="000000"/>
                <w:lang w:eastAsia="hu-HU"/>
              </w:rPr>
            </w:pPr>
          </w:p>
        </w:tc>
        <w:tc>
          <w:tcPr>
            <w:tcW w:w="4032" w:type="dxa"/>
            <w:tcBorders>
              <w:top w:val="nil"/>
              <w:left w:val="nil"/>
              <w:bottom w:val="nil"/>
              <w:right w:val="nil"/>
            </w:tcBorders>
            <w:shd w:val="clear" w:color="auto" w:fill="auto"/>
            <w:noWrap/>
            <w:vAlign w:val="bottom"/>
            <w:hideMark/>
          </w:tcPr>
          <w:p w14:paraId="46F2827B"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Üzemi eredmény</w:t>
            </w:r>
          </w:p>
        </w:tc>
        <w:tc>
          <w:tcPr>
            <w:tcW w:w="965" w:type="dxa"/>
            <w:tcBorders>
              <w:top w:val="nil"/>
              <w:left w:val="nil"/>
              <w:bottom w:val="nil"/>
              <w:right w:val="nil"/>
            </w:tcBorders>
            <w:shd w:val="clear" w:color="auto" w:fill="auto"/>
            <w:noWrap/>
            <w:vAlign w:val="bottom"/>
            <w:hideMark/>
          </w:tcPr>
          <w:p w14:paraId="60847F39"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2879</w:t>
            </w:r>
          </w:p>
        </w:tc>
        <w:tc>
          <w:tcPr>
            <w:tcW w:w="797" w:type="dxa"/>
            <w:tcBorders>
              <w:top w:val="nil"/>
              <w:left w:val="nil"/>
              <w:bottom w:val="nil"/>
              <w:right w:val="nil"/>
            </w:tcBorders>
            <w:shd w:val="clear" w:color="auto" w:fill="auto"/>
            <w:noWrap/>
            <w:vAlign w:val="bottom"/>
            <w:hideMark/>
          </w:tcPr>
          <w:p w14:paraId="5611A60A"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430.5</w:t>
            </w:r>
          </w:p>
        </w:tc>
        <w:tc>
          <w:tcPr>
            <w:tcW w:w="750" w:type="dxa"/>
            <w:tcBorders>
              <w:top w:val="nil"/>
              <w:left w:val="nil"/>
              <w:bottom w:val="nil"/>
              <w:right w:val="nil"/>
            </w:tcBorders>
            <w:shd w:val="clear" w:color="auto" w:fill="auto"/>
            <w:noWrap/>
            <w:vAlign w:val="bottom"/>
            <w:hideMark/>
          </w:tcPr>
          <w:p w14:paraId="7E1BC2E4"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-793</w:t>
            </w:r>
          </w:p>
        </w:tc>
        <w:tc>
          <w:tcPr>
            <w:tcW w:w="797" w:type="dxa"/>
            <w:tcBorders>
              <w:top w:val="nil"/>
              <w:left w:val="nil"/>
              <w:bottom w:val="nil"/>
              <w:right w:val="nil"/>
            </w:tcBorders>
            <w:shd w:val="clear" w:color="auto" w:fill="auto"/>
            <w:noWrap/>
            <w:vAlign w:val="bottom"/>
            <w:hideMark/>
          </w:tcPr>
          <w:p w14:paraId="0A10AF4D"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-1703</w:t>
            </w:r>
          </w:p>
        </w:tc>
        <w:tc>
          <w:tcPr>
            <w:tcW w:w="1552" w:type="dxa"/>
            <w:tcBorders>
              <w:top w:val="nil"/>
              <w:left w:val="nil"/>
              <w:bottom w:val="nil"/>
              <w:right w:val="nil"/>
            </w:tcBorders>
            <w:shd w:val="clear" w:color="auto" w:fill="auto"/>
            <w:noWrap/>
            <w:vAlign w:val="bottom"/>
            <w:hideMark/>
          </w:tcPr>
          <w:p w14:paraId="3D21C3DC"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347.5</w:t>
            </w:r>
          </w:p>
        </w:tc>
      </w:tr>
      <w:tr w:rsidR="00634ABA" w:rsidRPr="00986F85" w14:paraId="7FF90C53" w14:textId="77777777" w:rsidTr="00476987">
        <w:trPr>
          <w:trHeight w:val="285"/>
        </w:trPr>
        <w:tc>
          <w:tcPr>
            <w:tcW w:w="406" w:type="dxa"/>
            <w:vMerge/>
            <w:tcBorders>
              <w:top w:val="nil"/>
              <w:left w:val="nil"/>
              <w:bottom w:val="nil"/>
              <w:right w:val="nil"/>
            </w:tcBorders>
            <w:vAlign w:val="center"/>
            <w:hideMark/>
          </w:tcPr>
          <w:p w14:paraId="32DDA089" w14:textId="77777777" w:rsidR="00634ABA" w:rsidRPr="00986F85" w:rsidRDefault="00634ABA" w:rsidP="00476987">
            <w:pPr>
              <w:spacing w:after="0" w:line="240" w:lineRule="auto"/>
              <w:rPr>
                <w:rFonts w:eastAsia="Times New Roman"/>
                <w:color w:val="000000"/>
                <w:lang w:eastAsia="hu-HU"/>
              </w:rPr>
            </w:pPr>
          </w:p>
        </w:tc>
        <w:tc>
          <w:tcPr>
            <w:tcW w:w="4032" w:type="dxa"/>
            <w:tcBorders>
              <w:top w:val="nil"/>
              <w:left w:val="nil"/>
              <w:bottom w:val="nil"/>
              <w:right w:val="nil"/>
            </w:tcBorders>
            <w:shd w:val="clear" w:color="auto" w:fill="auto"/>
            <w:noWrap/>
            <w:vAlign w:val="bottom"/>
            <w:hideMark/>
          </w:tcPr>
          <w:p w14:paraId="7B6483C7"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Egy foglalkoztatottra eső üzemi eredmény</w:t>
            </w:r>
          </w:p>
        </w:tc>
        <w:tc>
          <w:tcPr>
            <w:tcW w:w="965" w:type="dxa"/>
            <w:tcBorders>
              <w:top w:val="nil"/>
              <w:left w:val="nil"/>
              <w:bottom w:val="nil"/>
              <w:right w:val="nil"/>
            </w:tcBorders>
            <w:shd w:val="clear" w:color="auto" w:fill="auto"/>
            <w:noWrap/>
            <w:vAlign w:val="bottom"/>
            <w:hideMark/>
          </w:tcPr>
          <w:p w14:paraId="5A206B98"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111.2</w:t>
            </w:r>
          </w:p>
        </w:tc>
        <w:tc>
          <w:tcPr>
            <w:tcW w:w="797" w:type="dxa"/>
            <w:tcBorders>
              <w:top w:val="nil"/>
              <w:left w:val="nil"/>
              <w:bottom w:val="nil"/>
              <w:right w:val="nil"/>
            </w:tcBorders>
            <w:shd w:val="clear" w:color="auto" w:fill="auto"/>
            <w:noWrap/>
            <w:vAlign w:val="bottom"/>
            <w:hideMark/>
          </w:tcPr>
          <w:p w14:paraId="28CC7B44"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-82.2</w:t>
            </w:r>
          </w:p>
        </w:tc>
        <w:tc>
          <w:tcPr>
            <w:tcW w:w="750" w:type="dxa"/>
            <w:tcBorders>
              <w:top w:val="nil"/>
              <w:left w:val="nil"/>
              <w:bottom w:val="nil"/>
              <w:right w:val="nil"/>
            </w:tcBorders>
            <w:shd w:val="clear" w:color="auto" w:fill="auto"/>
            <w:noWrap/>
            <w:vAlign w:val="bottom"/>
            <w:hideMark/>
          </w:tcPr>
          <w:p w14:paraId="47A19966"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-138.6</w:t>
            </w:r>
          </w:p>
        </w:tc>
        <w:tc>
          <w:tcPr>
            <w:tcW w:w="797" w:type="dxa"/>
            <w:tcBorders>
              <w:top w:val="nil"/>
              <w:left w:val="nil"/>
              <w:bottom w:val="nil"/>
              <w:right w:val="nil"/>
            </w:tcBorders>
            <w:shd w:val="clear" w:color="auto" w:fill="auto"/>
            <w:noWrap/>
            <w:vAlign w:val="bottom"/>
            <w:hideMark/>
          </w:tcPr>
          <w:p w14:paraId="1D86B2A7"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-120.2</w:t>
            </w:r>
          </w:p>
        </w:tc>
        <w:tc>
          <w:tcPr>
            <w:tcW w:w="1552" w:type="dxa"/>
            <w:tcBorders>
              <w:top w:val="nil"/>
              <w:left w:val="nil"/>
              <w:bottom w:val="nil"/>
              <w:right w:val="nil"/>
            </w:tcBorders>
            <w:shd w:val="clear" w:color="auto" w:fill="auto"/>
            <w:noWrap/>
            <w:vAlign w:val="bottom"/>
            <w:hideMark/>
          </w:tcPr>
          <w:p w14:paraId="538066EA"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-69.8</w:t>
            </w:r>
          </w:p>
        </w:tc>
      </w:tr>
      <w:tr w:rsidR="00634ABA" w:rsidRPr="00986F85" w14:paraId="7DD690D7" w14:textId="77777777" w:rsidTr="00476987">
        <w:trPr>
          <w:trHeight w:val="285"/>
        </w:trPr>
        <w:tc>
          <w:tcPr>
            <w:tcW w:w="406" w:type="dxa"/>
            <w:vMerge/>
            <w:tcBorders>
              <w:top w:val="nil"/>
              <w:left w:val="nil"/>
              <w:bottom w:val="nil"/>
              <w:right w:val="nil"/>
            </w:tcBorders>
            <w:vAlign w:val="center"/>
            <w:hideMark/>
          </w:tcPr>
          <w:p w14:paraId="105ACCE2" w14:textId="77777777" w:rsidR="00634ABA" w:rsidRPr="00986F85" w:rsidRDefault="00634ABA" w:rsidP="00476987">
            <w:pPr>
              <w:spacing w:after="0" w:line="240" w:lineRule="auto"/>
              <w:rPr>
                <w:rFonts w:eastAsia="Times New Roman"/>
                <w:color w:val="000000"/>
                <w:lang w:eastAsia="hu-HU"/>
              </w:rPr>
            </w:pPr>
          </w:p>
        </w:tc>
        <w:tc>
          <w:tcPr>
            <w:tcW w:w="4032" w:type="dxa"/>
            <w:tcBorders>
              <w:top w:val="nil"/>
              <w:left w:val="nil"/>
              <w:bottom w:val="nil"/>
              <w:right w:val="nil"/>
            </w:tcBorders>
            <w:shd w:val="clear" w:color="auto" w:fill="auto"/>
            <w:noWrap/>
            <w:vAlign w:val="bottom"/>
            <w:hideMark/>
          </w:tcPr>
          <w:p w14:paraId="0672AFFB"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Hozzáadott érték</w:t>
            </w:r>
          </w:p>
        </w:tc>
        <w:tc>
          <w:tcPr>
            <w:tcW w:w="965" w:type="dxa"/>
            <w:tcBorders>
              <w:top w:val="nil"/>
              <w:left w:val="nil"/>
              <w:bottom w:val="nil"/>
              <w:right w:val="nil"/>
            </w:tcBorders>
            <w:shd w:val="clear" w:color="auto" w:fill="auto"/>
            <w:noWrap/>
            <w:vAlign w:val="bottom"/>
            <w:hideMark/>
          </w:tcPr>
          <w:p w14:paraId="78D5D44C"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17838.5</w:t>
            </w:r>
          </w:p>
        </w:tc>
        <w:tc>
          <w:tcPr>
            <w:tcW w:w="797" w:type="dxa"/>
            <w:tcBorders>
              <w:top w:val="nil"/>
              <w:left w:val="nil"/>
              <w:bottom w:val="nil"/>
              <w:right w:val="nil"/>
            </w:tcBorders>
            <w:shd w:val="clear" w:color="auto" w:fill="auto"/>
            <w:noWrap/>
            <w:vAlign w:val="bottom"/>
            <w:hideMark/>
          </w:tcPr>
          <w:p w14:paraId="3E3E5694"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9937.5</w:t>
            </w:r>
          </w:p>
        </w:tc>
        <w:tc>
          <w:tcPr>
            <w:tcW w:w="750" w:type="dxa"/>
            <w:tcBorders>
              <w:top w:val="nil"/>
              <w:left w:val="nil"/>
              <w:bottom w:val="nil"/>
              <w:right w:val="nil"/>
            </w:tcBorders>
            <w:shd w:val="clear" w:color="auto" w:fill="auto"/>
            <w:noWrap/>
            <w:vAlign w:val="bottom"/>
            <w:hideMark/>
          </w:tcPr>
          <w:p w14:paraId="788C460D"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6003</w:t>
            </w:r>
          </w:p>
        </w:tc>
        <w:tc>
          <w:tcPr>
            <w:tcW w:w="797" w:type="dxa"/>
            <w:tcBorders>
              <w:top w:val="nil"/>
              <w:left w:val="nil"/>
              <w:bottom w:val="nil"/>
              <w:right w:val="nil"/>
            </w:tcBorders>
            <w:shd w:val="clear" w:color="auto" w:fill="auto"/>
            <w:noWrap/>
            <w:vAlign w:val="bottom"/>
            <w:hideMark/>
          </w:tcPr>
          <w:p w14:paraId="38685C35"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6487.5</w:t>
            </w:r>
          </w:p>
        </w:tc>
        <w:tc>
          <w:tcPr>
            <w:tcW w:w="1552" w:type="dxa"/>
            <w:tcBorders>
              <w:top w:val="nil"/>
              <w:left w:val="nil"/>
              <w:bottom w:val="nil"/>
              <w:right w:val="nil"/>
            </w:tcBorders>
            <w:shd w:val="clear" w:color="auto" w:fill="auto"/>
            <w:noWrap/>
            <w:vAlign w:val="bottom"/>
            <w:hideMark/>
          </w:tcPr>
          <w:p w14:paraId="16A61DEB"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9277</w:t>
            </w:r>
          </w:p>
        </w:tc>
      </w:tr>
      <w:tr w:rsidR="00634ABA" w:rsidRPr="00986F85" w14:paraId="63EA2C03" w14:textId="77777777" w:rsidTr="00476987">
        <w:trPr>
          <w:trHeight w:val="285"/>
        </w:trPr>
        <w:tc>
          <w:tcPr>
            <w:tcW w:w="406" w:type="dxa"/>
            <w:vMerge/>
            <w:tcBorders>
              <w:top w:val="nil"/>
              <w:left w:val="nil"/>
              <w:bottom w:val="nil"/>
              <w:right w:val="nil"/>
            </w:tcBorders>
            <w:vAlign w:val="center"/>
            <w:hideMark/>
          </w:tcPr>
          <w:p w14:paraId="2B7F8B75" w14:textId="77777777" w:rsidR="00634ABA" w:rsidRPr="00986F85" w:rsidRDefault="00634ABA" w:rsidP="00476987">
            <w:pPr>
              <w:spacing w:after="0" w:line="240" w:lineRule="auto"/>
              <w:rPr>
                <w:rFonts w:eastAsia="Times New Roman"/>
                <w:color w:val="000000"/>
                <w:lang w:eastAsia="hu-HU"/>
              </w:rPr>
            </w:pPr>
          </w:p>
        </w:tc>
        <w:tc>
          <w:tcPr>
            <w:tcW w:w="4032" w:type="dxa"/>
            <w:tcBorders>
              <w:top w:val="nil"/>
              <w:left w:val="nil"/>
              <w:bottom w:val="nil"/>
              <w:right w:val="nil"/>
            </w:tcBorders>
            <w:shd w:val="clear" w:color="auto" w:fill="auto"/>
            <w:noWrap/>
            <w:vAlign w:val="bottom"/>
            <w:hideMark/>
          </w:tcPr>
          <w:p w14:paraId="5715CB03"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Egy foglalkoztatottra eső hozzáadott érték</w:t>
            </w:r>
          </w:p>
        </w:tc>
        <w:tc>
          <w:tcPr>
            <w:tcW w:w="965" w:type="dxa"/>
            <w:tcBorders>
              <w:top w:val="nil"/>
              <w:left w:val="nil"/>
              <w:bottom w:val="nil"/>
              <w:right w:val="nil"/>
            </w:tcBorders>
            <w:shd w:val="clear" w:color="auto" w:fill="auto"/>
            <w:noWrap/>
            <w:vAlign w:val="bottom"/>
            <w:hideMark/>
          </w:tcPr>
          <w:p w14:paraId="7A1A252D"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686.5</w:t>
            </w:r>
          </w:p>
        </w:tc>
        <w:tc>
          <w:tcPr>
            <w:tcW w:w="797" w:type="dxa"/>
            <w:tcBorders>
              <w:top w:val="nil"/>
              <w:left w:val="nil"/>
              <w:bottom w:val="nil"/>
              <w:right w:val="nil"/>
            </w:tcBorders>
            <w:shd w:val="clear" w:color="auto" w:fill="auto"/>
            <w:noWrap/>
            <w:vAlign w:val="bottom"/>
            <w:hideMark/>
          </w:tcPr>
          <w:p w14:paraId="58112F8C"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346.8</w:t>
            </w:r>
          </w:p>
        </w:tc>
        <w:tc>
          <w:tcPr>
            <w:tcW w:w="750" w:type="dxa"/>
            <w:tcBorders>
              <w:top w:val="nil"/>
              <w:left w:val="nil"/>
              <w:bottom w:val="nil"/>
              <w:right w:val="nil"/>
            </w:tcBorders>
            <w:shd w:val="clear" w:color="auto" w:fill="auto"/>
            <w:noWrap/>
            <w:vAlign w:val="bottom"/>
            <w:hideMark/>
          </w:tcPr>
          <w:p w14:paraId="265A05F9"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257.1</w:t>
            </w:r>
          </w:p>
        </w:tc>
        <w:tc>
          <w:tcPr>
            <w:tcW w:w="797" w:type="dxa"/>
            <w:tcBorders>
              <w:top w:val="nil"/>
              <w:left w:val="nil"/>
              <w:bottom w:val="nil"/>
              <w:right w:val="nil"/>
            </w:tcBorders>
            <w:shd w:val="clear" w:color="auto" w:fill="auto"/>
            <w:noWrap/>
            <w:vAlign w:val="bottom"/>
            <w:hideMark/>
          </w:tcPr>
          <w:p w14:paraId="66A3DB73"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444.2</w:t>
            </w:r>
          </w:p>
        </w:tc>
        <w:tc>
          <w:tcPr>
            <w:tcW w:w="1552" w:type="dxa"/>
            <w:tcBorders>
              <w:top w:val="nil"/>
              <w:left w:val="nil"/>
              <w:bottom w:val="nil"/>
              <w:right w:val="nil"/>
            </w:tcBorders>
            <w:shd w:val="clear" w:color="auto" w:fill="auto"/>
            <w:noWrap/>
            <w:vAlign w:val="bottom"/>
            <w:hideMark/>
          </w:tcPr>
          <w:p w14:paraId="3726BB3F"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421.2</w:t>
            </w:r>
          </w:p>
        </w:tc>
      </w:tr>
      <w:tr w:rsidR="00634ABA" w:rsidRPr="00986F85" w14:paraId="124FBD7A" w14:textId="77777777" w:rsidTr="00476987">
        <w:trPr>
          <w:trHeight w:val="285"/>
        </w:trPr>
        <w:tc>
          <w:tcPr>
            <w:tcW w:w="406" w:type="dxa"/>
            <w:vMerge/>
            <w:tcBorders>
              <w:top w:val="nil"/>
              <w:left w:val="nil"/>
              <w:bottom w:val="nil"/>
              <w:right w:val="nil"/>
            </w:tcBorders>
            <w:vAlign w:val="center"/>
            <w:hideMark/>
          </w:tcPr>
          <w:p w14:paraId="29A75DE9" w14:textId="77777777" w:rsidR="00634ABA" w:rsidRPr="00986F85" w:rsidRDefault="00634ABA" w:rsidP="00476987">
            <w:pPr>
              <w:spacing w:after="0" w:line="240" w:lineRule="auto"/>
              <w:rPr>
                <w:rFonts w:eastAsia="Times New Roman"/>
                <w:color w:val="000000"/>
                <w:lang w:eastAsia="hu-HU"/>
              </w:rPr>
            </w:pPr>
          </w:p>
        </w:tc>
        <w:tc>
          <w:tcPr>
            <w:tcW w:w="4032" w:type="dxa"/>
            <w:tcBorders>
              <w:top w:val="nil"/>
              <w:left w:val="nil"/>
              <w:bottom w:val="nil"/>
              <w:right w:val="nil"/>
            </w:tcBorders>
            <w:shd w:val="clear" w:color="auto" w:fill="auto"/>
            <w:noWrap/>
            <w:vAlign w:val="bottom"/>
            <w:hideMark/>
          </w:tcPr>
          <w:p w14:paraId="14CA7FED"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ROA</w:t>
            </w:r>
          </w:p>
        </w:tc>
        <w:tc>
          <w:tcPr>
            <w:tcW w:w="965" w:type="dxa"/>
            <w:tcBorders>
              <w:top w:val="nil"/>
              <w:left w:val="nil"/>
              <w:bottom w:val="nil"/>
              <w:right w:val="nil"/>
            </w:tcBorders>
            <w:shd w:val="clear" w:color="auto" w:fill="auto"/>
            <w:noWrap/>
            <w:vAlign w:val="bottom"/>
            <w:hideMark/>
          </w:tcPr>
          <w:p w14:paraId="379A5721"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-0.01</w:t>
            </w:r>
          </w:p>
        </w:tc>
        <w:tc>
          <w:tcPr>
            <w:tcW w:w="797" w:type="dxa"/>
            <w:tcBorders>
              <w:top w:val="nil"/>
              <w:left w:val="nil"/>
              <w:bottom w:val="nil"/>
              <w:right w:val="nil"/>
            </w:tcBorders>
            <w:shd w:val="clear" w:color="auto" w:fill="auto"/>
            <w:noWrap/>
            <w:vAlign w:val="bottom"/>
            <w:hideMark/>
          </w:tcPr>
          <w:p w14:paraId="370D5106"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-0.024</w:t>
            </w:r>
          </w:p>
        </w:tc>
        <w:tc>
          <w:tcPr>
            <w:tcW w:w="750" w:type="dxa"/>
            <w:tcBorders>
              <w:top w:val="nil"/>
              <w:left w:val="nil"/>
              <w:bottom w:val="nil"/>
              <w:right w:val="nil"/>
            </w:tcBorders>
            <w:shd w:val="clear" w:color="auto" w:fill="auto"/>
            <w:noWrap/>
            <w:vAlign w:val="bottom"/>
            <w:hideMark/>
          </w:tcPr>
          <w:p w14:paraId="14EA2A53"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-0.035</w:t>
            </w:r>
          </w:p>
        </w:tc>
        <w:tc>
          <w:tcPr>
            <w:tcW w:w="797" w:type="dxa"/>
            <w:tcBorders>
              <w:top w:val="nil"/>
              <w:left w:val="nil"/>
              <w:bottom w:val="nil"/>
              <w:right w:val="nil"/>
            </w:tcBorders>
            <w:shd w:val="clear" w:color="auto" w:fill="auto"/>
            <w:noWrap/>
            <w:vAlign w:val="bottom"/>
            <w:hideMark/>
          </w:tcPr>
          <w:p w14:paraId="76666F24"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-0.024</w:t>
            </w:r>
          </w:p>
        </w:tc>
        <w:tc>
          <w:tcPr>
            <w:tcW w:w="1552" w:type="dxa"/>
            <w:tcBorders>
              <w:top w:val="nil"/>
              <w:left w:val="nil"/>
              <w:bottom w:val="nil"/>
              <w:right w:val="nil"/>
            </w:tcBorders>
            <w:shd w:val="clear" w:color="auto" w:fill="auto"/>
            <w:noWrap/>
            <w:vAlign w:val="bottom"/>
            <w:hideMark/>
          </w:tcPr>
          <w:p w14:paraId="52C2B2BC" w14:textId="77777777" w:rsidR="00634ABA" w:rsidRPr="00986F85" w:rsidRDefault="00634ABA" w:rsidP="00476987">
            <w:pPr>
              <w:spacing w:after="0" w:line="240" w:lineRule="auto"/>
              <w:jc w:val="center"/>
              <w:rPr>
                <w:rFonts w:eastAsia="Times New Roman"/>
                <w:color w:val="000000"/>
                <w:lang w:eastAsia="hu-HU"/>
              </w:rPr>
            </w:pPr>
            <w:r w:rsidRPr="00986F85">
              <w:rPr>
                <w:rFonts w:eastAsia="Times New Roman"/>
                <w:color w:val="000000"/>
                <w:lang w:eastAsia="hu-HU"/>
              </w:rPr>
              <w:t>-0.027</w:t>
            </w:r>
          </w:p>
        </w:tc>
      </w:tr>
    </w:tbl>
    <w:p w14:paraId="1824A95F" w14:textId="77777777" w:rsidR="00634ABA" w:rsidRPr="00986F85" w:rsidRDefault="00634ABA" w:rsidP="00634ABA"/>
    <w:p w14:paraId="51824FE4" w14:textId="77777777" w:rsidR="00634ABA" w:rsidRPr="00986F85" w:rsidRDefault="00634ABA" w:rsidP="00634ABA">
      <w:r w:rsidRPr="00986F85">
        <w:br w:type="page"/>
      </w:r>
    </w:p>
    <w:tbl>
      <w:tblPr>
        <w:tblW w:w="9441" w:type="dxa"/>
        <w:tblInd w:w="70" w:type="dxa"/>
        <w:tblCellMar>
          <w:left w:w="70" w:type="dxa"/>
          <w:right w:w="70" w:type="dxa"/>
        </w:tblCellMar>
        <w:tblLook w:val="04A0" w:firstRow="1" w:lastRow="0" w:firstColumn="1" w:lastColumn="0" w:noHBand="0" w:noVBand="1"/>
      </w:tblPr>
      <w:tblGrid>
        <w:gridCol w:w="444"/>
        <w:gridCol w:w="2568"/>
        <w:gridCol w:w="836"/>
        <w:gridCol w:w="748"/>
        <w:gridCol w:w="748"/>
        <w:gridCol w:w="748"/>
        <w:gridCol w:w="893"/>
        <w:gridCol w:w="893"/>
        <w:gridCol w:w="748"/>
        <w:gridCol w:w="893"/>
      </w:tblGrid>
      <w:tr w:rsidR="00634ABA" w:rsidRPr="00986F85" w14:paraId="1CF6EFF5" w14:textId="77777777" w:rsidTr="00476987">
        <w:trPr>
          <w:trHeight w:val="298"/>
        </w:trPr>
        <w:tc>
          <w:tcPr>
            <w:tcW w:w="9441" w:type="dxa"/>
            <w:gridSpan w:val="10"/>
            <w:tcBorders>
              <w:top w:val="nil"/>
              <w:left w:val="nil"/>
              <w:right w:val="nil"/>
            </w:tcBorders>
            <w:shd w:val="clear" w:color="000000" w:fill="B10000"/>
            <w:noWrap/>
            <w:vAlign w:val="bottom"/>
            <w:hideMark/>
          </w:tcPr>
          <w:p w14:paraId="0F3FC861" w14:textId="77777777" w:rsidR="00634ABA" w:rsidRPr="00986F85" w:rsidRDefault="00634ABA" w:rsidP="00476987">
            <w:pPr>
              <w:spacing w:after="0" w:line="240" w:lineRule="auto"/>
              <w:jc w:val="center"/>
              <w:rPr>
                <w:rFonts w:eastAsia="Times New Roman"/>
                <w:b/>
                <w:bCs/>
                <w:color w:val="FFFFFF"/>
                <w:lang w:eastAsia="hu-HU"/>
              </w:rPr>
            </w:pPr>
            <w:r w:rsidRPr="00986F85">
              <w:rPr>
                <w:rFonts w:eastAsia="Times New Roman"/>
                <w:b/>
                <w:bCs/>
                <w:color w:val="FFFFFF"/>
                <w:lang w:eastAsia="hu-HU"/>
              </w:rPr>
              <w:lastRenderedPageBreak/>
              <w:t>Főbb indikátorok változásának mediánja régió szerinti bontásban (2009/2008)</w:t>
            </w:r>
          </w:p>
        </w:tc>
      </w:tr>
      <w:tr w:rsidR="00634ABA" w:rsidRPr="00986F85" w14:paraId="6EE92C63" w14:textId="77777777" w:rsidTr="00476987">
        <w:trPr>
          <w:trHeight w:val="1969"/>
        </w:trPr>
        <w:tc>
          <w:tcPr>
            <w:tcW w:w="365" w:type="dxa"/>
            <w:tcBorders>
              <w:top w:val="nil"/>
              <w:left w:val="nil"/>
              <w:bottom w:val="nil"/>
              <w:right w:val="nil"/>
            </w:tcBorders>
            <w:shd w:val="clear" w:color="auto" w:fill="B10000"/>
            <w:noWrap/>
            <w:vAlign w:val="bottom"/>
            <w:hideMark/>
          </w:tcPr>
          <w:p w14:paraId="48603EC1" w14:textId="77777777" w:rsidR="00634ABA" w:rsidRPr="00986F85" w:rsidRDefault="00634ABA" w:rsidP="00476987">
            <w:pPr>
              <w:spacing w:after="0" w:line="240" w:lineRule="auto"/>
              <w:rPr>
                <w:rFonts w:eastAsia="Times New Roman"/>
                <w:color w:val="FFFFFF" w:themeColor="background1"/>
                <w:lang w:eastAsia="hu-HU"/>
              </w:rPr>
            </w:pPr>
          </w:p>
        </w:tc>
        <w:tc>
          <w:tcPr>
            <w:tcW w:w="2568" w:type="dxa"/>
            <w:tcBorders>
              <w:top w:val="nil"/>
              <w:left w:val="nil"/>
              <w:bottom w:val="nil"/>
              <w:right w:val="nil"/>
            </w:tcBorders>
            <w:shd w:val="clear" w:color="auto" w:fill="B10000"/>
            <w:noWrap/>
            <w:vAlign w:val="bottom"/>
            <w:hideMark/>
          </w:tcPr>
          <w:p w14:paraId="2F544729" w14:textId="77777777" w:rsidR="00634ABA" w:rsidRPr="00986F85" w:rsidRDefault="00634ABA" w:rsidP="00476987">
            <w:pPr>
              <w:spacing w:after="0" w:line="240" w:lineRule="auto"/>
              <w:rPr>
                <w:rFonts w:eastAsia="Times New Roman"/>
                <w:color w:val="FFFFFF" w:themeColor="background1"/>
                <w:lang w:eastAsia="hu-HU"/>
              </w:rPr>
            </w:pPr>
          </w:p>
        </w:tc>
        <w:tc>
          <w:tcPr>
            <w:tcW w:w="836" w:type="dxa"/>
            <w:tcBorders>
              <w:top w:val="nil"/>
              <w:left w:val="nil"/>
              <w:bottom w:val="nil"/>
              <w:right w:val="nil"/>
            </w:tcBorders>
            <w:shd w:val="clear" w:color="auto" w:fill="B10000"/>
            <w:noWrap/>
            <w:textDirection w:val="btLr"/>
            <w:vAlign w:val="bottom"/>
            <w:hideMark/>
          </w:tcPr>
          <w:p w14:paraId="4F3AA997"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Közép-Magyarország</w:t>
            </w:r>
          </w:p>
        </w:tc>
        <w:tc>
          <w:tcPr>
            <w:tcW w:w="748" w:type="dxa"/>
            <w:tcBorders>
              <w:top w:val="nil"/>
              <w:left w:val="nil"/>
              <w:bottom w:val="nil"/>
              <w:right w:val="nil"/>
            </w:tcBorders>
            <w:shd w:val="clear" w:color="auto" w:fill="B10000"/>
            <w:noWrap/>
            <w:textDirection w:val="btLr"/>
            <w:vAlign w:val="bottom"/>
            <w:hideMark/>
          </w:tcPr>
          <w:p w14:paraId="1888DA74"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Közép-Dunántúl</w:t>
            </w:r>
          </w:p>
        </w:tc>
        <w:tc>
          <w:tcPr>
            <w:tcW w:w="748" w:type="dxa"/>
            <w:tcBorders>
              <w:top w:val="nil"/>
              <w:left w:val="nil"/>
              <w:bottom w:val="nil"/>
              <w:right w:val="nil"/>
            </w:tcBorders>
            <w:shd w:val="clear" w:color="auto" w:fill="B10000"/>
            <w:noWrap/>
            <w:textDirection w:val="btLr"/>
            <w:vAlign w:val="bottom"/>
            <w:hideMark/>
          </w:tcPr>
          <w:p w14:paraId="55314A63"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Nyugat-Dunántúl</w:t>
            </w:r>
          </w:p>
        </w:tc>
        <w:tc>
          <w:tcPr>
            <w:tcW w:w="748" w:type="dxa"/>
            <w:tcBorders>
              <w:top w:val="nil"/>
              <w:left w:val="nil"/>
              <w:bottom w:val="nil"/>
              <w:right w:val="nil"/>
            </w:tcBorders>
            <w:shd w:val="clear" w:color="auto" w:fill="B10000"/>
            <w:noWrap/>
            <w:textDirection w:val="btLr"/>
            <w:vAlign w:val="bottom"/>
            <w:hideMark/>
          </w:tcPr>
          <w:p w14:paraId="5EFFA549"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Dél-Dunántúl</w:t>
            </w:r>
          </w:p>
        </w:tc>
        <w:tc>
          <w:tcPr>
            <w:tcW w:w="893" w:type="dxa"/>
            <w:tcBorders>
              <w:top w:val="nil"/>
              <w:left w:val="nil"/>
              <w:bottom w:val="nil"/>
              <w:right w:val="nil"/>
            </w:tcBorders>
            <w:shd w:val="clear" w:color="auto" w:fill="B10000"/>
            <w:noWrap/>
            <w:textDirection w:val="btLr"/>
            <w:vAlign w:val="bottom"/>
            <w:hideMark/>
          </w:tcPr>
          <w:p w14:paraId="1074BBE3"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Észak-Magyarország</w:t>
            </w:r>
          </w:p>
        </w:tc>
        <w:tc>
          <w:tcPr>
            <w:tcW w:w="893" w:type="dxa"/>
            <w:tcBorders>
              <w:top w:val="nil"/>
              <w:left w:val="nil"/>
              <w:bottom w:val="nil"/>
              <w:right w:val="nil"/>
            </w:tcBorders>
            <w:shd w:val="clear" w:color="auto" w:fill="B10000"/>
            <w:noWrap/>
            <w:textDirection w:val="btLr"/>
            <w:vAlign w:val="bottom"/>
            <w:hideMark/>
          </w:tcPr>
          <w:p w14:paraId="6958A930"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Észak-Alföld</w:t>
            </w:r>
          </w:p>
        </w:tc>
        <w:tc>
          <w:tcPr>
            <w:tcW w:w="748" w:type="dxa"/>
            <w:tcBorders>
              <w:top w:val="nil"/>
              <w:left w:val="nil"/>
              <w:bottom w:val="nil"/>
              <w:right w:val="nil"/>
            </w:tcBorders>
            <w:shd w:val="clear" w:color="auto" w:fill="B10000"/>
            <w:noWrap/>
            <w:textDirection w:val="btLr"/>
            <w:vAlign w:val="bottom"/>
            <w:hideMark/>
          </w:tcPr>
          <w:p w14:paraId="095F7959"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Dél-Alföld</w:t>
            </w:r>
          </w:p>
        </w:tc>
        <w:tc>
          <w:tcPr>
            <w:tcW w:w="893" w:type="dxa"/>
            <w:tcBorders>
              <w:top w:val="nil"/>
              <w:left w:val="nil"/>
              <w:bottom w:val="nil"/>
              <w:right w:val="nil"/>
            </w:tcBorders>
            <w:shd w:val="clear" w:color="auto" w:fill="B10000"/>
            <w:noWrap/>
            <w:textDirection w:val="btLr"/>
            <w:vAlign w:val="bottom"/>
            <w:hideMark/>
          </w:tcPr>
          <w:p w14:paraId="2EBEF5D1"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Országos átlag</w:t>
            </w:r>
          </w:p>
        </w:tc>
      </w:tr>
      <w:tr w:rsidR="00634ABA" w:rsidRPr="00986F85" w14:paraId="2EDDC0BE" w14:textId="77777777" w:rsidTr="00476987">
        <w:trPr>
          <w:trHeight w:val="283"/>
        </w:trPr>
        <w:tc>
          <w:tcPr>
            <w:tcW w:w="365" w:type="dxa"/>
            <w:vMerge w:val="restart"/>
            <w:tcBorders>
              <w:top w:val="nil"/>
              <w:left w:val="nil"/>
              <w:bottom w:val="nil"/>
              <w:right w:val="nil"/>
            </w:tcBorders>
            <w:shd w:val="clear" w:color="auto" w:fill="auto"/>
            <w:noWrap/>
            <w:textDirection w:val="btLr"/>
            <w:vAlign w:val="bottom"/>
            <w:hideMark/>
          </w:tcPr>
          <w:p w14:paraId="0258CD87" w14:textId="77777777" w:rsidR="00634ABA" w:rsidRPr="00986F85" w:rsidRDefault="00634ABA" w:rsidP="00476987">
            <w:pPr>
              <w:spacing w:after="0" w:line="240" w:lineRule="auto"/>
              <w:jc w:val="center"/>
              <w:rPr>
                <w:rFonts w:eastAsia="Times New Roman"/>
                <w:b/>
                <w:color w:val="000000"/>
                <w:lang w:eastAsia="hu-HU"/>
              </w:rPr>
            </w:pPr>
            <w:r w:rsidRPr="00986F85">
              <w:rPr>
                <w:rFonts w:eastAsia="Times New Roman"/>
                <w:b/>
                <w:color w:val="000000"/>
                <w:lang w:eastAsia="hu-HU"/>
              </w:rPr>
              <w:t>Kontroll</w:t>
            </w:r>
          </w:p>
        </w:tc>
        <w:tc>
          <w:tcPr>
            <w:tcW w:w="2568" w:type="dxa"/>
            <w:tcBorders>
              <w:top w:val="nil"/>
              <w:left w:val="nil"/>
              <w:bottom w:val="nil"/>
              <w:right w:val="nil"/>
            </w:tcBorders>
            <w:shd w:val="clear" w:color="auto" w:fill="auto"/>
            <w:noWrap/>
            <w:vAlign w:val="bottom"/>
            <w:hideMark/>
          </w:tcPr>
          <w:p w14:paraId="23D15563"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Foglalkoztatottak száma (%)</w:t>
            </w:r>
          </w:p>
        </w:tc>
        <w:tc>
          <w:tcPr>
            <w:tcW w:w="836" w:type="dxa"/>
            <w:tcBorders>
              <w:top w:val="nil"/>
              <w:left w:val="nil"/>
              <w:bottom w:val="nil"/>
              <w:right w:val="nil"/>
            </w:tcBorders>
            <w:shd w:val="clear" w:color="auto" w:fill="auto"/>
            <w:noWrap/>
            <w:vAlign w:val="bottom"/>
            <w:hideMark/>
          </w:tcPr>
          <w:p w14:paraId="30C58A4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748" w:type="dxa"/>
            <w:tcBorders>
              <w:top w:val="nil"/>
              <w:left w:val="nil"/>
              <w:bottom w:val="nil"/>
              <w:right w:val="nil"/>
            </w:tcBorders>
            <w:shd w:val="clear" w:color="auto" w:fill="auto"/>
            <w:noWrap/>
            <w:vAlign w:val="bottom"/>
            <w:hideMark/>
          </w:tcPr>
          <w:p w14:paraId="255702C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748" w:type="dxa"/>
            <w:tcBorders>
              <w:top w:val="nil"/>
              <w:left w:val="nil"/>
              <w:bottom w:val="nil"/>
              <w:right w:val="nil"/>
            </w:tcBorders>
            <w:shd w:val="clear" w:color="auto" w:fill="auto"/>
            <w:noWrap/>
            <w:vAlign w:val="bottom"/>
            <w:hideMark/>
          </w:tcPr>
          <w:p w14:paraId="1611D06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748" w:type="dxa"/>
            <w:tcBorders>
              <w:top w:val="nil"/>
              <w:left w:val="nil"/>
              <w:bottom w:val="nil"/>
              <w:right w:val="nil"/>
            </w:tcBorders>
            <w:shd w:val="clear" w:color="auto" w:fill="auto"/>
            <w:noWrap/>
            <w:vAlign w:val="bottom"/>
            <w:hideMark/>
          </w:tcPr>
          <w:p w14:paraId="4475BA6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93" w:type="dxa"/>
            <w:tcBorders>
              <w:top w:val="nil"/>
              <w:left w:val="nil"/>
              <w:bottom w:val="nil"/>
              <w:right w:val="nil"/>
            </w:tcBorders>
            <w:shd w:val="clear" w:color="auto" w:fill="auto"/>
            <w:noWrap/>
            <w:vAlign w:val="bottom"/>
            <w:hideMark/>
          </w:tcPr>
          <w:p w14:paraId="737D660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93" w:type="dxa"/>
            <w:tcBorders>
              <w:top w:val="nil"/>
              <w:left w:val="nil"/>
              <w:bottom w:val="nil"/>
              <w:right w:val="nil"/>
            </w:tcBorders>
            <w:shd w:val="clear" w:color="auto" w:fill="auto"/>
            <w:noWrap/>
            <w:vAlign w:val="bottom"/>
            <w:hideMark/>
          </w:tcPr>
          <w:p w14:paraId="2CBFD52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748" w:type="dxa"/>
            <w:tcBorders>
              <w:top w:val="nil"/>
              <w:left w:val="nil"/>
              <w:bottom w:val="nil"/>
              <w:right w:val="nil"/>
            </w:tcBorders>
            <w:shd w:val="clear" w:color="auto" w:fill="auto"/>
            <w:noWrap/>
            <w:vAlign w:val="bottom"/>
            <w:hideMark/>
          </w:tcPr>
          <w:p w14:paraId="56607B5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93" w:type="dxa"/>
            <w:tcBorders>
              <w:top w:val="nil"/>
              <w:left w:val="nil"/>
              <w:bottom w:val="nil"/>
              <w:right w:val="nil"/>
            </w:tcBorders>
            <w:shd w:val="clear" w:color="auto" w:fill="auto"/>
            <w:noWrap/>
            <w:vAlign w:val="bottom"/>
            <w:hideMark/>
          </w:tcPr>
          <w:p w14:paraId="4E690B2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r>
      <w:tr w:rsidR="00634ABA" w:rsidRPr="00986F85" w14:paraId="6D756F7A" w14:textId="77777777" w:rsidTr="00476987">
        <w:trPr>
          <w:trHeight w:val="283"/>
        </w:trPr>
        <w:tc>
          <w:tcPr>
            <w:tcW w:w="365" w:type="dxa"/>
            <w:vMerge/>
            <w:tcBorders>
              <w:top w:val="nil"/>
              <w:left w:val="nil"/>
              <w:bottom w:val="nil"/>
              <w:right w:val="nil"/>
            </w:tcBorders>
            <w:vAlign w:val="center"/>
            <w:hideMark/>
          </w:tcPr>
          <w:p w14:paraId="0C38103E" w14:textId="77777777" w:rsidR="00634ABA" w:rsidRPr="00986F85" w:rsidRDefault="00634ABA" w:rsidP="00476987">
            <w:pPr>
              <w:spacing w:after="0" w:line="240" w:lineRule="auto"/>
              <w:rPr>
                <w:rFonts w:eastAsia="Times New Roman"/>
                <w:color w:val="000000"/>
                <w:lang w:eastAsia="hu-HU"/>
              </w:rPr>
            </w:pPr>
          </w:p>
        </w:tc>
        <w:tc>
          <w:tcPr>
            <w:tcW w:w="2568" w:type="dxa"/>
            <w:tcBorders>
              <w:top w:val="nil"/>
              <w:left w:val="nil"/>
              <w:bottom w:val="nil"/>
              <w:right w:val="nil"/>
            </w:tcBorders>
            <w:shd w:val="clear" w:color="auto" w:fill="auto"/>
            <w:noWrap/>
            <w:vAlign w:val="bottom"/>
            <w:hideMark/>
          </w:tcPr>
          <w:p w14:paraId="5DD3DE7B"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Nettó árbevétel (%)</w:t>
            </w:r>
          </w:p>
        </w:tc>
        <w:tc>
          <w:tcPr>
            <w:tcW w:w="836" w:type="dxa"/>
            <w:tcBorders>
              <w:top w:val="nil"/>
              <w:left w:val="nil"/>
              <w:bottom w:val="nil"/>
              <w:right w:val="nil"/>
            </w:tcBorders>
            <w:shd w:val="clear" w:color="auto" w:fill="auto"/>
            <w:noWrap/>
            <w:vAlign w:val="bottom"/>
            <w:hideMark/>
          </w:tcPr>
          <w:p w14:paraId="240B0B3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-11.3</w:t>
            </w:r>
          </w:p>
        </w:tc>
        <w:tc>
          <w:tcPr>
            <w:tcW w:w="748" w:type="dxa"/>
            <w:tcBorders>
              <w:top w:val="nil"/>
              <w:left w:val="nil"/>
              <w:bottom w:val="nil"/>
              <w:right w:val="nil"/>
            </w:tcBorders>
            <w:shd w:val="clear" w:color="auto" w:fill="auto"/>
            <w:noWrap/>
            <w:vAlign w:val="bottom"/>
            <w:hideMark/>
          </w:tcPr>
          <w:p w14:paraId="56BA4AD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-12.8</w:t>
            </w:r>
          </w:p>
        </w:tc>
        <w:tc>
          <w:tcPr>
            <w:tcW w:w="748" w:type="dxa"/>
            <w:tcBorders>
              <w:top w:val="nil"/>
              <w:left w:val="nil"/>
              <w:bottom w:val="nil"/>
              <w:right w:val="nil"/>
            </w:tcBorders>
            <w:shd w:val="clear" w:color="auto" w:fill="auto"/>
            <w:noWrap/>
            <w:vAlign w:val="bottom"/>
            <w:hideMark/>
          </w:tcPr>
          <w:p w14:paraId="43D52E3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-9.7</w:t>
            </w:r>
          </w:p>
        </w:tc>
        <w:tc>
          <w:tcPr>
            <w:tcW w:w="748" w:type="dxa"/>
            <w:tcBorders>
              <w:top w:val="nil"/>
              <w:left w:val="nil"/>
              <w:bottom w:val="nil"/>
              <w:right w:val="nil"/>
            </w:tcBorders>
            <w:shd w:val="clear" w:color="auto" w:fill="auto"/>
            <w:noWrap/>
            <w:vAlign w:val="bottom"/>
            <w:hideMark/>
          </w:tcPr>
          <w:p w14:paraId="645A91E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-9.2</w:t>
            </w:r>
          </w:p>
        </w:tc>
        <w:tc>
          <w:tcPr>
            <w:tcW w:w="893" w:type="dxa"/>
            <w:tcBorders>
              <w:top w:val="nil"/>
              <w:left w:val="nil"/>
              <w:bottom w:val="nil"/>
              <w:right w:val="nil"/>
            </w:tcBorders>
            <w:shd w:val="clear" w:color="auto" w:fill="auto"/>
            <w:noWrap/>
            <w:vAlign w:val="bottom"/>
            <w:hideMark/>
          </w:tcPr>
          <w:p w14:paraId="019B2A6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-11.4</w:t>
            </w:r>
          </w:p>
        </w:tc>
        <w:tc>
          <w:tcPr>
            <w:tcW w:w="893" w:type="dxa"/>
            <w:tcBorders>
              <w:top w:val="nil"/>
              <w:left w:val="nil"/>
              <w:bottom w:val="nil"/>
              <w:right w:val="nil"/>
            </w:tcBorders>
            <w:shd w:val="clear" w:color="auto" w:fill="auto"/>
            <w:noWrap/>
            <w:vAlign w:val="bottom"/>
            <w:hideMark/>
          </w:tcPr>
          <w:p w14:paraId="38B7483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-9.7</w:t>
            </w:r>
          </w:p>
        </w:tc>
        <w:tc>
          <w:tcPr>
            <w:tcW w:w="748" w:type="dxa"/>
            <w:tcBorders>
              <w:top w:val="nil"/>
              <w:left w:val="nil"/>
              <w:bottom w:val="nil"/>
              <w:right w:val="nil"/>
            </w:tcBorders>
            <w:shd w:val="clear" w:color="auto" w:fill="auto"/>
            <w:noWrap/>
            <w:vAlign w:val="bottom"/>
            <w:hideMark/>
          </w:tcPr>
          <w:p w14:paraId="6A5AAE7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-11.2</w:t>
            </w:r>
          </w:p>
        </w:tc>
        <w:tc>
          <w:tcPr>
            <w:tcW w:w="893" w:type="dxa"/>
            <w:tcBorders>
              <w:top w:val="nil"/>
              <w:left w:val="nil"/>
              <w:bottom w:val="nil"/>
              <w:right w:val="nil"/>
            </w:tcBorders>
            <w:shd w:val="clear" w:color="auto" w:fill="auto"/>
            <w:noWrap/>
            <w:vAlign w:val="bottom"/>
            <w:hideMark/>
          </w:tcPr>
          <w:p w14:paraId="33E4D96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-10.9</w:t>
            </w:r>
          </w:p>
        </w:tc>
      </w:tr>
      <w:tr w:rsidR="00634ABA" w:rsidRPr="00986F85" w14:paraId="055E7222" w14:textId="77777777" w:rsidTr="00476987">
        <w:trPr>
          <w:trHeight w:val="283"/>
        </w:trPr>
        <w:tc>
          <w:tcPr>
            <w:tcW w:w="365" w:type="dxa"/>
            <w:vMerge/>
            <w:tcBorders>
              <w:top w:val="nil"/>
              <w:left w:val="nil"/>
              <w:bottom w:val="nil"/>
              <w:right w:val="nil"/>
            </w:tcBorders>
            <w:vAlign w:val="center"/>
            <w:hideMark/>
          </w:tcPr>
          <w:p w14:paraId="4D428F75" w14:textId="77777777" w:rsidR="00634ABA" w:rsidRPr="00986F85" w:rsidRDefault="00634ABA" w:rsidP="00476987">
            <w:pPr>
              <w:spacing w:after="0" w:line="240" w:lineRule="auto"/>
              <w:rPr>
                <w:rFonts w:eastAsia="Times New Roman"/>
                <w:color w:val="000000"/>
                <w:lang w:eastAsia="hu-HU"/>
              </w:rPr>
            </w:pPr>
          </w:p>
        </w:tc>
        <w:tc>
          <w:tcPr>
            <w:tcW w:w="2568" w:type="dxa"/>
            <w:tcBorders>
              <w:top w:val="nil"/>
              <w:left w:val="nil"/>
              <w:bottom w:val="nil"/>
              <w:right w:val="nil"/>
            </w:tcBorders>
            <w:shd w:val="clear" w:color="auto" w:fill="auto"/>
            <w:noWrap/>
            <w:vAlign w:val="bottom"/>
            <w:hideMark/>
          </w:tcPr>
          <w:p w14:paraId="0D866A54"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Egy foglalkoztatottra eső árbevétel (%)</w:t>
            </w:r>
          </w:p>
        </w:tc>
        <w:tc>
          <w:tcPr>
            <w:tcW w:w="836" w:type="dxa"/>
            <w:tcBorders>
              <w:top w:val="nil"/>
              <w:left w:val="nil"/>
              <w:bottom w:val="nil"/>
              <w:right w:val="nil"/>
            </w:tcBorders>
            <w:shd w:val="clear" w:color="auto" w:fill="auto"/>
            <w:noWrap/>
            <w:vAlign w:val="bottom"/>
            <w:hideMark/>
          </w:tcPr>
          <w:p w14:paraId="78A9BE6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-5.2</w:t>
            </w:r>
          </w:p>
        </w:tc>
        <w:tc>
          <w:tcPr>
            <w:tcW w:w="748" w:type="dxa"/>
            <w:tcBorders>
              <w:top w:val="nil"/>
              <w:left w:val="nil"/>
              <w:bottom w:val="nil"/>
              <w:right w:val="nil"/>
            </w:tcBorders>
            <w:shd w:val="clear" w:color="auto" w:fill="auto"/>
            <w:noWrap/>
            <w:vAlign w:val="bottom"/>
            <w:hideMark/>
          </w:tcPr>
          <w:p w14:paraId="22FB585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-7.1</w:t>
            </w:r>
          </w:p>
        </w:tc>
        <w:tc>
          <w:tcPr>
            <w:tcW w:w="748" w:type="dxa"/>
            <w:tcBorders>
              <w:top w:val="nil"/>
              <w:left w:val="nil"/>
              <w:bottom w:val="nil"/>
              <w:right w:val="nil"/>
            </w:tcBorders>
            <w:shd w:val="clear" w:color="auto" w:fill="auto"/>
            <w:noWrap/>
            <w:vAlign w:val="bottom"/>
            <w:hideMark/>
          </w:tcPr>
          <w:p w14:paraId="1F795F2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-4.5</w:t>
            </w:r>
          </w:p>
        </w:tc>
        <w:tc>
          <w:tcPr>
            <w:tcW w:w="748" w:type="dxa"/>
            <w:tcBorders>
              <w:top w:val="nil"/>
              <w:left w:val="nil"/>
              <w:bottom w:val="nil"/>
              <w:right w:val="nil"/>
            </w:tcBorders>
            <w:shd w:val="clear" w:color="auto" w:fill="auto"/>
            <w:noWrap/>
            <w:vAlign w:val="bottom"/>
            <w:hideMark/>
          </w:tcPr>
          <w:p w14:paraId="0E44D2B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-3.4</w:t>
            </w:r>
          </w:p>
        </w:tc>
        <w:tc>
          <w:tcPr>
            <w:tcW w:w="893" w:type="dxa"/>
            <w:tcBorders>
              <w:top w:val="nil"/>
              <w:left w:val="nil"/>
              <w:bottom w:val="nil"/>
              <w:right w:val="nil"/>
            </w:tcBorders>
            <w:shd w:val="clear" w:color="auto" w:fill="auto"/>
            <w:noWrap/>
            <w:vAlign w:val="bottom"/>
            <w:hideMark/>
          </w:tcPr>
          <w:p w14:paraId="01552F2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-5.1</w:t>
            </w:r>
          </w:p>
        </w:tc>
        <w:tc>
          <w:tcPr>
            <w:tcW w:w="893" w:type="dxa"/>
            <w:tcBorders>
              <w:top w:val="nil"/>
              <w:left w:val="nil"/>
              <w:bottom w:val="nil"/>
              <w:right w:val="nil"/>
            </w:tcBorders>
            <w:shd w:val="clear" w:color="auto" w:fill="auto"/>
            <w:noWrap/>
            <w:vAlign w:val="bottom"/>
            <w:hideMark/>
          </w:tcPr>
          <w:p w14:paraId="3BFF594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-5.1</w:t>
            </w:r>
          </w:p>
        </w:tc>
        <w:tc>
          <w:tcPr>
            <w:tcW w:w="748" w:type="dxa"/>
            <w:tcBorders>
              <w:top w:val="nil"/>
              <w:left w:val="nil"/>
              <w:bottom w:val="nil"/>
              <w:right w:val="nil"/>
            </w:tcBorders>
            <w:shd w:val="clear" w:color="auto" w:fill="auto"/>
            <w:noWrap/>
            <w:vAlign w:val="bottom"/>
            <w:hideMark/>
          </w:tcPr>
          <w:p w14:paraId="4E114F7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-5.9</w:t>
            </w:r>
          </w:p>
        </w:tc>
        <w:tc>
          <w:tcPr>
            <w:tcW w:w="893" w:type="dxa"/>
            <w:tcBorders>
              <w:top w:val="nil"/>
              <w:left w:val="nil"/>
              <w:bottom w:val="nil"/>
              <w:right w:val="nil"/>
            </w:tcBorders>
            <w:shd w:val="clear" w:color="auto" w:fill="auto"/>
            <w:noWrap/>
            <w:vAlign w:val="bottom"/>
            <w:hideMark/>
          </w:tcPr>
          <w:p w14:paraId="0922568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-5.2</w:t>
            </w:r>
          </w:p>
        </w:tc>
      </w:tr>
      <w:tr w:rsidR="00634ABA" w:rsidRPr="00986F85" w14:paraId="566F7984" w14:textId="77777777" w:rsidTr="00476987">
        <w:trPr>
          <w:trHeight w:val="283"/>
        </w:trPr>
        <w:tc>
          <w:tcPr>
            <w:tcW w:w="365" w:type="dxa"/>
            <w:vMerge/>
            <w:tcBorders>
              <w:top w:val="nil"/>
              <w:left w:val="nil"/>
              <w:bottom w:val="nil"/>
              <w:right w:val="nil"/>
            </w:tcBorders>
            <w:vAlign w:val="center"/>
            <w:hideMark/>
          </w:tcPr>
          <w:p w14:paraId="134D23D9" w14:textId="77777777" w:rsidR="00634ABA" w:rsidRPr="00986F85" w:rsidRDefault="00634ABA" w:rsidP="00476987">
            <w:pPr>
              <w:spacing w:after="0" w:line="240" w:lineRule="auto"/>
              <w:rPr>
                <w:rFonts w:eastAsia="Times New Roman"/>
                <w:color w:val="000000"/>
                <w:lang w:eastAsia="hu-HU"/>
              </w:rPr>
            </w:pPr>
          </w:p>
        </w:tc>
        <w:tc>
          <w:tcPr>
            <w:tcW w:w="2568" w:type="dxa"/>
            <w:tcBorders>
              <w:top w:val="nil"/>
              <w:left w:val="nil"/>
              <w:bottom w:val="nil"/>
              <w:right w:val="nil"/>
            </w:tcBorders>
            <w:shd w:val="clear" w:color="auto" w:fill="auto"/>
            <w:noWrap/>
            <w:vAlign w:val="bottom"/>
            <w:hideMark/>
          </w:tcPr>
          <w:p w14:paraId="1164F6BB"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Tárgyi eszköz (%)</w:t>
            </w:r>
          </w:p>
        </w:tc>
        <w:tc>
          <w:tcPr>
            <w:tcW w:w="836" w:type="dxa"/>
            <w:tcBorders>
              <w:top w:val="nil"/>
              <w:left w:val="nil"/>
              <w:bottom w:val="nil"/>
              <w:right w:val="nil"/>
            </w:tcBorders>
            <w:shd w:val="clear" w:color="auto" w:fill="auto"/>
            <w:noWrap/>
            <w:vAlign w:val="bottom"/>
            <w:hideMark/>
          </w:tcPr>
          <w:p w14:paraId="695A0E9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-8.9</w:t>
            </w:r>
          </w:p>
        </w:tc>
        <w:tc>
          <w:tcPr>
            <w:tcW w:w="748" w:type="dxa"/>
            <w:tcBorders>
              <w:top w:val="nil"/>
              <w:left w:val="nil"/>
              <w:bottom w:val="nil"/>
              <w:right w:val="nil"/>
            </w:tcBorders>
            <w:shd w:val="clear" w:color="auto" w:fill="auto"/>
            <w:noWrap/>
            <w:vAlign w:val="bottom"/>
            <w:hideMark/>
          </w:tcPr>
          <w:p w14:paraId="3EEDB81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-7.1</w:t>
            </w:r>
          </w:p>
        </w:tc>
        <w:tc>
          <w:tcPr>
            <w:tcW w:w="748" w:type="dxa"/>
            <w:tcBorders>
              <w:top w:val="nil"/>
              <w:left w:val="nil"/>
              <w:bottom w:val="nil"/>
              <w:right w:val="nil"/>
            </w:tcBorders>
            <w:shd w:val="clear" w:color="auto" w:fill="auto"/>
            <w:noWrap/>
            <w:vAlign w:val="bottom"/>
            <w:hideMark/>
          </w:tcPr>
          <w:p w14:paraId="40BBA43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-5.8</w:t>
            </w:r>
          </w:p>
        </w:tc>
        <w:tc>
          <w:tcPr>
            <w:tcW w:w="748" w:type="dxa"/>
            <w:tcBorders>
              <w:top w:val="nil"/>
              <w:left w:val="nil"/>
              <w:bottom w:val="nil"/>
              <w:right w:val="nil"/>
            </w:tcBorders>
            <w:shd w:val="clear" w:color="auto" w:fill="auto"/>
            <w:noWrap/>
            <w:vAlign w:val="bottom"/>
            <w:hideMark/>
          </w:tcPr>
          <w:p w14:paraId="7997C0B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-5.6</w:t>
            </w:r>
          </w:p>
        </w:tc>
        <w:tc>
          <w:tcPr>
            <w:tcW w:w="893" w:type="dxa"/>
            <w:tcBorders>
              <w:top w:val="nil"/>
              <w:left w:val="nil"/>
              <w:bottom w:val="nil"/>
              <w:right w:val="nil"/>
            </w:tcBorders>
            <w:shd w:val="clear" w:color="auto" w:fill="auto"/>
            <w:noWrap/>
            <w:vAlign w:val="bottom"/>
            <w:hideMark/>
          </w:tcPr>
          <w:p w14:paraId="4DC964E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-6.2</w:t>
            </w:r>
          </w:p>
        </w:tc>
        <w:tc>
          <w:tcPr>
            <w:tcW w:w="893" w:type="dxa"/>
            <w:tcBorders>
              <w:top w:val="nil"/>
              <w:left w:val="nil"/>
              <w:bottom w:val="nil"/>
              <w:right w:val="nil"/>
            </w:tcBorders>
            <w:shd w:val="clear" w:color="auto" w:fill="auto"/>
            <w:noWrap/>
            <w:vAlign w:val="bottom"/>
            <w:hideMark/>
          </w:tcPr>
          <w:p w14:paraId="422FE65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-6.6</w:t>
            </w:r>
          </w:p>
        </w:tc>
        <w:tc>
          <w:tcPr>
            <w:tcW w:w="748" w:type="dxa"/>
            <w:tcBorders>
              <w:top w:val="nil"/>
              <w:left w:val="nil"/>
              <w:bottom w:val="nil"/>
              <w:right w:val="nil"/>
            </w:tcBorders>
            <w:shd w:val="clear" w:color="auto" w:fill="auto"/>
            <w:noWrap/>
            <w:vAlign w:val="bottom"/>
            <w:hideMark/>
          </w:tcPr>
          <w:p w14:paraId="42A3EF2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-5.7</w:t>
            </w:r>
          </w:p>
        </w:tc>
        <w:tc>
          <w:tcPr>
            <w:tcW w:w="893" w:type="dxa"/>
            <w:tcBorders>
              <w:top w:val="nil"/>
              <w:left w:val="nil"/>
              <w:bottom w:val="nil"/>
              <w:right w:val="nil"/>
            </w:tcBorders>
            <w:shd w:val="clear" w:color="auto" w:fill="auto"/>
            <w:noWrap/>
            <w:vAlign w:val="bottom"/>
            <w:hideMark/>
          </w:tcPr>
          <w:p w14:paraId="261A34F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-7.2</w:t>
            </w:r>
          </w:p>
        </w:tc>
      </w:tr>
      <w:tr w:rsidR="00634ABA" w:rsidRPr="00986F85" w14:paraId="66785840" w14:textId="77777777" w:rsidTr="00476987">
        <w:trPr>
          <w:trHeight w:val="283"/>
        </w:trPr>
        <w:tc>
          <w:tcPr>
            <w:tcW w:w="365" w:type="dxa"/>
            <w:vMerge/>
            <w:tcBorders>
              <w:top w:val="nil"/>
              <w:left w:val="nil"/>
              <w:bottom w:val="nil"/>
              <w:right w:val="nil"/>
            </w:tcBorders>
            <w:vAlign w:val="center"/>
            <w:hideMark/>
          </w:tcPr>
          <w:p w14:paraId="0D95B238" w14:textId="77777777" w:rsidR="00634ABA" w:rsidRPr="00986F85" w:rsidRDefault="00634ABA" w:rsidP="00476987">
            <w:pPr>
              <w:spacing w:after="0" w:line="240" w:lineRule="auto"/>
              <w:rPr>
                <w:rFonts w:eastAsia="Times New Roman"/>
                <w:color w:val="000000"/>
                <w:lang w:eastAsia="hu-HU"/>
              </w:rPr>
            </w:pPr>
          </w:p>
        </w:tc>
        <w:tc>
          <w:tcPr>
            <w:tcW w:w="2568" w:type="dxa"/>
            <w:tcBorders>
              <w:top w:val="nil"/>
              <w:left w:val="nil"/>
              <w:bottom w:val="nil"/>
              <w:right w:val="nil"/>
            </w:tcBorders>
            <w:shd w:val="clear" w:color="auto" w:fill="auto"/>
            <w:noWrap/>
            <w:vAlign w:val="bottom"/>
            <w:hideMark/>
          </w:tcPr>
          <w:p w14:paraId="42E2CC16"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Tőkeintenzitás (%)</w:t>
            </w:r>
          </w:p>
        </w:tc>
        <w:tc>
          <w:tcPr>
            <w:tcW w:w="836" w:type="dxa"/>
            <w:tcBorders>
              <w:top w:val="nil"/>
              <w:left w:val="nil"/>
              <w:bottom w:val="nil"/>
              <w:right w:val="nil"/>
            </w:tcBorders>
            <w:shd w:val="clear" w:color="auto" w:fill="auto"/>
            <w:noWrap/>
            <w:vAlign w:val="bottom"/>
            <w:hideMark/>
          </w:tcPr>
          <w:p w14:paraId="11BC353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-3.6</w:t>
            </w:r>
          </w:p>
        </w:tc>
        <w:tc>
          <w:tcPr>
            <w:tcW w:w="748" w:type="dxa"/>
            <w:tcBorders>
              <w:top w:val="nil"/>
              <w:left w:val="nil"/>
              <w:bottom w:val="nil"/>
              <w:right w:val="nil"/>
            </w:tcBorders>
            <w:shd w:val="clear" w:color="auto" w:fill="auto"/>
            <w:noWrap/>
            <w:vAlign w:val="bottom"/>
            <w:hideMark/>
          </w:tcPr>
          <w:p w14:paraId="7C536FC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-1.4</w:t>
            </w:r>
          </w:p>
        </w:tc>
        <w:tc>
          <w:tcPr>
            <w:tcW w:w="748" w:type="dxa"/>
            <w:tcBorders>
              <w:top w:val="nil"/>
              <w:left w:val="nil"/>
              <w:bottom w:val="nil"/>
              <w:right w:val="nil"/>
            </w:tcBorders>
            <w:shd w:val="clear" w:color="auto" w:fill="auto"/>
            <w:noWrap/>
            <w:vAlign w:val="bottom"/>
            <w:hideMark/>
          </w:tcPr>
          <w:p w14:paraId="27F4007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-0.8</w:t>
            </w:r>
          </w:p>
        </w:tc>
        <w:tc>
          <w:tcPr>
            <w:tcW w:w="748" w:type="dxa"/>
            <w:tcBorders>
              <w:top w:val="nil"/>
              <w:left w:val="nil"/>
              <w:bottom w:val="nil"/>
              <w:right w:val="nil"/>
            </w:tcBorders>
            <w:shd w:val="clear" w:color="auto" w:fill="auto"/>
            <w:noWrap/>
            <w:vAlign w:val="bottom"/>
            <w:hideMark/>
          </w:tcPr>
          <w:p w14:paraId="56C34AC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-1.4</w:t>
            </w:r>
          </w:p>
        </w:tc>
        <w:tc>
          <w:tcPr>
            <w:tcW w:w="893" w:type="dxa"/>
            <w:tcBorders>
              <w:top w:val="nil"/>
              <w:left w:val="nil"/>
              <w:bottom w:val="nil"/>
              <w:right w:val="nil"/>
            </w:tcBorders>
            <w:shd w:val="clear" w:color="auto" w:fill="auto"/>
            <w:noWrap/>
            <w:vAlign w:val="bottom"/>
            <w:hideMark/>
          </w:tcPr>
          <w:p w14:paraId="1D184A7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93" w:type="dxa"/>
            <w:tcBorders>
              <w:top w:val="nil"/>
              <w:left w:val="nil"/>
              <w:bottom w:val="nil"/>
              <w:right w:val="nil"/>
            </w:tcBorders>
            <w:shd w:val="clear" w:color="auto" w:fill="auto"/>
            <w:noWrap/>
            <w:vAlign w:val="bottom"/>
            <w:hideMark/>
          </w:tcPr>
          <w:p w14:paraId="47EDD4C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-1.2</w:t>
            </w:r>
          </w:p>
        </w:tc>
        <w:tc>
          <w:tcPr>
            <w:tcW w:w="748" w:type="dxa"/>
            <w:tcBorders>
              <w:top w:val="nil"/>
              <w:left w:val="nil"/>
              <w:bottom w:val="nil"/>
              <w:right w:val="nil"/>
            </w:tcBorders>
            <w:shd w:val="clear" w:color="auto" w:fill="auto"/>
            <w:noWrap/>
            <w:vAlign w:val="bottom"/>
            <w:hideMark/>
          </w:tcPr>
          <w:p w14:paraId="0A09BC4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-0.6</w:t>
            </w:r>
          </w:p>
        </w:tc>
        <w:tc>
          <w:tcPr>
            <w:tcW w:w="893" w:type="dxa"/>
            <w:tcBorders>
              <w:top w:val="nil"/>
              <w:left w:val="nil"/>
              <w:bottom w:val="nil"/>
              <w:right w:val="nil"/>
            </w:tcBorders>
            <w:shd w:val="clear" w:color="auto" w:fill="auto"/>
            <w:noWrap/>
            <w:vAlign w:val="bottom"/>
            <w:hideMark/>
          </w:tcPr>
          <w:p w14:paraId="3289AB2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-2.2</w:t>
            </w:r>
          </w:p>
        </w:tc>
      </w:tr>
      <w:tr w:rsidR="00634ABA" w:rsidRPr="00986F85" w14:paraId="1BDCA850" w14:textId="77777777" w:rsidTr="00476987">
        <w:trPr>
          <w:trHeight w:val="283"/>
        </w:trPr>
        <w:tc>
          <w:tcPr>
            <w:tcW w:w="365" w:type="dxa"/>
            <w:vMerge/>
            <w:tcBorders>
              <w:top w:val="nil"/>
              <w:left w:val="nil"/>
              <w:bottom w:val="nil"/>
              <w:right w:val="nil"/>
            </w:tcBorders>
            <w:vAlign w:val="center"/>
            <w:hideMark/>
          </w:tcPr>
          <w:p w14:paraId="31DE81F7" w14:textId="77777777" w:rsidR="00634ABA" w:rsidRPr="00986F85" w:rsidRDefault="00634ABA" w:rsidP="00476987">
            <w:pPr>
              <w:spacing w:after="0" w:line="240" w:lineRule="auto"/>
              <w:rPr>
                <w:rFonts w:eastAsia="Times New Roman"/>
                <w:color w:val="000000"/>
                <w:lang w:eastAsia="hu-HU"/>
              </w:rPr>
            </w:pPr>
          </w:p>
        </w:tc>
        <w:tc>
          <w:tcPr>
            <w:tcW w:w="2568" w:type="dxa"/>
            <w:tcBorders>
              <w:top w:val="nil"/>
              <w:left w:val="nil"/>
              <w:bottom w:val="nil"/>
              <w:right w:val="nil"/>
            </w:tcBorders>
            <w:shd w:val="clear" w:color="auto" w:fill="auto"/>
            <w:noWrap/>
            <w:vAlign w:val="bottom"/>
            <w:hideMark/>
          </w:tcPr>
          <w:p w14:paraId="402CBE17"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Jegyzett tőke</w:t>
            </w:r>
          </w:p>
        </w:tc>
        <w:tc>
          <w:tcPr>
            <w:tcW w:w="836" w:type="dxa"/>
            <w:tcBorders>
              <w:top w:val="nil"/>
              <w:left w:val="nil"/>
              <w:bottom w:val="nil"/>
              <w:right w:val="nil"/>
            </w:tcBorders>
            <w:shd w:val="clear" w:color="auto" w:fill="auto"/>
            <w:noWrap/>
            <w:vAlign w:val="bottom"/>
            <w:hideMark/>
          </w:tcPr>
          <w:p w14:paraId="0F855EA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748" w:type="dxa"/>
            <w:tcBorders>
              <w:top w:val="nil"/>
              <w:left w:val="nil"/>
              <w:bottom w:val="nil"/>
              <w:right w:val="nil"/>
            </w:tcBorders>
            <w:shd w:val="clear" w:color="auto" w:fill="auto"/>
            <w:noWrap/>
            <w:vAlign w:val="bottom"/>
            <w:hideMark/>
          </w:tcPr>
          <w:p w14:paraId="0A8C445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748" w:type="dxa"/>
            <w:tcBorders>
              <w:top w:val="nil"/>
              <w:left w:val="nil"/>
              <w:bottom w:val="nil"/>
              <w:right w:val="nil"/>
            </w:tcBorders>
            <w:shd w:val="clear" w:color="auto" w:fill="auto"/>
            <w:noWrap/>
            <w:vAlign w:val="bottom"/>
            <w:hideMark/>
          </w:tcPr>
          <w:p w14:paraId="4227A9F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748" w:type="dxa"/>
            <w:tcBorders>
              <w:top w:val="nil"/>
              <w:left w:val="nil"/>
              <w:bottom w:val="nil"/>
              <w:right w:val="nil"/>
            </w:tcBorders>
            <w:shd w:val="clear" w:color="auto" w:fill="auto"/>
            <w:noWrap/>
            <w:vAlign w:val="bottom"/>
            <w:hideMark/>
          </w:tcPr>
          <w:p w14:paraId="06B0E83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93" w:type="dxa"/>
            <w:tcBorders>
              <w:top w:val="nil"/>
              <w:left w:val="nil"/>
              <w:bottom w:val="nil"/>
              <w:right w:val="nil"/>
            </w:tcBorders>
            <w:shd w:val="clear" w:color="auto" w:fill="auto"/>
            <w:noWrap/>
            <w:vAlign w:val="bottom"/>
            <w:hideMark/>
          </w:tcPr>
          <w:p w14:paraId="4BCA2EC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93" w:type="dxa"/>
            <w:tcBorders>
              <w:top w:val="nil"/>
              <w:left w:val="nil"/>
              <w:bottom w:val="nil"/>
              <w:right w:val="nil"/>
            </w:tcBorders>
            <w:shd w:val="clear" w:color="auto" w:fill="auto"/>
            <w:noWrap/>
            <w:vAlign w:val="bottom"/>
            <w:hideMark/>
          </w:tcPr>
          <w:p w14:paraId="267127C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748" w:type="dxa"/>
            <w:tcBorders>
              <w:top w:val="nil"/>
              <w:left w:val="nil"/>
              <w:bottom w:val="nil"/>
              <w:right w:val="nil"/>
            </w:tcBorders>
            <w:shd w:val="clear" w:color="auto" w:fill="auto"/>
            <w:noWrap/>
            <w:vAlign w:val="bottom"/>
            <w:hideMark/>
          </w:tcPr>
          <w:p w14:paraId="5E0F48C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93" w:type="dxa"/>
            <w:tcBorders>
              <w:top w:val="nil"/>
              <w:left w:val="nil"/>
              <w:bottom w:val="nil"/>
              <w:right w:val="nil"/>
            </w:tcBorders>
            <w:shd w:val="clear" w:color="auto" w:fill="auto"/>
            <w:noWrap/>
            <w:vAlign w:val="bottom"/>
            <w:hideMark/>
          </w:tcPr>
          <w:p w14:paraId="0B677AB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r>
      <w:tr w:rsidR="00634ABA" w:rsidRPr="00986F85" w14:paraId="142440B0" w14:textId="77777777" w:rsidTr="00476987">
        <w:trPr>
          <w:trHeight w:val="283"/>
        </w:trPr>
        <w:tc>
          <w:tcPr>
            <w:tcW w:w="365" w:type="dxa"/>
            <w:vMerge/>
            <w:tcBorders>
              <w:top w:val="nil"/>
              <w:left w:val="nil"/>
              <w:bottom w:val="nil"/>
              <w:right w:val="nil"/>
            </w:tcBorders>
            <w:vAlign w:val="center"/>
            <w:hideMark/>
          </w:tcPr>
          <w:p w14:paraId="7B31BE01" w14:textId="77777777" w:rsidR="00634ABA" w:rsidRPr="00986F85" w:rsidRDefault="00634ABA" w:rsidP="00476987">
            <w:pPr>
              <w:spacing w:after="0" w:line="240" w:lineRule="auto"/>
              <w:rPr>
                <w:rFonts w:eastAsia="Times New Roman"/>
                <w:color w:val="000000"/>
                <w:lang w:eastAsia="hu-HU"/>
              </w:rPr>
            </w:pPr>
          </w:p>
        </w:tc>
        <w:tc>
          <w:tcPr>
            <w:tcW w:w="2568" w:type="dxa"/>
            <w:tcBorders>
              <w:top w:val="nil"/>
              <w:left w:val="nil"/>
              <w:bottom w:val="nil"/>
              <w:right w:val="nil"/>
            </w:tcBorders>
            <w:shd w:val="clear" w:color="auto" w:fill="auto"/>
            <w:noWrap/>
            <w:vAlign w:val="bottom"/>
            <w:hideMark/>
          </w:tcPr>
          <w:p w14:paraId="3E532E5D"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Egy foglalkoztatottra eső jegyzett tőke (%)</w:t>
            </w:r>
          </w:p>
        </w:tc>
        <w:tc>
          <w:tcPr>
            <w:tcW w:w="836" w:type="dxa"/>
            <w:tcBorders>
              <w:top w:val="nil"/>
              <w:left w:val="nil"/>
              <w:bottom w:val="nil"/>
              <w:right w:val="nil"/>
            </w:tcBorders>
            <w:shd w:val="clear" w:color="auto" w:fill="auto"/>
            <w:noWrap/>
            <w:vAlign w:val="bottom"/>
            <w:hideMark/>
          </w:tcPr>
          <w:p w14:paraId="1826855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748" w:type="dxa"/>
            <w:tcBorders>
              <w:top w:val="nil"/>
              <w:left w:val="nil"/>
              <w:bottom w:val="nil"/>
              <w:right w:val="nil"/>
            </w:tcBorders>
            <w:shd w:val="clear" w:color="auto" w:fill="auto"/>
            <w:noWrap/>
            <w:vAlign w:val="bottom"/>
            <w:hideMark/>
          </w:tcPr>
          <w:p w14:paraId="18D564F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748" w:type="dxa"/>
            <w:tcBorders>
              <w:top w:val="nil"/>
              <w:left w:val="nil"/>
              <w:bottom w:val="nil"/>
              <w:right w:val="nil"/>
            </w:tcBorders>
            <w:shd w:val="clear" w:color="auto" w:fill="auto"/>
            <w:noWrap/>
            <w:vAlign w:val="bottom"/>
            <w:hideMark/>
          </w:tcPr>
          <w:p w14:paraId="4D8F513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748" w:type="dxa"/>
            <w:tcBorders>
              <w:top w:val="nil"/>
              <w:left w:val="nil"/>
              <w:bottom w:val="nil"/>
              <w:right w:val="nil"/>
            </w:tcBorders>
            <w:shd w:val="clear" w:color="auto" w:fill="auto"/>
            <w:noWrap/>
            <w:vAlign w:val="bottom"/>
            <w:hideMark/>
          </w:tcPr>
          <w:p w14:paraId="0E2A892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93" w:type="dxa"/>
            <w:tcBorders>
              <w:top w:val="nil"/>
              <w:left w:val="nil"/>
              <w:bottom w:val="nil"/>
              <w:right w:val="nil"/>
            </w:tcBorders>
            <w:shd w:val="clear" w:color="auto" w:fill="auto"/>
            <w:noWrap/>
            <w:vAlign w:val="bottom"/>
            <w:hideMark/>
          </w:tcPr>
          <w:p w14:paraId="10DBD05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93" w:type="dxa"/>
            <w:tcBorders>
              <w:top w:val="nil"/>
              <w:left w:val="nil"/>
              <w:bottom w:val="nil"/>
              <w:right w:val="nil"/>
            </w:tcBorders>
            <w:shd w:val="clear" w:color="auto" w:fill="auto"/>
            <w:noWrap/>
            <w:vAlign w:val="bottom"/>
            <w:hideMark/>
          </w:tcPr>
          <w:p w14:paraId="5BD5790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748" w:type="dxa"/>
            <w:tcBorders>
              <w:top w:val="nil"/>
              <w:left w:val="nil"/>
              <w:bottom w:val="nil"/>
              <w:right w:val="nil"/>
            </w:tcBorders>
            <w:shd w:val="clear" w:color="auto" w:fill="auto"/>
            <w:noWrap/>
            <w:vAlign w:val="bottom"/>
            <w:hideMark/>
          </w:tcPr>
          <w:p w14:paraId="27908A9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93" w:type="dxa"/>
            <w:tcBorders>
              <w:top w:val="nil"/>
              <w:left w:val="nil"/>
              <w:bottom w:val="nil"/>
              <w:right w:val="nil"/>
            </w:tcBorders>
            <w:shd w:val="clear" w:color="auto" w:fill="auto"/>
            <w:noWrap/>
            <w:vAlign w:val="bottom"/>
            <w:hideMark/>
          </w:tcPr>
          <w:p w14:paraId="6F225BA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r>
      <w:tr w:rsidR="00634ABA" w:rsidRPr="00986F85" w14:paraId="33ABB7DB" w14:textId="77777777" w:rsidTr="00476987">
        <w:trPr>
          <w:trHeight w:val="283"/>
        </w:trPr>
        <w:tc>
          <w:tcPr>
            <w:tcW w:w="365" w:type="dxa"/>
            <w:vMerge/>
            <w:tcBorders>
              <w:top w:val="nil"/>
              <w:left w:val="nil"/>
              <w:bottom w:val="nil"/>
              <w:right w:val="nil"/>
            </w:tcBorders>
            <w:vAlign w:val="center"/>
            <w:hideMark/>
          </w:tcPr>
          <w:p w14:paraId="4DD25A02" w14:textId="77777777" w:rsidR="00634ABA" w:rsidRPr="00986F85" w:rsidRDefault="00634ABA" w:rsidP="00476987">
            <w:pPr>
              <w:spacing w:after="0" w:line="240" w:lineRule="auto"/>
              <w:rPr>
                <w:rFonts w:eastAsia="Times New Roman"/>
                <w:color w:val="000000"/>
                <w:lang w:eastAsia="hu-HU"/>
              </w:rPr>
            </w:pPr>
          </w:p>
        </w:tc>
        <w:tc>
          <w:tcPr>
            <w:tcW w:w="2568" w:type="dxa"/>
            <w:tcBorders>
              <w:top w:val="nil"/>
              <w:left w:val="nil"/>
              <w:bottom w:val="nil"/>
              <w:right w:val="nil"/>
            </w:tcBorders>
            <w:shd w:val="clear" w:color="auto" w:fill="auto"/>
            <w:noWrap/>
            <w:vAlign w:val="bottom"/>
            <w:hideMark/>
          </w:tcPr>
          <w:p w14:paraId="19D3CFCD"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Likviditás</w:t>
            </w:r>
          </w:p>
        </w:tc>
        <w:tc>
          <w:tcPr>
            <w:tcW w:w="836" w:type="dxa"/>
            <w:tcBorders>
              <w:top w:val="nil"/>
              <w:left w:val="nil"/>
              <w:bottom w:val="nil"/>
              <w:right w:val="nil"/>
            </w:tcBorders>
            <w:shd w:val="clear" w:color="auto" w:fill="auto"/>
            <w:noWrap/>
            <w:vAlign w:val="bottom"/>
            <w:hideMark/>
          </w:tcPr>
          <w:p w14:paraId="6DD7B37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1.7</w:t>
            </w:r>
          </w:p>
        </w:tc>
        <w:tc>
          <w:tcPr>
            <w:tcW w:w="748" w:type="dxa"/>
            <w:tcBorders>
              <w:top w:val="nil"/>
              <w:left w:val="nil"/>
              <w:bottom w:val="nil"/>
              <w:right w:val="nil"/>
            </w:tcBorders>
            <w:shd w:val="clear" w:color="auto" w:fill="auto"/>
            <w:noWrap/>
            <w:vAlign w:val="bottom"/>
            <w:hideMark/>
          </w:tcPr>
          <w:p w14:paraId="070D3E8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4.6</w:t>
            </w:r>
          </w:p>
        </w:tc>
        <w:tc>
          <w:tcPr>
            <w:tcW w:w="748" w:type="dxa"/>
            <w:tcBorders>
              <w:top w:val="nil"/>
              <w:left w:val="nil"/>
              <w:bottom w:val="nil"/>
              <w:right w:val="nil"/>
            </w:tcBorders>
            <w:shd w:val="clear" w:color="auto" w:fill="auto"/>
            <w:noWrap/>
            <w:vAlign w:val="bottom"/>
            <w:hideMark/>
          </w:tcPr>
          <w:p w14:paraId="222416B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2.3</w:t>
            </w:r>
          </w:p>
        </w:tc>
        <w:tc>
          <w:tcPr>
            <w:tcW w:w="748" w:type="dxa"/>
            <w:tcBorders>
              <w:top w:val="nil"/>
              <w:left w:val="nil"/>
              <w:bottom w:val="nil"/>
              <w:right w:val="nil"/>
            </w:tcBorders>
            <w:shd w:val="clear" w:color="auto" w:fill="auto"/>
            <w:noWrap/>
            <w:vAlign w:val="bottom"/>
            <w:hideMark/>
          </w:tcPr>
          <w:p w14:paraId="5D8805E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3.3</w:t>
            </w:r>
          </w:p>
        </w:tc>
        <w:tc>
          <w:tcPr>
            <w:tcW w:w="893" w:type="dxa"/>
            <w:tcBorders>
              <w:top w:val="nil"/>
              <w:left w:val="nil"/>
              <w:bottom w:val="nil"/>
              <w:right w:val="nil"/>
            </w:tcBorders>
            <w:shd w:val="clear" w:color="auto" w:fill="auto"/>
            <w:noWrap/>
            <w:vAlign w:val="bottom"/>
            <w:hideMark/>
          </w:tcPr>
          <w:p w14:paraId="46575B3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3.5</w:t>
            </w:r>
          </w:p>
        </w:tc>
        <w:tc>
          <w:tcPr>
            <w:tcW w:w="893" w:type="dxa"/>
            <w:tcBorders>
              <w:top w:val="nil"/>
              <w:left w:val="nil"/>
              <w:bottom w:val="nil"/>
              <w:right w:val="nil"/>
            </w:tcBorders>
            <w:shd w:val="clear" w:color="auto" w:fill="auto"/>
            <w:noWrap/>
            <w:vAlign w:val="bottom"/>
            <w:hideMark/>
          </w:tcPr>
          <w:p w14:paraId="20522C5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3.8</w:t>
            </w:r>
          </w:p>
        </w:tc>
        <w:tc>
          <w:tcPr>
            <w:tcW w:w="748" w:type="dxa"/>
            <w:tcBorders>
              <w:top w:val="nil"/>
              <w:left w:val="nil"/>
              <w:bottom w:val="nil"/>
              <w:right w:val="nil"/>
            </w:tcBorders>
            <w:shd w:val="clear" w:color="auto" w:fill="auto"/>
            <w:noWrap/>
            <w:vAlign w:val="bottom"/>
            <w:hideMark/>
          </w:tcPr>
          <w:p w14:paraId="0B7BA84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3.5</w:t>
            </w:r>
          </w:p>
        </w:tc>
        <w:tc>
          <w:tcPr>
            <w:tcW w:w="893" w:type="dxa"/>
            <w:tcBorders>
              <w:top w:val="nil"/>
              <w:left w:val="nil"/>
              <w:bottom w:val="nil"/>
              <w:right w:val="nil"/>
            </w:tcBorders>
            <w:shd w:val="clear" w:color="auto" w:fill="auto"/>
            <w:noWrap/>
            <w:vAlign w:val="bottom"/>
            <w:hideMark/>
          </w:tcPr>
          <w:p w14:paraId="21F4494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2.7</w:t>
            </w:r>
          </w:p>
        </w:tc>
      </w:tr>
      <w:tr w:rsidR="00634ABA" w:rsidRPr="00986F85" w14:paraId="4720DE6A" w14:textId="77777777" w:rsidTr="00476987">
        <w:trPr>
          <w:trHeight w:val="283"/>
        </w:trPr>
        <w:tc>
          <w:tcPr>
            <w:tcW w:w="365" w:type="dxa"/>
            <w:vMerge/>
            <w:tcBorders>
              <w:top w:val="nil"/>
              <w:left w:val="nil"/>
              <w:bottom w:val="nil"/>
              <w:right w:val="nil"/>
            </w:tcBorders>
            <w:vAlign w:val="center"/>
            <w:hideMark/>
          </w:tcPr>
          <w:p w14:paraId="5DB91397" w14:textId="77777777" w:rsidR="00634ABA" w:rsidRPr="00986F85" w:rsidRDefault="00634ABA" w:rsidP="00476987">
            <w:pPr>
              <w:spacing w:after="0" w:line="240" w:lineRule="auto"/>
              <w:rPr>
                <w:rFonts w:eastAsia="Times New Roman"/>
                <w:color w:val="000000"/>
                <w:lang w:eastAsia="hu-HU"/>
              </w:rPr>
            </w:pPr>
          </w:p>
        </w:tc>
        <w:tc>
          <w:tcPr>
            <w:tcW w:w="2568" w:type="dxa"/>
            <w:tcBorders>
              <w:top w:val="nil"/>
              <w:left w:val="nil"/>
              <w:bottom w:val="nil"/>
              <w:right w:val="nil"/>
            </w:tcBorders>
            <w:shd w:val="clear" w:color="auto" w:fill="auto"/>
            <w:noWrap/>
            <w:vAlign w:val="bottom"/>
            <w:hideMark/>
          </w:tcPr>
          <w:p w14:paraId="20316931"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Üzemi eredmény</w:t>
            </w:r>
          </w:p>
        </w:tc>
        <w:tc>
          <w:tcPr>
            <w:tcW w:w="836" w:type="dxa"/>
            <w:tcBorders>
              <w:top w:val="nil"/>
              <w:left w:val="nil"/>
              <w:bottom w:val="nil"/>
              <w:right w:val="nil"/>
            </w:tcBorders>
            <w:shd w:val="clear" w:color="auto" w:fill="auto"/>
            <w:noWrap/>
            <w:vAlign w:val="bottom"/>
            <w:hideMark/>
          </w:tcPr>
          <w:p w14:paraId="229D2E6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-840.5</w:t>
            </w:r>
          </w:p>
        </w:tc>
        <w:tc>
          <w:tcPr>
            <w:tcW w:w="748" w:type="dxa"/>
            <w:tcBorders>
              <w:top w:val="nil"/>
              <w:left w:val="nil"/>
              <w:bottom w:val="nil"/>
              <w:right w:val="nil"/>
            </w:tcBorders>
            <w:shd w:val="clear" w:color="auto" w:fill="auto"/>
            <w:noWrap/>
            <w:vAlign w:val="bottom"/>
            <w:hideMark/>
          </w:tcPr>
          <w:p w14:paraId="030A08B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-988.5</w:t>
            </w:r>
          </w:p>
        </w:tc>
        <w:tc>
          <w:tcPr>
            <w:tcW w:w="748" w:type="dxa"/>
            <w:tcBorders>
              <w:top w:val="nil"/>
              <w:left w:val="nil"/>
              <w:bottom w:val="nil"/>
              <w:right w:val="nil"/>
            </w:tcBorders>
            <w:shd w:val="clear" w:color="auto" w:fill="auto"/>
            <w:noWrap/>
            <w:vAlign w:val="bottom"/>
            <w:hideMark/>
          </w:tcPr>
          <w:p w14:paraId="32FC885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-550</w:t>
            </w:r>
          </w:p>
        </w:tc>
        <w:tc>
          <w:tcPr>
            <w:tcW w:w="748" w:type="dxa"/>
            <w:tcBorders>
              <w:top w:val="nil"/>
              <w:left w:val="nil"/>
              <w:bottom w:val="nil"/>
              <w:right w:val="nil"/>
            </w:tcBorders>
            <w:shd w:val="clear" w:color="auto" w:fill="auto"/>
            <w:noWrap/>
            <w:vAlign w:val="bottom"/>
            <w:hideMark/>
          </w:tcPr>
          <w:p w14:paraId="1D07CFE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-345</w:t>
            </w:r>
          </w:p>
        </w:tc>
        <w:tc>
          <w:tcPr>
            <w:tcW w:w="893" w:type="dxa"/>
            <w:tcBorders>
              <w:top w:val="nil"/>
              <w:left w:val="nil"/>
              <w:bottom w:val="nil"/>
              <w:right w:val="nil"/>
            </w:tcBorders>
            <w:shd w:val="clear" w:color="auto" w:fill="auto"/>
            <w:noWrap/>
            <w:vAlign w:val="bottom"/>
            <w:hideMark/>
          </w:tcPr>
          <w:p w14:paraId="4FC0587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-560.5</w:t>
            </w:r>
          </w:p>
        </w:tc>
        <w:tc>
          <w:tcPr>
            <w:tcW w:w="893" w:type="dxa"/>
            <w:tcBorders>
              <w:top w:val="nil"/>
              <w:left w:val="nil"/>
              <w:bottom w:val="nil"/>
              <w:right w:val="nil"/>
            </w:tcBorders>
            <w:shd w:val="clear" w:color="auto" w:fill="auto"/>
            <w:noWrap/>
            <w:vAlign w:val="bottom"/>
            <w:hideMark/>
          </w:tcPr>
          <w:p w14:paraId="210DBA6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-503</w:t>
            </w:r>
          </w:p>
        </w:tc>
        <w:tc>
          <w:tcPr>
            <w:tcW w:w="748" w:type="dxa"/>
            <w:tcBorders>
              <w:top w:val="nil"/>
              <w:left w:val="nil"/>
              <w:bottom w:val="nil"/>
              <w:right w:val="nil"/>
            </w:tcBorders>
            <w:shd w:val="clear" w:color="auto" w:fill="auto"/>
            <w:noWrap/>
            <w:vAlign w:val="bottom"/>
            <w:hideMark/>
          </w:tcPr>
          <w:p w14:paraId="26B3A7C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-579</w:t>
            </w:r>
          </w:p>
        </w:tc>
        <w:tc>
          <w:tcPr>
            <w:tcW w:w="893" w:type="dxa"/>
            <w:tcBorders>
              <w:top w:val="nil"/>
              <w:left w:val="nil"/>
              <w:bottom w:val="nil"/>
              <w:right w:val="nil"/>
            </w:tcBorders>
            <w:shd w:val="clear" w:color="auto" w:fill="auto"/>
            <w:noWrap/>
            <w:vAlign w:val="bottom"/>
            <w:hideMark/>
          </w:tcPr>
          <w:p w14:paraId="5537576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-678</w:t>
            </w:r>
          </w:p>
        </w:tc>
      </w:tr>
      <w:tr w:rsidR="00634ABA" w:rsidRPr="00986F85" w14:paraId="7669A9FC" w14:textId="77777777" w:rsidTr="00476987">
        <w:trPr>
          <w:trHeight w:val="283"/>
        </w:trPr>
        <w:tc>
          <w:tcPr>
            <w:tcW w:w="365" w:type="dxa"/>
            <w:vMerge/>
            <w:tcBorders>
              <w:top w:val="nil"/>
              <w:left w:val="nil"/>
              <w:bottom w:val="nil"/>
              <w:right w:val="nil"/>
            </w:tcBorders>
            <w:vAlign w:val="center"/>
            <w:hideMark/>
          </w:tcPr>
          <w:p w14:paraId="530153BC" w14:textId="77777777" w:rsidR="00634ABA" w:rsidRPr="00986F85" w:rsidRDefault="00634ABA" w:rsidP="00476987">
            <w:pPr>
              <w:spacing w:after="0" w:line="240" w:lineRule="auto"/>
              <w:rPr>
                <w:rFonts w:eastAsia="Times New Roman"/>
                <w:color w:val="000000"/>
                <w:lang w:eastAsia="hu-HU"/>
              </w:rPr>
            </w:pPr>
          </w:p>
        </w:tc>
        <w:tc>
          <w:tcPr>
            <w:tcW w:w="2568" w:type="dxa"/>
            <w:tcBorders>
              <w:top w:val="nil"/>
              <w:left w:val="nil"/>
              <w:bottom w:val="nil"/>
              <w:right w:val="nil"/>
            </w:tcBorders>
            <w:shd w:val="clear" w:color="auto" w:fill="auto"/>
            <w:noWrap/>
            <w:vAlign w:val="bottom"/>
            <w:hideMark/>
          </w:tcPr>
          <w:p w14:paraId="74F63B38"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Egy foglalkoztatottra eső üzemi eredmény</w:t>
            </w:r>
          </w:p>
        </w:tc>
        <w:tc>
          <w:tcPr>
            <w:tcW w:w="836" w:type="dxa"/>
            <w:tcBorders>
              <w:top w:val="nil"/>
              <w:left w:val="nil"/>
              <w:bottom w:val="nil"/>
              <w:right w:val="nil"/>
            </w:tcBorders>
            <w:shd w:val="clear" w:color="auto" w:fill="auto"/>
            <w:noWrap/>
            <w:vAlign w:val="bottom"/>
            <w:hideMark/>
          </w:tcPr>
          <w:p w14:paraId="254AD11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-97.4</w:t>
            </w:r>
          </w:p>
        </w:tc>
        <w:tc>
          <w:tcPr>
            <w:tcW w:w="748" w:type="dxa"/>
            <w:tcBorders>
              <w:top w:val="nil"/>
              <w:left w:val="nil"/>
              <w:bottom w:val="nil"/>
              <w:right w:val="nil"/>
            </w:tcBorders>
            <w:shd w:val="clear" w:color="auto" w:fill="auto"/>
            <w:noWrap/>
            <w:vAlign w:val="bottom"/>
            <w:hideMark/>
          </w:tcPr>
          <w:p w14:paraId="424397F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-108.7</w:t>
            </w:r>
          </w:p>
        </w:tc>
        <w:tc>
          <w:tcPr>
            <w:tcW w:w="748" w:type="dxa"/>
            <w:tcBorders>
              <w:top w:val="nil"/>
              <w:left w:val="nil"/>
              <w:bottom w:val="nil"/>
              <w:right w:val="nil"/>
            </w:tcBorders>
            <w:shd w:val="clear" w:color="auto" w:fill="auto"/>
            <w:noWrap/>
            <w:vAlign w:val="bottom"/>
            <w:hideMark/>
          </w:tcPr>
          <w:p w14:paraId="36291B2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-51.3</w:t>
            </w:r>
          </w:p>
        </w:tc>
        <w:tc>
          <w:tcPr>
            <w:tcW w:w="748" w:type="dxa"/>
            <w:tcBorders>
              <w:top w:val="nil"/>
              <w:left w:val="nil"/>
              <w:bottom w:val="nil"/>
              <w:right w:val="nil"/>
            </w:tcBorders>
            <w:shd w:val="clear" w:color="auto" w:fill="auto"/>
            <w:noWrap/>
            <w:vAlign w:val="bottom"/>
            <w:hideMark/>
          </w:tcPr>
          <w:p w14:paraId="62033A6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-28</w:t>
            </w:r>
          </w:p>
        </w:tc>
        <w:tc>
          <w:tcPr>
            <w:tcW w:w="893" w:type="dxa"/>
            <w:tcBorders>
              <w:top w:val="nil"/>
              <w:left w:val="nil"/>
              <w:bottom w:val="nil"/>
              <w:right w:val="nil"/>
            </w:tcBorders>
            <w:shd w:val="clear" w:color="auto" w:fill="auto"/>
            <w:noWrap/>
            <w:vAlign w:val="bottom"/>
            <w:hideMark/>
          </w:tcPr>
          <w:p w14:paraId="30E5353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-62.1</w:t>
            </w:r>
          </w:p>
        </w:tc>
        <w:tc>
          <w:tcPr>
            <w:tcW w:w="893" w:type="dxa"/>
            <w:tcBorders>
              <w:top w:val="nil"/>
              <w:left w:val="nil"/>
              <w:bottom w:val="nil"/>
              <w:right w:val="nil"/>
            </w:tcBorders>
            <w:shd w:val="clear" w:color="auto" w:fill="auto"/>
            <w:noWrap/>
            <w:vAlign w:val="bottom"/>
            <w:hideMark/>
          </w:tcPr>
          <w:p w14:paraId="6437AC7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-55.1</w:t>
            </w:r>
          </w:p>
        </w:tc>
        <w:tc>
          <w:tcPr>
            <w:tcW w:w="748" w:type="dxa"/>
            <w:tcBorders>
              <w:top w:val="nil"/>
              <w:left w:val="nil"/>
              <w:bottom w:val="nil"/>
              <w:right w:val="nil"/>
            </w:tcBorders>
            <w:shd w:val="clear" w:color="auto" w:fill="auto"/>
            <w:noWrap/>
            <w:vAlign w:val="bottom"/>
            <w:hideMark/>
          </w:tcPr>
          <w:p w14:paraId="46DF31A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-55.8</w:t>
            </w:r>
          </w:p>
        </w:tc>
        <w:tc>
          <w:tcPr>
            <w:tcW w:w="893" w:type="dxa"/>
            <w:tcBorders>
              <w:top w:val="nil"/>
              <w:left w:val="nil"/>
              <w:bottom w:val="nil"/>
              <w:right w:val="nil"/>
            </w:tcBorders>
            <w:shd w:val="clear" w:color="auto" w:fill="auto"/>
            <w:noWrap/>
            <w:vAlign w:val="bottom"/>
            <w:hideMark/>
          </w:tcPr>
          <w:p w14:paraId="7B7FF1B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-75.6</w:t>
            </w:r>
          </w:p>
        </w:tc>
      </w:tr>
      <w:tr w:rsidR="00634ABA" w:rsidRPr="00986F85" w14:paraId="096E9522" w14:textId="77777777" w:rsidTr="00476987">
        <w:trPr>
          <w:trHeight w:val="283"/>
        </w:trPr>
        <w:tc>
          <w:tcPr>
            <w:tcW w:w="365" w:type="dxa"/>
            <w:vMerge/>
            <w:tcBorders>
              <w:top w:val="nil"/>
              <w:left w:val="nil"/>
              <w:bottom w:val="nil"/>
              <w:right w:val="nil"/>
            </w:tcBorders>
            <w:vAlign w:val="center"/>
            <w:hideMark/>
          </w:tcPr>
          <w:p w14:paraId="4EAB2FF1" w14:textId="77777777" w:rsidR="00634ABA" w:rsidRPr="00986F85" w:rsidRDefault="00634ABA" w:rsidP="00476987">
            <w:pPr>
              <w:spacing w:after="0" w:line="240" w:lineRule="auto"/>
              <w:rPr>
                <w:rFonts w:eastAsia="Times New Roman"/>
                <w:color w:val="000000"/>
                <w:lang w:eastAsia="hu-HU"/>
              </w:rPr>
            </w:pPr>
          </w:p>
        </w:tc>
        <w:tc>
          <w:tcPr>
            <w:tcW w:w="2568" w:type="dxa"/>
            <w:tcBorders>
              <w:top w:val="nil"/>
              <w:left w:val="nil"/>
              <w:bottom w:val="nil"/>
              <w:right w:val="nil"/>
            </w:tcBorders>
            <w:shd w:val="clear" w:color="auto" w:fill="auto"/>
            <w:noWrap/>
            <w:vAlign w:val="bottom"/>
            <w:hideMark/>
          </w:tcPr>
          <w:p w14:paraId="185B1316"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Hozzáadott érték</w:t>
            </w:r>
          </w:p>
        </w:tc>
        <w:tc>
          <w:tcPr>
            <w:tcW w:w="836" w:type="dxa"/>
            <w:tcBorders>
              <w:top w:val="nil"/>
              <w:left w:val="nil"/>
              <w:bottom w:val="nil"/>
              <w:right w:val="nil"/>
            </w:tcBorders>
            <w:shd w:val="clear" w:color="auto" w:fill="auto"/>
            <w:noWrap/>
            <w:vAlign w:val="bottom"/>
            <w:hideMark/>
          </w:tcPr>
          <w:p w14:paraId="78F7E0F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-2937</w:t>
            </w:r>
          </w:p>
        </w:tc>
        <w:tc>
          <w:tcPr>
            <w:tcW w:w="748" w:type="dxa"/>
            <w:tcBorders>
              <w:top w:val="nil"/>
              <w:left w:val="nil"/>
              <w:bottom w:val="nil"/>
              <w:right w:val="nil"/>
            </w:tcBorders>
            <w:shd w:val="clear" w:color="auto" w:fill="auto"/>
            <w:noWrap/>
            <w:vAlign w:val="bottom"/>
            <w:hideMark/>
          </w:tcPr>
          <w:p w14:paraId="587F84B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-2753</w:t>
            </w:r>
          </w:p>
        </w:tc>
        <w:tc>
          <w:tcPr>
            <w:tcW w:w="748" w:type="dxa"/>
            <w:tcBorders>
              <w:top w:val="nil"/>
              <w:left w:val="nil"/>
              <w:bottom w:val="nil"/>
              <w:right w:val="nil"/>
            </w:tcBorders>
            <w:shd w:val="clear" w:color="auto" w:fill="auto"/>
            <w:noWrap/>
            <w:vAlign w:val="bottom"/>
            <w:hideMark/>
          </w:tcPr>
          <w:p w14:paraId="2F12E72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-2109</w:t>
            </w:r>
          </w:p>
        </w:tc>
        <w:tc>
          <w:tcPr>
            <w:tcW w:w="748" w:type="dxa"/>
            <w:tcBorders>
              <w:top w:val="nil"/>
              <w:left w:val="nil"/>
              <w:bottom w:val="nil"/>
              <w:right w:val="nil"/>
            </w:tcBorders>
            <w:shd w:val="clear" w:color="auto" w:fill="auto"/>
            <w:noWrap/>
            <w:vAlign w:val="bottom"/>
            <w:hideMark/>
          </w:tcPr>
          <w:p w14:paraId="033A7D0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-1626</w:t>
            </w:r>
          </w:p>
        </w:tc>
        <w:tc>
          <w:tcPr>
            <w:tcW w:w="893" w:type="dxa"/>
            <w:tcBorders>
              <w:top w:val="nil"/>
              <w:left w:val="nil"/>
              <w:bottom w:val="nil"/>
              <w:right w:val="nil"/>
            </w:tcBorders>
            <w:shd w:val="clear" w:color="auto" w:fill="auto"/>
            <w:noWrap/>
            <w:vAlign w:val="bottom"/>
            <w:hideMark/>
          </w:tcPr>
          <w:p w14:paraId="75DABE9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-2629.5</w:t>
            </w:r>
          </w:p>
        </w:tc>
        <w:tc>
          <w:tcPr>
            <w:tcW w:w="893" w:type="dxa"/>
            <w:tcBorders>
              <w:top w:val="nil"/>
              <w:left w:val="nil"/>
              <w:bottom w:val="nil"/>
              <w:right w:val="nil"/>
            </w:tcBorders>
            <w:shd w:val="clear" w:color="auto" w:fill="auto"/>
            <w:noWrap/>
            <w:vAlign w:val="bottom"/>
            <w:hideMark/>
          </w:tcPr>
          <w:p w14:paraId="63CFAE2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-1829.5</w:t>
            </w:r>
          </w:p>
        </w:tc>
        <w:tc>
          <w:tcPr>
            <w:tcW w:w="748" w:type="dxa"/>
            <w:tcBorders>
              <w:top w:val="nil"/>
              <w:left w:val="nil"/>
              <w:bottom w:val="nil"/>
              <w:right w:val="nil"/>
            </w:tcBorders>
            <w:shd w:val="clear" w:color="auto" w:fill="auto"/>
            <w:noWrap/>
            <w:vAlign w:val="bottom"/>
            <w:hideMark/>
          </w:tcPr>
          <w:p w14:paraId="31582D2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-2305</w:t>
            </w:r>
          </w:p>
        </w:tc>
        <w:tc>
          <w:tcPr>
            <w:tcW w:w="893" w:type="dxa"/>
            <w:tcBorders>
              <w:top w:val="nil"/>
              <w:left w:val="nil"/>
              <w:bottom w:val="nil"/>
              <w:right w:val="nil"/>
            </w:tcBorders>
            <w:shd w:val="clear" w:color="auto" w:fill="auto"/>
            <w:noWrap/>
            <w:vAlign w:val="bottom"/>
            <w:hideMark/>
          </w:tcPr>
          <w:p w14:paraId="1EC868F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-2517</w:t>
            </w:r>
          </w:p>
        </w:tc>
      </w:tr>
      <w:tr w:rsidR="00634ABA" w:rsidRPr="00986F85" w14:paraId="147B67AA" w14:textId="77777777" w:rsidTr="00476987">
        <w:trPr>
          <w:trHeight w:val="283"/>
        </w:trPr>
        <w:tc>
          <w:tcPr>
            <w:tcW w:w="365" w:type="dxa"/>
            <w:vMerge/>
            <w:tcBorders>
              <w:top w:val="nil"/>
              <w:left w:val="nil"/>
              <w:bottom w:val="nil"/>
              <w:right w:val="nil"/>
            </w:tcBorders>
            <w:vAlign w:val="center"/>
            <w:hideMark/>
          </w:tcPr>
          <w:p w14:paraId="725BF9F0" w14:textId="77777777" w:rsidR="00634ABA" w:rsidRPr="00986F85" w:rsidRDefault="00634ABA" w:rsidP="00476987">
            <w:pPr>
              <w:spacing w:after="0" w:line="240" w:lineRule="auto"/>
              <w:rPr>
                <w:rFonts w:eastAsia="Times New Roman"/>
                <w:color w:val="000000"/>
                <w:lang w:eastAsia="hu-HU"/>
              </w:rPr>
            </w:pPr>
          </w:p>
        </w:tc>
        <w:tc>
          <w:tcPr>
            <w:tcW w:w="2568" w:type="dxa"/>
            <w:tcBorders>
              <w:top w:val="nil"/>
              <w:left w:val="nil"/>
              <w:bottom w:val="nil"/>
              <w:right w:val="nil"/>
            </w:tcBorders>
            <w:shd w:val="clear" w:color="auto" w:fill="auto"/>
            <w:noWrap/>
            <w:vAlign w:val="bottom"/>
            <w:hideMark/>
          </w:tcPr>
          <w:p w14:paraId="4D905C0E"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Egy foglalkoztatottra eső hozzáadott érték</w:t>
            </w:r>
          </w:p>
        </w:tc>
        <w:tc>
          <w:tcPr>
            <w:tcW w:w="836" w:type="dxa"/>
            <w:tcBorders>
              <w:top w:val="nil"/>
              <w:left w:val="nil"/>
              <w:bottom w:val="nil"/>
              <w:right w:val="nil"/>
            </w:tcBorders>
            <w:shd w:val="clear" w:color="auto" w:fill="auto"/>
            <w:noWrap/>
            <w:vAlign w:val="bottom"/>
            <w:hideMark/>
          </w:tcPr>
          <w:p w14:paraId="3628664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-174.8</w:t>
            </w:r>
          </w:p>
        </w:tc>
        <w:tc>
          <w:tcPr>
            <w:tcW w:w="748" w:type="dxa"/>
            <w:tcBorders>
              <w:top w:val="nil"/>
              <w:left w:val="nil"/>
              <w:bottom w:val="nil"/>
              <w:right w:val="nil"/>
            </w:tcBorders>
            <w:shd w:val="clear" w:color="auto" w:fill="auto"/>
            <w:noWrap/>
            <w:vAlign w:val="bottom"/>
            <w:hideMark/>
          </w:tcPr>
          <w:p w14:paraId="46E82F1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-185.3</w:t>
            </w:r>
          </w:p>
        </w:tc>
        <w:tc>
          <w:tcPr>
            <w:tcW w:w="748" w:type="dxa"/>
            <w:tcBorders>
              <w:top w:val="nil"/>
              <w:left w:val="nil"/>
              <w:bottom w:val="nil"/>
              <w:right w:val="nil"/>
            </w:tcBorders>
            <w:shd w:val="clear" w:color="auto" w:fill="auto"/>
            <w:noWrap/>
            <w:vAlign w:val="bottom"/>
            <w:hideMark/>
          </w:tcPr>
          <w:p w14:paraId="5463973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-120.2</w:t>
            </w:r>
          </w:p>
        </w:tc>
        <w:tc>
          <w:tcPr>
            <w:tcW w:w="748" w:type="dxa"/>
            <w:tcBorders>
              <w:top w:val="nil"/>
              <w:left w:val="nil"/>
              <w:bottom w:val="nil"/>
              <w:right w:val="nil"/>
            </w:tcBorders>
            <w:shd w:val="clear" w:color="auto" w:fill="auto"/>
            <w:noWrap/>
            <w:vAlign w:val="bottom"/>
            <w:hideMark/>
          </w:tcPr>
          <w:p w14:paraId="0BADF21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-92.6</w:t>
            </w:r>
          </w:p>
        </w:tc>
        <w:tc>
          <w:tcPr>
            <w:tcW w:w="893" w:type="dxa"/>
            <w:tcBorders>
              <w:top w:val="nil"/>
              <w:left w:val="nil"/>
              <w:bottom w:val="nil"/>
              <w:right w:val="nil"/>
            </w:tcBorders>
            <w:shd w:val="clear" w:color="auto" w:fill="auto"/>
            <w:noWrap/>
            <w:vAlign w:val="bottom"/>
            <w:hideMark/>
          </w:tcPr>
          <w:p w14:paraId="2B2D9B5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-139.1</w:t>
            </w:r>
          </w:p>
        </w:tc>
        <w:tc>
          <w:tcPr>
            <w:tcW w:w="893" w:type="dxa"/>
            <w:tcBorders>
              <w:top w:val="nil"/>
              <w:left w:val="nil"/>
              <w:bottom w:val="nil"/>
              <w:right w:val="nil"/>
            </w:tcBorders>
            <w:shd w:val="clear" w:color="auto" w:fill="auto"/>
            <w:noWrap/>
            <w:vAlign w:val="bottom"/>
            <w:hideMark/>
          </w:tcPr>
          <w:p w14:paraId="0FAD7F4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-94.7</w:t>
            </w:r>
          </w:p>
        </w:tc>
        <w:tc>
          <w:tcPr>
            <w:tcW w:w="748" w:type="dxa"/>
            <w:tcBorders>
              <w:top w:val="nil"/>
              <w:left w:val="nil"/>
              <w:bottom w:val="nil"/>
              <w:right w:val="nil"/>
            </w:tcBorders>
            <w:shd w:val="clear" w:color="auto" w:fill="auto"/>
            <w:noWrap/>
            <w:vAlign w:val="bottom"/>
            <w:hideMark/>
          </w:tcPr>
          <w:p w14:paraId="0DF76C8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-117.5</w:t>
            </w:r>
          </w:p>
        </w:tc>
        <w:tc>
          <w:tcPr>
            <w:tcW w:w="893" w:type="dxa"/>
            <w:tcBorders>
              <w:top w:val="nil"/>
              <w:left w:val="nil"/>
              <w:bottom w:val="nil"/>
              <w:right w:val="nil"/>
            </w:tcBorders>
            <w:shd w:val="clear" w:color="auto" w:fill="auto"/>
            <w:noWrap/>
            <w:vAlign w:val="bottom"/>
            <w:hideMark/>
          </w:tcPr>
          <w:p w14:paraId="680B4C4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-144.6</w:t>
            </w:r>
          </w:p>
        </w:tc>
      </w:tr>
      <w:tr w:rsidR="00634ABA" w:rsidRPr="00986F85" w14:paraId="6C75FE25" w14:textId="77777777" w:rsidTr="00476987">
        <w:trPr>
          <w:trHeight w:val="283"/>
        </w:trPr>
        <w:tc>
          <w:tcPr>
            <w:tcW w:w="365" w:type="dxa"/>
            <w:vMerge/>
            <w:tcBorders>
              <w:top w:val="nil"/>
              <w:left w:val="nil"/>
              <w:bottom w:val="nil"/>
              <w:right w:val="nil"/>
            </w:tcBorders>
            <w:vAlign w:val="center"/>
            <w:hideMark/>
          </w:tcPr>
          <w:p w14:paraId="5D44ACFD" w14:textId="77777777" w:rsidR="00634ABA" w:rsidRPr="00986F85" w:rsidRDefault="00634ABA" w:rsidP="00476987">
            <w:pPr>
              <w:spacing w:after="0" w:line="240" w:lineRule="auto"/>
              <w:rPr>
                <w:rFonts w:eastAsia="Times New Roman"/>
                <w:color w:val="000000"/>
                <w:lang w:eastAsia="hu-HU"/>
              </w:rPr>
            </w:pPr>
          </w:p>
        </w:tc>
        <w:tc>
          <w:tcPr>
            <w:tcW w:w="2568" w:type="dxa"/>
            <w:tcBorders>
              <w:top w:val="nil"/>
              <w:left w:val="nil"/>
              <w:bottom w:val="nil"/>
              <w:right w:val="nil"/>
            </w:tcBorders>
            <w:shd w:val="clear" w:color="auto" w:fill="auto"/>
            <w:noWrap/>
            <w:vAlign w:val="bottom"/>
            <w:hideMark/>
          </w:tcPr>
          <w:p w14:paraId="2EAD43A6"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ROA</w:t>
            </w:r>
          </w:p>
        </w:tc>
        <w:tc>
          <w:tcPr>
            <w:tcW w:w="836" w:type="dxa"/>
            <w:tcBorders>
              <w:top w:val="nil"/>
              <w:left w:val="nil"/>
              <w:bottom w:val="nil"/>
              <w:right w:val="nil"/>
            </w:tcBorders>
            <w:shd w:val="clear" w:color="auto" w:fill="auto"/>
            <w:noWrap/>
            <w:vAlign w:val="bottom"/>
            <w:hideMark/>
          </w:tcPr>
          <w:p w14:paraId="4808F3B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-0.017</w:t>
            </w:r>
          </w:p>
        </w:tc>
        <w:tc>
          <w:tcPr>
            <w:tcW w:w="748" w:type="dxa"/>
            <w:tcBorders>
              <w:top w:val="nil"/>
              <w:left w:val="nil"/>
              <w:bottom w:val="nil"/>
              <w:right w:val="nil"/>
            </w:tcBorders>
            <w:shd w:val="clear" w:color="auto" w:fill="auto"/>
            <w:noWrap/>
            <w:vAlign w:val="bottom"/>
            <w:hideMark/>
          </w:tcPr>
          <w:p w14:paraId="1A79DCF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-0.022</w:t>
            </w:r>
          </w:p>
        </w:tc>
        <w:tc>
          <w:tcPr>
            <w:tcW w:w="748" w:type="dxa"/>
            <w:tcBorders>
              <w:top w:val="nil"/>
              <w:left w:val="nil"/>
              <w:bottom w:val="nil"/>
              <w:right w:val="nil"/>
            </w:tcBorders>
            <w:shd w:val="clear" w:color="auto" w:fill="auto"/>
            <w:noWrap/>
            <w:vAlign w:val="bottom"/>
            <w:hideMark/>
          </w:tcPr>
          <w:p w14:paraId="501DC4E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-0.014</w:t>
            </w:r>
          </w:p>
        </w:tc>
        <w:tc>
          <w:tcPr>
            <w:tcW w:w="748" w:type="dxa"/>
            <w:tcBorders>
              <w:top w:val="nil"/>
              <w:left w:val="nil"/>
              <w:bottom w:val="nil"/>
              <w:right w:val="nil"/>
            </w:tcBorders>
            <w:shd w:val="clear" w:color="auto" w:fill="auto"/>
            <w:noWrap/>
            <w:vAlign w:val="bottom"/>
            <w:hideMark/>
          </w:tcPr>
          <w:p w14:paraId="211759A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-0.012</w:t>
            </w:r>
          </w:p>
        </w:tc>
        <w:tc>
          <w:tcPr>
            <w:tcW w:w="893" w:type="dxa"/>
            <w:tcBorders>
              <w:top w:val="nil"/>
              <w:left w:val="nil"/>
              <w:bottom w:val="nil"/>
              <w:right w:val="nil"/>
            </w:tcBorders>
            <w:shd w:val="clear" w:color="auto" w:fill="auto"/>
            <w:noWrap/>
            <w:vAlign w:val="bottom"/>
            <w:hideMark/>
          </w:tcPr>
          <w:p w14:paraId="17D690E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-0.018</w:t>
            </w:r>
          </w:p>
        </w:tc>
        <w:tc>
          <w:tcPr>
            <w:tcW w:w="893" w:type="dxa"/>
            <w:tcBorders>
              <w:top w:val="nil"/>
              <w:left w:val="nil"/>
              <w:bottom w:val="nil"/>
              <w:right w:val="nil"/>
            </w:tcBorders>
            <w:shd w:val="clear" w:color="auto" w:fill="auto"/>
            <w:noWrap/>
            <w:vAlign w:val="bottom"/>
            <w:hideMark/>
          </w:tcPr>
          <w:p w14:paraId="1D814A0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-0.015</w:t>
            </w:r>
          </w:p>
        </w:tc>
        <w:tc>
          <w:tcPr>
            <w:tcW w:w="748" w:type="dxa"/>
            <w:tcBorders>
              <w:top w:val="nil"/>
              <w:left w:val="nil"/>
              <w:bottom w:val="nil"/>
              <w:right w:val="nil"/>
            </w:tcBorders>
            <w:shd w:val="clear" w:color="auto" w:fill="auto"/>
            <w:noWrap/>
            <w:vAlign w:val="bottom"/>
            <w:hideMark/>
          </w:tcPr>
          <w:p w14:paraId="0401C82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-0.015</w:t>
            </w:r>
          </w:p>
        </w:tc>
        <w:tc>
          <w:tcPr>
            <w:tcW w:w="893" w:type="dxa"/>
            <w:tcBorders>
              <w:top w:val="nil"/>
              <w:left w:val="nil"/>
              <w:bottom w:val="nil"/>
              <w:right w:val="nil"/>
            </w:tcBorders>
            <w:shd w:val="clear" w:color="auto" w:fill="auto"/>
            <w:noWrap/>
            <w:vAlign w:val="bottom"/>
            <w:hideMark/>
          </w:tcPr>
          <w:p w14:paraId="536889A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-0.017</w:t>
            </w:r>
          </w:p>
        </w:tc>
      </w:tr>
      <w:tr w:rsidR="00634ABA" w:rsidRPr="00986F85" w14:paraId="358E97F2" w14:textId="77777777" w:rsidTr="00476987">
        <w:trPr>
          <w:trHeight w:val="283"/>
        </w:trPr>
        <w:tc>
          <w:tcPr>
            <w:tcW w:w="365" w:type="dxa"/>
            <w:tcBorders>
              <w:top w:val="nil"/>
              <w:left w:val="nil"/>
              <w:bottom w:val="nil"/>
              <w:right w:val="nil"/>
            </w:tcBorders>
            <w:shd w:val="clear" w:color="auto" w:fill="auto"/>
            <w:noWrap/>
            <w:textDirection w:val="btLr"/>
            <w:vAlign w:val="bottom"/>
            <w:hideMark/>
          </w:tcPr>
          <w:p w14:paraId="05A3C4E9" w14:textId="77777777" w:rsidR="00634ABA" w:rsidRPr="00986F85" w:rsidRDefault="00634ABA" w:rsidP="00476987">
            <w:pPr>
              <w:spacing w:after="0" w:line="240" w:lineRule="auto"/>
              <w:jc w:val="center"/>
              <w:rPr>
                <w:rFonts w:eastAsia="Times New Roman"/>
                <w:color w:val="000000"/>
                <w:lang w:eastAsia="hu-HU"/>
              </w:rPr>
            </w:pPr>
          </w:p>
        </w:tc>
        <w:tc>
          <w:tcPr>
            <w:tcW w:w="2568" w:type="dxa"/>
            <w:tcBorders>
              <w:top w:val="nil"/>
              <w:left w:val="nil"/>
              <w:bottom w:val="nil"/>
              <w:right w:val="nil"/>
            </w:tcBorders>
            <w:shd w:val="clear" w:color="auto" w:fill="auto"/>
            <w:noWrap/>
            <w:vAlign w:val="bottom"/>
            <w:hideMark/>
          </w:tcPr>
          <w:p w14:paraId="76C5CEAC" w14:textId="77777777" w:rsidR="00634ABA" w:rsidRPr="00986F85" w:rsidRDefault="00634ABA" w:rsidP="00476987">
            <w:pPr>
              <w:spacing w:after="0" w:line="240" w:lineRule="auto"/>
              <w:rPr>
                <w:rFonts w:eastAsia="Times New Roman"/>
                <w:color w:val="000000"/>
                <w:lang w:eastAsia="hu-HU"/>
              </w:rPr>
            </w:pPr>
          </w:p>
        </w:tc>
        <w:tc>
          <w:tcPr>
            <w:tcW w:w="836" w:type="dxa"/>
            <w:tcBorders>
              <w:top w:val="nil"/>
              <w:left w:val="nil"/>
              <w:bottom w:val="nil"/>
              <w:right w:val="nil"/>
            </w:tcBorders>
            <w:shd w:val="clear" w:color="auto" w:fill="auto"/>
            <w:noWrap/>
            <w:vAlign w:val="bottom"/>
            <w:hideMark/>
          </w:tcPr>
          <w:p w14:paraId="1D9686E3" w14:textId="77777777" w:rsidR="00634ABA" w:rsidRPr="00986F85" w:rsidRDefault="00634ABA" w:rsidP="00476987">
            <w:pPr>
              <w:spacing w:after="0" w:line="240" w:lineRule="auto"/>
              <w:rPr>
                <w:rFonts w:eastAsia="Times New Roman"/>
                <w:color w:val="000000"/>
                <w:lang w:eastAsia="hu-HU"/>
              </w:rPr>
            </w:pPr>
          </w:p>
        </w:tc>
        <w:tc>
          <w:tcPr>
            <w:tcW w:w="748" w:type="dxa"/>
            <w:tcBorders>
              <w:top w:val="nil"/>
              <w:left w:val="nil"/>
              <w:bottom w:val="nil"/>
              <w:right w:val="nil"/>
            </w:tcBorders>
            <w:shd w:val="clear" w:color="auto" w:fill="auto"/>
            <w:noWrap/>
            <w:vAlign w:val="bottom"/>
            <w:hideMark/>
          </w:tcPr>
          <w:p w14:paraId="32C1633F" w14:textId="77777777" w:rsidR="00634ABA" w:rsidRPr="00986F85" w:rsidRDefault="00634ABA" w:rsidP="00476987">
            <w:pPr>
              <w:spacing w:after="0" w:line="240" w:lineRule="auto"/>
              <w:rPr>
                <w:rFonts w:eastAsia="Times New Roman"/>
                <w:color w:val="000000"/>
                <w:lang w:eastAsia="hu-HU"/>
              </w:rPr>
            </w:pPr>
          </w:p>
        </w:tc>
        <w:tc>
          <w:tcPr>
            <w:tcW w:w="748" w:type="dxa"/>
            <w:tcBorders>
              <w:top w:val="nil"/>
              <w:left w:val="nil"/>
              <w:bottom w:val="nil"/>
              <w:right w:val="nil"/>
            </w:tcBorders>
            <w:shd w:val="clear" w:color="auto" w:fill="auto"/>
            <w:noWrap/>
            <w:vAlign w:val="bottom"/>
            <w:hideMark/>
          </w:tcPr>
          <w:p w14:paraId="400924E1" w14:textId="77777777" w:rsidR="00634ABA" w:rsidRPr="00986F85" w:rsidRDefault="00634ABA" w:rsidP="00476987">
            <w:pPr>
              <w:spacing w:after="0" w:line="240" w:lineRule="auto"/>
              <w:rPr>
                <w:rFonts w:eastAsia="Times New Roman"/>
                <w:color w:val="000000"/>
                <w:lang w:eastAsia="hu-HU"/>
              </w:rPr>
            </w:pPr>
          </w:p>
        </w:tc>
        <w:tc>
          <w:tcPr>
            <w:tcW w:w="748" w:type="dxa"/>
            <w:tcBorders>
              <w:top w:val="nil"/>
              <w:left w:val="nil"/>
              <w:bottom w:val="nil"/>
              <w:right w:val="nil"/>
            </w:tcBorders>
            <w:shd w:val="clear" w:color="auto" w:fill="auto"/>
            <w:noWrap/>
            <w:vAlign w:val="bottom"/>
            <w:hideMark/>
          </w:tcPr>
          <w:p w14:paraId="39D8A009" w14:textId="77777777" w:rsidR="00634ABA" w:rsidRPr="00986F85" w:rsidRDefault="00634ABA" w:rsidP="00476987">
            <w:pPr>
              <w:spacing w:after="0" w:line="240" w:lineRule="auto"/>
              <w:rPr>
                <w:rFonts w:eastAsia="Times New Roman"/>
                <w:color w:val="000000"/>
                <w:lang w:eastAsia="hu-HU"/>
              </w:rPr>
            </w:pPr>
          </w:p>
        </w:tc>
        <w:tc>
          <w:tcPr>
            <w:tcW w:w="893" w:type="dxa"/>
            <w:tcBorders>
              <w:top w:val="nil"/>
              <w:left w:val="nil"/>
              <w:bottom w:val="nil"/>
              <w:right w:val="nil"/>
            </w:tcBorders>
            <w:shd w:val="clear" w:color="auto" w:fill="auto"/>
            <w:noWrap/>
            <w:vAlign w:val="bottom"/>
            <w:hideMark/>
          </w:tcPr>
          <w:p w14:paraId="46803A02" w14:textId="77777777" w:rsidR="00634ABA" w:rsidRPr="00986F85" w:rsidRDefault="00634ABA" w:rsidP="00476987">
            <w:pPr>
              <w:spacing w:after="0" w:line="240" w:lineRule="auto"/>
              <w:rPr>
                <w:rFonts w:eastAsia="Times New Roman"/>
                <w:color w:val="000000"/>
                <w:lang w:eastAsia="hu-HU"/>
              </w:rPr>
            </w:pPr>
          </w:p>
        </w:tc>
        <w:tc>
          <w:tcPr>
            <w:tcW w:w="893" w:type="dxa"/>
            <w:tcBorders>
              <w:top w:val="nil"/>
              <w:left w:val="nil"/>
              <w:bottom w:val="nil"/>
              <w:right w:val="nil"/>
            </w:tcBorders>
            <w:shd w:val="clear" w:color="auto" w:fill="auto"/>
            <w:noWrap/>
            <w:vAlign w:val="bottom"/>
            <w:hideMark/>
          </w:tcPr>
          <w:p w14:paraId="403E362B" w14:textId="77777777" w:rsidR="00634ABA" w:rsidRPr="00986F85" w:rsidRDefault="00634ABA" w:rsidP="00476987">
            <w:pPr>
              <w:spacing w:after="0" w:line="240" w:lineRule="auto"/>
              <w:rPr>
                <w:rFonts w:eastAsia="Times New Roman"/>
                <w:color w:val="000000"/>
                <w:lang w:eastAsia="hu-HU"/>
              </w:rPr>
            </w:pPr>
          </w:p>
        </w:tc>
        <w:tc>
          <w:tcPr>
            <w:tcW w:w="748" w:type="dxa"/>
            <w:tcBorders>
              <w:top w:val="nil"/>
              <w:left w:val="nil"/>
              <w:bottom w:val="nil"/>
              <w:right w:val="nil"/>
            </w:tcBorders>
            <w:shd w:val="clear" w:color="auto" w:fill="auto"/>
            <w:noWrap/>
            <w:vAlign w:val="bottom"/>
            <w:hideMark/>
          </w:tcPr>
          <w:p w14:paraId="2DB0E87D" w14:textId="77777777" w:rsidR="00634ABA" w:rsidRPr="00986F85" w:rsidRDefault="00634ABA" w:rsidP="00476987">
            <w:pPr>
              <w:spacing w:after="0" w:line="240" w:lineRule="auto"/>
              <w:rPr>
                <w:rFonts w:eastAsia="Times New Roman"/>
                <w:color w:val="000000"/>
                <w:lang w:eastAsia="hu-HU"/>
              </w:rPr>
            </w:pPr>
          </w:p>
        </w:tc>
        <w:tc>
          <w:tcPr>
            <w:tcW w:w="893" w:type="dxa"/>
            <w:tcBorders>
              <w:top w:val="nil"/>
              <w:left w:val="nil"/>
              <w:bottom w:val="nil"/>
              <w:right w:val="nil"/>
            </w:tcBorders>
            <w:shd w:val="clear" w:color="auto" w:fill="auto"/>
            <w:noWrap/>
            <w:vAlign w:val="bottom"/>
            <w:hideMark/>
          </w:tcPr>
          <w:p w14:paraId="76D3C738" w14:textId="77777777" w:rsidR="00634ABA" w:rsidRPr="00986F85" w:rsidRDefault="00634ABA" w:rsidP="00476987">
            <w:pPr>
              <w:spacing w:after="0" w:line="240" w:lineRule="auto"/>
              <w:rPr>
                <w:rFonts w:eastAsia="Times New Roman"/>
                <w:color w:val="000000"/>
                <w:lang w:eastAsia="hu-HU"/>
              </w:rPr>
            </w:pPr>
          </w:p>
        </w:tc>
      </w:tr>
      <w:tr w:rsidR="00634ABA" w:rsidRPr="00986F85" w14:paraId="38CC58AC" w14:textId="77777777" w:rsidTr="00476987">
        <w:trPr>
          <w:trHeight w:val="283"/>
        </w:trPr>
        <w:tc>
          <w:tcPr>
            <w:tcW w:w="365" w:type="dxa"/>
            <w:vMerge w:val="restart"/>
            <w:tcBorders>
              <w:top w:val="nil"/>
              <w:left w:val="nil"/>
              <w:bottom w:val="nil"/>
              <w:right w:val="nil"/>
            </w:tcBorders>
            <w:shd w:val="clear" w:color="auto" w:fill="auto"/>
            <w:noWrap/>
            <w:textDirection w:val="btLr"/>
            <w:vAlign w:val="bottom"/>
            <w:hideMark/>
          </w:tcPr>
          <w:p w14:paraId="3A67E845" w14:textId="77777777" w:rsidR="00634ABA" w:rsidRPr="00986F85" w:rsidRDefault="00634ABA" w:rsidP="00476987">
            <w:pPr>
              <w:spacing w:after="0" w:line="240" w:lineRule="auto"/>
              <w:jc w:val="center"/>
              <w:rPr>
                <w:rFonts w:eastAsia="Times New Roman"/>
                <w:b/>
                <w:color w:val="000000"/>
                <w:lang w:eastAsia="hu-HU"/>
              </w:rPr>
            </w:pPr>
            <w:r w:rsidRPr="00986F85">
              <w:rPr>
                <w:rFonts w:eastAsia="Times New Roman"/>
                <w:b/>
                <w:color w:val="000000"/>
                <w:lang w:eastAsia="hu-HU"/>
              </w:rPr>
              <w:t>Nyertes</w:t>
            </w:r>
          </w:p>
        </w:tc>
        <w:tc>
          <w:tcPr>
            <w:tcW w:w="2568" w:type="dxa"/>
            <w:tcBorders>
              <w:top w:val="nil"/>
              <w:left w:val="nil"/>
              <w:bottom w:val="nil"/>
              <w:right w:val="nil"/>
            </w:tcBorders>
            <w:shd w:val="clear" w:color="auto" w:fill="auto"/>
            <w:noWrap/>
            <w:vAlign w:val="bottom"/>
            <w:hideMark/>
          </w:tcPr>
          <w:p w14:paraId="3F46723D"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Foglalkoztatottak száma (%)</w:t>
            </w:r>
          </w:p>
        </w:tc>
        <w:tc>
          <w:tcPr>
            <w:tcW w:w="836" w:type="dxa"/>
            <w:tcBorders>
              <w:top w:val="nil"/>
              <w:left w:val="nil"/>
              <w:bottom w:val="nil"/>
              <w:right w:val="nil"/>
            </w:tcBorders>
            <w:shd w:val="clear" w:color="auto" w:fill="auto"/>
            <w:noWrap/>
            <w:vAlign w:val="bottom"/>
            <w:hideMark/>
          </w:tcPr>
          <w:p w14:paraId="0C99597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748" w:type="dxa"/>
            <w:tcBorders>
              <w:top w:val="nil"/>
              <w:left w:val="nil"/>
              <w:bottom w:val="nil"/>
              <w:right w:val="nil"/>
            </w:tcBorders>
            <w:shd w:val="clear" w:color="auto" w:fill="auto"/>
            <w:noWrap/>
            <w:vAlign w:val="bottom"/>
            <w:hideMark/>
          </w:tcPr>
          <w:p w14:paraId="7209F2C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748" w:type="dxa"/>
            <w:tcBorders>
              <w:top w:val="nil"/>
              <w:left w:val="nil"/>
              <w:bottom w:val="nil"/>
              <w:right w:val="nil"/>
            </w:tcBorders>
            <w:shd w:val="clear" w:color="auto" w:fill="auto"/>
            <w:noWrap/>
            <w:vAlign w:val="bottom"/>
            <w:hideMark/>
          </w:tcPr>
          <w:p w14:paraId="02B2F61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748" w:type="dxa"/>
            <w:tcBorders>
              <w:top w:val="nil"/>
              <w:left w:val="nil"/>
              <w:bottom w:val="nil"/>
              <w:right w:val="nil"/>
            </w:tcBorders>
            <w:shd w:val="clear" w:color="auto" w:fill="auto"/>
            <w:noWrap/>
            <w:vAlign w:val="bottom"/>
            <w:hideMark/>
          </w:tcPr>
          <w:p w14:paraId="26977C5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93" w:type="dxa"/>
            <w:tcBorders>
              <w:top w:val="nil"/>
              <w:left w:val="nil"/>
              <w:bottom w:val="nil"/>
              <w:right w:val="nil"/>
            </w:tcBorders>
            <w:shd w:val="clear" w:color="auto" w:fill="auto"/>
            <w:noWrap/>
            <w:vAlign w:val="bottom"/>
            <w:hideMark/>
          </w:tcPr>
          <w:p w14:paraId="1C89E0F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93" w:type="dxa"/>
            <w:tcBorders>
              <w:top w:val="nil"/>
              <w:left w:val="nil"/>
              <w:bottom w:val="nil"/>
              <w:right w:val="nil"/>
            </w:tcBorders>
            <w:shd w:val="clear" w:color="auto" w:fill="auto"/>
            <w:noWrap/>
            <w:vAlign w:val="bottom"/>
            <w:hideMark/>
          </w:tcPr>
          <w:p w14:paraId="70890A0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748" w:type="dxa"/>
            <w:tcBorders>
              <w:top w:val="nil"/>
              <w:left w:val="nil"/>
              <w:bottom w:val="nil"/>
              <w:right w:val="nil"/>
            </w:tcBorders>
            <w:shd w:val="clear" w:color="auto" w:fill="auto"/>
            <w:noWrap/>
            <w:vAlign w:val="bottom"/>
            <w:hideMark/>
          </w:tcPr>
          <w:p w14:paraId="54535AC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93" w:type="dxa"/>
            <w:tcBorders>
              <w:top w:val="nil"/>
              <w:left w:val="nil"/>
              <w:bottom w:val="nil"/>
              <w:right w:val="nil"/>
            </w:tcBorders>
            <w:shd w:val="clear" w:color="auto" w:fill="auto"/>
            <w:noWrap/>
            <w:vAlign w:val="bottom"/>
            <w:hideMark/>
          </w:tcPr>
          <w:p w14:paraId="1CCE7E3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r>
      <w:tr w:rsidR="00634ABA" w:rsidRPr="00986F85" w14:paraId="65B983C9" w14:textId="77777777" w:rsidTr="00476987">
        <w:trPr>
          <w:trHeight w:val="283"/>
        </w:trPr>
        <w:tc>
          <w:tcPr>
            <w:tcW w:w="365" w:type="dxa"/>
            <w:vMerge/>
            <w:tcBorders>
              <w:top w:val="nil"/>
              <w:left w:val="nil"/>
              <w:bottom w:val="nil"/>
              <w:right w:val="nil"/>
            </w:tcBorders>
            <w:vAlign w:val="center"/>
            <w:hideMark/>
          </w:tcPr>
          <w:p w14:paraId="127298C7" w14:textId="77777777" w:rsidR="00634ABA" w:rsidRPr="00986F85" w:rsidRDefault="00634ABA" w:rsidP="00476987">
            <w:pPr>
              <w:spacing w:after="0" w:line="240" w:lineRule="auto"/>
              <w:rPr>
                <w:rFonts w:eastAsia="Times New Roman"/>
                <w:color w:val="000000"/>
                <w:lang w:eastAsia="hu-HU"/>
              </w:rPr>
            </w:pPr>
          </w:p>
        </w:tc>
        <w:tc>
          <w:tcPr>
            <w:tcW w:w="2568" w:type="dxa"/>
            <w:tcBorders>
              <w:top w:val="nil"/>
              <w:left w:val="nil"/>
              <w:bottom w:val="nil"/>
              <w:right w:val="nil"/>
            </w:tcBorders>
            <w:shd w:val="clear" w:color="auto" w:fill="auto"/>
            <w:noWrap/>
            <w:vAlign w:val="bottom"/>
            <w:hideMark/>
          </w:tcPr>
          <w:p w14:paraId="515BB90C"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Nettó árbevétel (%)</w:t>
            </w:r>
          </w:p>
        </w:tc>
        <w:tc>
          <w:tcPr>
            <w:tcW w:w="836" w:type="dxa"/>
            <w:tcBorders>
              <w:top w:val="nil"/>
              <w:left w:val="nil"/>
              <w:bottom w:val="nil"/>
              <w:right w:val="nil"/>
            </w:tcBorders>
            <w:shd w:val="clear" w:color="auto" w:fill="auto"/>
            <w:noWrap/>
            <w:vAlign w:val="bottom"/>
            <w:hideMark/>
          </w:tcPr>
          <w:p w14:paraId="46D6E86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-6.4</w:t>
            </w:r>
          </w:p>
        </w:tc>
        <w:tc>
          <w:tcPr>
            <w:tcW w:w="748" w:type="dxa"/>
            <w:tcBorders>
              <w:top w:val="nil"/>
              <w:left w:val="nil"/>
              <w:bottom w:val="nil"/>
              <w:right w:val="nil"/>
            </w:tcBorders>
            <w:shd w:val="clear" w:color="auto" w:fill="auto"/>
            <w:noWrap/>
            <w:vAlign w:val="bottom"/>
            <w:hideMark/>
          </w:tcPr>
          <w:p w14:paraId="3D9DEE7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-6.8</w:t>
            </w:r>
          </w:p>
        </w:tc>
        <w:tc>
          <w:tcPr>
            <w:tcW w:w="748" w:type="dxa"/>
            <w:tcBorders>
              <w:top w:val="nil"/>
              <w:left w:val="nil"/>
              <w:bottom w:val="nil"/>
              <w:right w:val="nil"/>
            </w:tcBorders>
            <w:shd w:val="clear" w:color="auto" w:fill="auto"/>
            <w:noWrap/>
            <w:vAlign w:val="bottom"/>
            <w:hideMark/>
          </w:tcPr>
          <w:p w14:paraId="6ED11BA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-3.6</w:t>
            </w:r>
          </w:p>
        </w:tc>
        <w:tc>
          <w:tcPr>
            <w:tcW w:w="748" w:type="dxa"/>
            <w:tcBorders>
              <w:top w:val="nil"/>
              <w:left w:val="nil"/>
              <w:bottom w:val="nil"/>
              <w:right w:val="nil"/>
            </w:tcBorders>
            <w:shd w:val="clear" w:color="auto" w:fill="auto"/>
            <w:noWrap/>
            <w:vAlign w:val="bottom"/>
            <w:hideMark/>
          </w:tcPr>
          <w:p w14:paraId="671F7F4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-5.5</w:t>
            </w:r>
          </w:p>
        </w:tc>
        <w:tc>
          <w:tcPr>
            <w:tcW w:w="893" w:type="dxa"/>
            <w:tcBorders>
              <w:top w:val="nil"/>
              <w:left w:val="nil"/>
              <w:bottom w:val="nil"/>
              <w:right w:val="nil"/>
            </w:tcBorders>
            <w:shd w:val="clear" w:color="auto" w:fill="auto"/>
            <w:noWrap/>
            <w:vAlign w:val="bottom"/>
            <w:hideMark/>
          </w:tcPr>
          <w:p w14:paraId="3E62D94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-3.4</w:t>
            </w:r>
          </w:p>
        </w:tc>
        <w:tc>
          <w:tcPr>
            <w:tcW w:w="893" w:type="dxa"/>
            <w:tcBorders>
              <w:top w:val="nil"/>
              <w:left w:val="nil"/>
              <w:bottom w:val="nil"/>
              <w:right w:val="nil"/>
            </w:tcBorders>
            <w:shd w:val="clear" w:color="auto" w:fill="auto"/>
            <w:noWrap/>
            <w:vAlign w:val="bottom"/>
            <w:hideMark/>
          </w:tcPr>
          <w:p w14:paraId="713656C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-4.8</w:t>
            </w:r>
          </w:p>
        </w:tc>
        <w:tc>
          <w:tcPr>
            <w:tcW w:w="748" w:type="dxa"/>
            <w:tcBorders>
              <w:top w:val="nil"/>
              <w:left w:val="nil"/>
              <w:bottom w:val="nil"/>
              <w:right w:val="nil"/>
            </w:tcBorders>
            <w:shd w:val="clear" w:color="auto" w:fill="auto"/>
            <w:noWrap/>
            <w:vAlign w:val="bottom"/>
            <w:hideMark/>
          </w:tcPr>
          <w:p w14:paraId="4CAAFB6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-7.8</w:t>
            </w:r>
          </w:p>
        </w:tc>
        <w:tc>
          <w:tcPr>
            <w:tcW w:w="893" w:type="dxa"/>
            <w:tcBorders>
              <w:top w:val="nil"/>
              <w:left w:val="nil"/>
              <w:bottom w:val="nil"/>
              <w:right w:val="nil"/>
            </w:tcBorders>
            <w:shd w:val="clear" w:color="auto" w:fill="auto"/>
            <w:noWrap/>
            <w:vAlign w:val="bottom"/>
            <w:hideMark/>
          </w:tcPr>
          <w:p w14:paraId="567BC82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-6.1</w:t>
            </w:r>
          </w:p>
        </w:tc>
      </w:tr>
      <w:tr w:rsidR="00634ABA" w:rsidRPr="00986F85" w14:paraId="7075A27D" w14:textId="77777777" w:rsidTr="00476987">
        <w:trPr>
          <w:trHeight w:val="283"/>
        </w:trPr>
        <w:tc>
          <w:tcPr>
            <w:tcW w:w="365" w:type="dxa"/>
            <w:vMerge/>
            <w:tcBorders>
              <w:top w:val="nil"/>
              <w:left w:val="nil"/>
              <w:bottom w:val="nil"/>
              <w:right w:val="nil"/>
            </w:tcBorders>
            <w:vAlign w:val="center"/>
            <w:hideMark/>
          </w:tcPr>
          <w:p w14:paraId="1901A225" w14:textId="77777777" w:rsidR="00634ABA" w:rsidRPr="00986F85" w:rsidRDefault="00634ABA" w:rsidP="00476987">
            <w:pPr>
              <w:spacing w:after="0" w:line="240" w:lineRule="auto"/>
              <w:rPr>
                <w:rFonts w:eastAsia="Times New Roman"/>
                <w:color w:val="000000"/>
                <w:lang w:eastAsia="hu-HU"/>
              </w:rPr>
            </w:pPr>
          </w:p>
        </w:tc>
        <w:tc>
          <w:tcPr>
            <w:tcW w:w="2568" w:type="dxa"/>
            <w:tcBorders>
              <w:top w:val="nil"/>
              <w:left w:val="nil"/>
              <w:bottom w:val="nil"/>
              <w:right w:val="nil"/>
            </w:tcBorders>
            <w:shd w:val="clear" w:color="auto" w:fill="auto"/>
            <w:noWrap/>
            <w:vAlign w:val="bottom"/>
            <w:hideMark/>
          </w:tcPr>
          <w:p w14:paraId="6EB61D09"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Egy foglalkoztatottra eső árbevétel (%)</w:t>
            </w:r>
          </w:p>
        </w:tc>
        <w:tc>
          <w:tcPr>
            <w:tcW w:w="836" w:type="dxa"/>
            <w:tcBorders>
              <w:top w:val="nil"/>
              <w:left w:val="nil"/>
              <w:bottom w:val="nil"/>
              <w:right w:val="nil"/>
            </w:tcBorders>
            <w:shd w:val="clear" w:color="auto" w:fill="auto"/>
            <w:noWrap/>
            <w:vAlign w:val="bottom"/>
            <w:hideMark/>
          </w:tcPr>
          <w:p w14:paraId="5B84D9E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-4.4</w:t>
            </w:r>
          </w:p>
        </w:tc>
        <w:tc>
          <w:tcPr>
            <w:tcW w:w="748" w:type="dxa"/>
            <w:tcBorders>
              <w:top w:val="nil"/>
              <w:left w:val="nil"/>
              <w:bottom w:val="nil"/>
              <w:right w:val="nil"/>
            </w:tcBorders>
            <w:shd w:val="clear" w:color="auto" w:fill="auto"/>
            <w:noWrap/>
            <w:vAlign w:val="bottom"/>
            <w:hideMark/>
          </w:tcPr>
          <w:p w14:paraId="12A95C7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-5.4</w:t>
            </w:r>
          </w:p>
        </w:tc>
        <w:tc>
          <w:tcPr>
            <w:tcW w:w="748" w:type="dxa"/>
            <w:tcBorders>
              <w:top w:val="nil"/>
              <w:left w:val="nil"/>
              <w:bottom w:val="nil"/>
              <w:right w:val="nil"/>
            </w:tcBorders>
            <w:shd w:val="clear" w:color="auto" w:fill="auto"/>
            <w:noWrap/>
            <w:vAlign w:val="bottom"/>
            <w:hideMark/>
          </w:tcPr>
          <w:p w14:paraId="064C6B3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w:t>
            </w:r>
          </w:p>
        </w:tc>
        <w:tc>
          <w:tcPr>
            <w:tcW w:w="748" w:type="dxa"/>
            <w:tcBorders>
              <w:top w:val="nil"/>
              <w:left w:val="nil"/>
              <w:bottom w:val="nil"/>
              <w:right w:val="nil"/>
            </w:tcBorders>
            <w:shd w:val="clear" w:color="auto" w:fill="auto"/>
            <w:noWrap/>
            <w:vAlign w:val="bottom"/>
            <w:hideMark/>
          </w:tcPr>
          <w:p w14:paraId="3CB9E2B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-6.6</w:t>
            </w:r>
          </w:p>
        </w:tc>
        <w:tc>
          <w:tcPr>
            <w:tcW w:w="893" w:type="dxa"/>
            <w:tcBorders>
              <w:top w:val="nil"/>
              <w:left w:val="nil"/>
              <w:bottom w:val="nil"/>
              <w:right w:val="nil"/>
            </w:tcBorders>
            <w:shd w:val="clear" w:color="auto" w:fill="auto"/>
            <w:noWrap/>
            <w:vAlign w:val="bottom"/>
            <w:hideMark/>
          </w:tcPr>
          <w:p w14:paraId="423C4A9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2.8</w:t>
            </w:r>
          </w:p>
        </w:tc>
        <w:tc>
          <w:tcPr>
            <w:tcW w:w="893" w:type="dxa"/>
            <w:tcBorders>
              <w:top w:val="nil"/>
              <w:left w:val="nil"/>
              <w:bottom w:val="nil"/>
              <w:right w:val="nil"/>
            </w:tcBorders>
            <w:shd w:val="clear" w:color="auto" w:fill="auto"/>
            <w:noWrap/>
            <w:vAlign w:val="bottom"/>
            <w:hideMark/>
          </w:tcPr>
          <w:p w14:paraId="1E07871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-7.8</w:t>
            </w:r>
          </w:p>
        </w:tc>
        <w:tc>
          <w:tcPr>
            <w:tcW w:w="748" w:type="dxa"/>
            <w:tcBorders>
              <w:top w:val="nil"/>
              <w:left w:val="nil"/>
              <w:bottom w:val="nil"/>
              <w:right w:val="nil"/>
            </w:tcBorders>
            <w:shd w:val="clear" w:color="auto" w:fill="auto"/>
            <w:noWrap/>
            <w:vAlign w:val="bottom"/>
            <w:hideMark/>
          </w:tcPr>
          <w:p w14:paraId="21D5275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-7.7</w:t>
            </w:r>
          </w:p>
        </w:tc>
        <w:tc>
          <w:tcPr>
            <w:tcW w:w="893" w:type="dxa"/>
            <w:tcBorders>
              <w:top w:val="nil"/>
              <w:left w:val="nil"/>
              <w:bottom w:val="nil"/>
              <w:right w:val="nil"/>
            </w:tcBorders>
            <w:shd w:val="clear" w:color="auto" w:fill="auto"/>
            <w:noWrap/>
            <w:vAlign w:val="bottom"/>
            <w:hideMark/>
          </w:tcPr>
          <w:p w14:paraId="0953D74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-5.5</w:t>
            </w:r>
          </w:p>
        </w:tc>
      </w:tr>
      <w:tr w:rsidR="00634ABA" w:rsidRPr="00986F85" w14:paraId="661BC3CF" w14:textId="77777777" w:rsidTr="00476987">
        <w:trPr>
          <w:trHeight w:val="283"/>
        </w:trPr>
        <w:tc>
          <w:tcPr>
            <w:tcW w:w="365" w:type="dxa"/>
            <w:vMerge/>
            <w:tcBorders>
              <w:top w:val="nil"/>
              <w:left w:val="nil"/>
              <w:bottom w:val="nil"/>
              <w:right w:val="nil"/>
            </w:tcBorders>
            <w:vAlign w:val="center"/>
            <w:hideMark/>
          </w:tcPr>
          <w:p w14:paraId="6BE7995B" w14:textId="77777777" w:rsidR="00634ABA" w:rsidRPr="00986F85" w:rsidRDefault="00634ABA" w:rsidP="00476987">
            <w:pPr>
              <w:spacing w:after="0" w:line="240" w:lineRule="auto"/>
              <w:rPr>
                <w:rFonts w:eastAsia="Times New Roman"/>
                <w:color w:val="000000"/>
                <w:lang w:eastAsia="hu-HU"/>
              </w:rPr>
            </w:pPr>
          </w:p>
        </w:tc>
        <w:tc>
          <w:tcPr>
            <w:tcW w:w="2568" w:type="dxa"/>
            <w:tcBorders>
              <w:top w:val="nil"/>
              <w:left w:val="nil"/>
              <w:bottom w:val="nil"/>
              <w:right w:val="nil"/>
            </w:tcBorders>
            <w:shd w:val="clear" w:color="auto" w:fill="auto"/>
            <w:noWrap/>
            <w:vAlign w:val="bottom"/>
            <w:hideMark/>
          </w:tcPr>
          <w:p w14:paraId="2EF33351"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Tárgyi eszköz (%)</w:t>
            </w:r>
          </w:p>
        </w:tc>
        <w:tc>
          <w:tcPr>
            <w:tcW w:w="836" w:type="dxa"/>
            <w:tcBorders>
              <w:top w:val="nil"/>
              <w:left w:val="nil"/>
              <w:bottom w:val="nil"/>
              <w:right w:val="nil"/>
            </w:tcBorders>
            <w:shd w:val="clear" w:color="auto" w:fill="auto"/>
            <w:noWrap/>
            <w:vAlign w:val="bottom"/>
            <w:hideMark/>
          </w:tcPr>
          <w:p w14:paraId="43047C9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-3.4</w:t>
            </w:r>
          </w:p>
        </w:tc>
        <w:tc>
          <w:tcPr>
            <w:tcW w:w="748" w:type="dxa"/>
            <w:tcBorders>
              <w:top w:val="nil"/>
              <w:left w:val="nil"/>
              <w:bottom w:val="nil"/>
              <w:right w:val="nil"/>
            </w:tcBorders>
            <w:shd w:val="clear" w:color="auto" w:fill="auto"/>
            <w:noWrap/>
            <w:vAlign w:val="bottom"/>
            <w:hideMark/>
          </w:tcPr>
          <w:p w14:paraId="1E2DC39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-2.5</w:t>
            </w:r>
          </w:p>
        </w:tc>
        <w:tc>
          <w:tcPr>
            <w:tcW w:w="748" w:type="dxa"/>
            <w:tcBorders>
              <w:top w:val="nil"/>
              <w:left w:val="nil"/>
              <w:bottom w:val="nil"/>
              <w:right w:val="nil"/>
            </w:tcBorders>
            <w:shd w:val="clear" w:color="auto" w:fill="auto"/>
            <w:noWrap/>
            <w:vAlign w:val="bottom"/>
            <w:hideMark/>
          </w:tcPr>
          <w:p w14:paraId="5CB4696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-2.9</w:t>
            </w:r>
          </w:p>
        </w:tc>
        <w:tc>
          <w:tcPr>
            <w:tcW w:w="748" w:type="dxa"/>
            <w:tcBorders>
              <w:top w:val="nil"/>
              <w:left w:val="nil"/>
              <w:bottom w:val="nil"/>
              <w:right w:val="nil"/>
            </w:tcBorders>
            <w:shd w:val="clear" w:color="auto" w:fill="auto"/>
            <w:noWrap/>
            <w:vAlign w:val="bottom"/>
            <w:hideMark/>
          </w:tcPr>
          <w:p w14:paraId="103CFC4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5.1</w:t>
            </w:r>
          </w:p>
        </w:tc>
        <w:tc>
          <w:tcPr>
            <w:tcW w:w="893" w:type="dxa"/>
            <w:tcBorders>
              <w:top w:val="nil"/>
              <w:left w:val="nil"/>
              <w:bottom w:val="nil"/>
              <w:right w:val="nil"/>
            </w:tcBorders>
            <w:shd w:val="clear" w:color="auto" w:fill="auto"/>
            <w:noWrap/>
            <w:vAlign w:val="bottom"/>
            <w:hideMark/>
          </w:tcPr>
          <w:p w14:paraId="0EA5D69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0.7</w:t>
            </w:r>
          </w:p>
        </w:tc>
        <w:tc>
          <w:tcPr>
            <w:tcW w:w="893" w:type="dxa"/>
            <w:tcBorders>
              <w:top w:val="nil"/>
              <w:left w:val="nil"/>
              <w:bottom w:val="nil"/>
              <w:right w:val="nil"/>
            </w:tcBorders>
            <w:shd w:val="clear" w:color="auto" w:fill="auto"/>
            <w:noWrap/>
            <w:vAlign w:val="bottom"/>
            <w:hideMark/>
          </w:tcPr>
          <w:p w14:paraId="0B25AF8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-0.3</w:t>
            </w:r>
          </w:p>
        </w:tc>
        <w:tc>
          <w:tcPr>
            <w:tcW w:w="748" w:type="dxa"/>
            <w:tcBorders>
              <w:top w:val="nil"/>
              <w:left w:val="nil"/>
              <w:bottom w:val="nil"/>
              <w:right w:val="nil"/>
            </w:tcBorders>
            <w:shd w:val="clear" w:color="auto" w:fill="auto"/>
            <w:noWrap/>
            <w:vAlign w:val="bottom"/>
            <w:hideMark/>
          </w:tcPr>
          <w:p w14:paraId="3FCAA32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w:t>
            </w:r>
          </w:p>
        </w:tc>
        <w:tc>
          <w:tcPr>
            <w:tcW w:w="893" w:type="dxa"/>
            <w:tcBorders>
              <w:top w:val="nil"/>
              <w:left w:val="nil"/>
              <w:bottom w:val="nil"/>
              <w:right w:val="nil"/>
            </w:tcBorders>
            <w:shd w:val="clear" w:color="auto" w:fill="auto"/>
            <w:noWrap/>
            <w:vAlign w:val="bottom"/>
            <w:hideMark/>
          </w:tcPr>
          <w:p w14:paraId="5BE11CD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-1.6</w:t>
            </w:r>
          </w:p>
        </w:tc>
      </w:tr>
      <w:tr w:rsidR="00634ABA" w:rsidRPr="00986F85" w14:paraId="5062FAA9" w14:textId="77777777" w:rsidTr="00476987">
        <w:trPr>
          <w:trHeight w:val="283"/>
        </w:trPr>
        <w:tc>
          <w:tcPr>
            <w:tcW w:w="365" w:type="dxa"/>
            <w:vMerge/>
            <w:tcBorders>
              <w:top w:val="nil"/>
              <w:left w:val="nil"/>
              <w:bottom w:val="nil"/>
              <w:right w:val="nil"/>
            </w:tcBorders>
            <w:vAlign w:val="center"/>
            <w:hideMark/>
          </w:tcPr>
          <w:p w14:paraId="5233D163" w14:textId="77777777" w:rsidR="00634ABA" w:rsidRPr="00986F85" w:rsidRDefault="00634ABA" w:rsidP="00476987">
            <w:pPr>
              <w:spacing w:after="0" w:line="240" w:lineRule="auto"/>
              <w:rPr>
                <w:rFonts w:eastAsia="Times New Roman"/>
                <w:color w:val="000000"/>
                <w:lang w:eastAsia="hu-HU"/>
              </w:rPr>
            </w:pPr>
          </w:p>
        </w:tc>
        <w:tc>
          <w:tcPr>
            <w:tcW w:w="2568" w:type="dxa"/>
            <w:tcBorders>
              <w:top w:val="nil"/>
              <w:left w:val="nil"/>
              <w:bottom w:val="nil"/>
              <w:right w:val="nil"/>
            </w:tcBorders>
            <w:shd w:val="clear" w:color="auto" w:fill="auto"/>
            <w:noWrap/>
            <w:vAlign w:val="bottom"/>
            <w:hideMark/>
          </w:tcPr>
          <w:p w14:paraId="28F4A01A"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Tőkeintenzitás (%)</w:t>
            </w:r>
          </w:p>
        </w:tc>
        <w:tc>
          <w:tcPr>
            <w:tcW w:w="836" w:type="dxa"/>
            <w:tcBorders>
              <w:top w:val="nil"/>
              <w:left w:val="nil"/>
              <w:bottom w:val="nil"/>
              <w:right w:val="nil"/>
            </w:tcBorders>
            <w:shd w:val="clear" w:color="auto" w:fill="auto"/>
            <w:noWrap/>
            <w:vAlign w:val="bottom"/>
            <w:hideMark/>
          </w:tcPr>
          <w:p w14:paraId="4BAED6D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1.2</w:t>
            </w:r>
          </w:p>
        </w:tc>
        <w:tc>
          <w:tcPr>
            <w:tcW w:w="748" w:type="dxa"/>
            <w:tcBorders>
              <w:top w:val="nil"/>
              <w:left w:val="nil"/>
              <w:bottom w:val="nil"/>
              <w:right w:val="nil"/>
            </w:tcBorders>
            <w:shd w:val="clear" w:color="auto" w:fill="auto"/>
            <w:noWrap/>
            <w:vAlign w:val="bottom"/>
            <w:hideMark/>
          </w:tcPr>
          <w:p w14:paraId="0D73F3C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2.7</w:t>
            </w:r>
          </w:p>
        </w:tc>
        <w:tc>
          <w:tcPr>
            <w:tcW w:w="748" w:type="dxa"/>
            <w:tcBorders>
              <w:top w:val="nil"/>
              <w:left w:val="nil"/>
              <w:bottom w:val="nil"/>
              <w:right w:val="nil"/>
            </w:tcBorders>
            <w:shd w:val="clear" w:color="auto" w:fill="auto"/>
            <w:noWrap/>
            <w:vAlign w:val="bottom"/>
            <w:hideMark/>
          </w:tcPr>
          <w:p w14:paraId="345D048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-0.8</w:t>
            </w:r>
          </w:p>
        </w:tc>
        <w:tc>
          <w:tcPr>
            <w:tcW w:w="748" w:type="dxa"/>
            <w:tcBorders>
              <w:top w:val="nil"/>
              <w:left w:val="nil"/>
              <w:bottom w:val="nil"/>
              <w:right w:val="nil"/>
            </w:tcBorders>
            <w:shd w:val="clear" w:color="auto" w:fill="auto"/>
            <w:noWrap/>
            <w:vAlign w:val="bottom"/>
            <w:hideMark/>
          </w:tcPr>
          <w:p w14:paraId="6F84391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8.4</w:t>
            </w:r>
          </w:p>
        </w:tc>
        <w:tc>
          <w:tcPr>
            <w:tcW w:w="893" w:type="dxa"/>
            <w:tcBorders>
              <w:top w:val="nil"/>
              <w:left w:val="nil"/>
              <w:bottom w:val="nil"/>
              <w:right w:val="nil"/>
            </w:tcBorders>
            <w:shd w:val="clear" w:color="auto" w:fill="auto"/>
            <w:noWrap/>
            <w:vAlign w:val="bottom"/>
            <w:hideMark/>
          </w:tcPr>
          <w:p w14:paraId="3E8FE79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7.4</w:t>
            </w:r>
          </w:p>
        </w:tc>
        <w:tc>
          <w:tcPr>
            <w:tcW w:w="893" w:type="dxa"/>
            <w:tcBorders>
              <w:top w:val="nil"/>
              <w:left w:val="nil"/>
              <w:bottom w:val="nil"/>
              <w:right w:val="nil"/>
            </w:tcBorders>
            <w:shd w:val="clear" w:color="auto" w:fill="auto"/>
            <w:noWrap/>
            <w:vAlign w:val="bottom"/>
            <w:hideMark/>
          </w:tcPr>
          <w:p w14:paraId="31B4BF4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4.7</w:t>
            </w:r>
          </w:p>
        </w:tc>
        <w:tc>
          <w:tcPr>
            <w:tcW w:w="748" w:type="dxa"/>
            <w:tcBorders>
              <w:top w:val="nil"/>
              <w:left w:val="nil"/>
              <w:bottom w:val="nil"/>
              <w:right w:val="nil"/>
            </w:tcBorders>
            <w:shd w:val="clear" w:color="auto" w:fill="auto"/>
            <w:noWrap/>
            <w:vAlign w:val="bottom"/>
            <w:hideMark/>
          </w:tcPr>
          <w:p w14:paraId="7E1C14A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1.2</w:t>
            </w:r>
          </w:p>
        </w:tc>
        <w:tc>
          <w:tcPr>
            <w:tcW w:w="893" w:type="dxa"/>
            <w:tcBorders>
              <w:top w:val="nil"/>
              <w:left w:val="nil"/>
              <w:bottom w:val="nil"/>
              <w:right w:val="nil"/>
            </w:tcBorders>
            <w:shd w:val="clear" w:color="auto" w:fill="auto"/>
            <w:noWrap/>
            <w:vAlign w:val="bottom"/>
            <w:hideMark/>
          </w:tcPr>
          <w:p w14:paraId="165184D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2.4</w:t>
            </w:r>
          </w:p>
        </w:tc>
      </w:tr>
      <w:tr w:rsidR="00634ABA" w:rsidRPr="00986F85" w14:paraId="6715FC21" w14:textId="77777777" w:rsidTr="00476987">
        <w:trPr>
          <w:trHeight w:val="283"/>
        </w:trPr>
        <w:tc>
          <w:tcPr>
            <w:tcW w:w="365" w:type="dxa"/>
            <w:vMerge/>
            <w:tcBorders>
              <w:top w:val="nil"/>
              <w:left w:val="nil"/>
              <w:bottom w:val="nil"/>
              <w:right w:val="nil"/>
            </w:tcBorders>
            <w:vAlign w:val="center"/>
            <w:hideMark/>
          </w:tcPr>
          <w:p w14:paraId="00370036" w14:textId="77777777" w:rsidR="00634ABA" w:rsidRPr="00986F85" w:rsidRDefault="00634ABA" w:rsidP="00476987">
            <w:pPr>
              <w:spacing w:after="0" w:line="240" w:lineRule="auto"/>
              <w:rPr>
                <w:rFonts w:eastAsia="Times New Roman"/>
                <w:color w:val="000000"/>
                <w:lang w:eastAsia="hu-HU"/>
              </w:rPr>
            </w:pPr>
          </w:p>
        </w:tc>
        <w:tc>
          <w:tcPr>
            <w:tcW w:w="2568" w:type="dxa"/>
            <w:tcBorders>
              <w:top w:val="nil"/>
              <w:left w:val="nil"/>
              <w:bottom w:val="nil"/>
              <w:right w:val="nil"/>
            </w:tcBorders>
            <w:shd w:val="clear" w:color="auto" w:fill="auto"/>
            <w:noWrap/>
            <w:vAlign w:val="bottom"/>
            <w:hideMark/>
          </w:tcPr>
          <w:p w14:paraId="590FD0C9"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Jegyzett tőke</w:t>
            </w:r>
          </w:p>
        </w:tc>
        <w:tc>
          <w:tcPr>
            <w:tcW w:w="836" w:type="dxa"/>
            <w:tcBorders>
              <w:top w:val="nil"/>
              <w:left w:val="nil"/>
              <w:bottom w:val="nil"/>
              <w:right w:val="nil"/>
            </w:tcBorders>
            <w:shd w:val="clear" w:color="auto" w:fill="auto"/>
            <w:noWrap/>
            <w:vAlign w:val="bottom"/>
            <w:hideMark/>
          </w:tcPr>
          <w:p w14:paraId="4EC99F9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748" w:type="dxa"/>
            <w:tcBorders>
              <w:top w:val="nil"/>
              <w:left w:val="nil"/>
              <w:bottom w:val="nil"/>
              <w:right w:val="nil"/>
            </w:tcBorders>
            <w:shd w:val="clear" w:color="auto" w:fill="auto"/>
            <w:noWrap/>
            <w:vAlign w:val="bottom"/>
            <w:hideMark/>
          </w:tcPr>
          <w:p w14:paraId="27FB38C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748" w:type="dxa"/>
            <w:tcBorders>
              <w:top w:val="nil"/>
              <w:left w:val="nil"/>
              <w:bottom w:val="nil"/>
              <w:right w:val="nil"/>
            </w:tcBorders>
            <w:shd w:val="clear" w:color="auto" w:fill="auto"/>
            <w:noWrap/>
            <w:vAlign w:val="bottom"/>
            <w:hideMark/>
          </w:tcPr>
          <w:p w14:paraId="6BBEA9A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748" w:type="dxa"/>
            <w:tcBorders>
              <w:top w:val="nil"/>
              <w:left w:val="nil"/>
              <w:bottom w:val="nil"/>
              <w:right w:val="nil"/>
            </w:tcBorders>
            <w:shd w:val="clear" w:color="auto" w:fill="auto"/>
            <w:noWrap/>
            <w:vAlign w:val="bottom"/>
            <w:hideMark/>
          </w:tcPr>
          <w:p w14:paraId="0C7F205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93" w:type="dxa"/>
            <w:tcBorders>
              <w:top w:val="nil"/>
              <w:left w:val="nil"/>
              <w:bottom w:val="nil"/>
              <w:right w:val="nil"/>
            </w:tcBorders>
            <w:shd w:val="clear" w:color="auto" w:fill="auto"/>
            <w:noWrap/>
            <w:vAlign w:val="bottom"/>
            <w:hideMark/>
          </w:tcPr>
          <w:p w14:paraId="04089E1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93" w:type="dxa"/>
            <w:tcBorders>
              <w:top w:val="nil"/>
              <w:left w:val="nil"/>
              <w:bottom w:val="nil"/>
              <w:right w:val="nil"/>
            </w:tcBorders>
            <w:shd w:val="clear" w:color="auto" w:fill="auto"/>
            <w:noWrap/>
            <w:vAlign w:val="bottom"/>
            <w:hideMark/>
          </w:tcPr>
          <w:p w14:paraId="59A6D00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748" w:type="dxa"/>
            <w:tcBorders>
              <w:top w:val="nil"/>
              <w:left w:val="nil"/>
              <w:bottom w:val="nil"/>
              <w:right w:val="nil"/>
            </w:tcBorders>
            <w:shd w:val="clear" w:color="auto" w:fill="auto"/>
            <w:noWrap/>
            <w:vAlign w:val="bottom"/>
            <w:hideMark/>
          </w:tcPr>
          <w:p w14:paraId="6F882C7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93" w:type="dxa"/>
            <w:tcBorders>
              <w:top w:val="nil"/>
              <w:left w:val="nil"/>
              <w:bottom w:val="nil"/>
              <w:right w:val="nil"/>
            </w:tcBorders>
            <w:shd w:val="clear" w:color="auto" w:fill="auto"/>
            <w:noWrap/>
            <w:vAlign w:val="bottom"/>
            <w:hideMark/>
          </w:tcPr>
          <w:p w14:paraId="561E650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r>
      <w:tr w:rsidR="00634ABA" w:rsidRPr="00986F85" w14:paraId="5658B122" w14:textId="77777777" w:rsidTr="00476987">
        <w:trPr>
          <w:trHeight w:val="283"/>
        </w:trPr>
        <w:tc>
          <w:tcPr>
            <w:tcW w:w="365" w:type="dxa"/>
            <w:vMerge/>
            <w:tcBorders>
              <w:top w:val="nil"/>
              <w:left w:val="nil"/>
              <w:bottom w:val="nil"/>
              <w:right w:val="nil"/>
            </w:tcBorders>
            <w:vAlign w:val="center"/>
            <w:hideMark/>
          </w:tcPr>
          <w:p w14:paraId="5176683C" w14:textId="77777777" w:rsidR="00634ABA" w:rsidRPr="00986F85" w:rsidRDefault="00634ABA" w:rsidP="00476987">
            <w:pPr>
              <w:spacing w:after="0" w:line="240" w:lineRule="auto"/>
              <w:rPr>
                <w:rFonts w:eastAsia="Times New Roman"/>
                <w:color w:val="000000"/>
                <w:lang w:eastAsia="hu-HU"/>
              </w:rPr>
            </w:pPr>
          </w:p>
        </w:tc>
        <w:tc>
          <w:tcPr>
            <w:tcW w:w="2568" w:type="dxa"/>
            <w:tcBorders>
              <w:top w:val="nil"/>
              <w:left w:val="nil"/>
              <w:bottom w:val="nil"/>
              <w:right w:val="nil"/>
            </w:tcBorders>
            <w:shd w:val="clear" w:color="auto" w:fill="auto"/>
            <w:noWrap/>
            <w:vAlign w:val="bottom"/>
            <w:hideMark/>
          </w:tcPr>
          <w:p w14:paraId="4689B55D"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Egy foglalkoztatottra eső jegyzett tőke (%)</w:t>
            </w:r>
          </w:p>
        </w:tc>
        <w:tc>
          <w:tcPr>
            <w:tcW w:w="836" w:type="dxa"/>
            <w:tcBorders>
              <w:top w:val="nil"/>
              <w:left w:val="nil"/>
              <w:bottom w:val="nil"/>
              <w:right w:val="nil"/>
            </w:tcBorders>
            <w:shd w:val="clear" w:color="auto" w:fill="auto"/>
            <w:noWrap/>
            <w:vAlign w:val="bottom"/>
            <w:hideMark/>
          </w:tcPr>
          <w:p w14:paraId="2BFF9C6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748" w:type="dxa"/>
            <w:tcBorders>
              <w:top w:val="nil"/>
              <w:left w:val="nil"/>
              <w:bottom w:val="nil"/>
              <w:right w:val="nil"/>
            </w:tcBorders>
            <w:shd w:val="clear" w:color="auto" w:fill="auto"/>
            <w:noWrap/>
            <w:vAlign w:val="bottom"/>
            <w:hideMark/>
          </w:tcPr>
          <w:p w14:paraId="081F2F2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748" w:type="dxa"/>
            <w:tcBorders>
              <w:top w:val="nil"/>
              <w:left w:val="nil"/>
              <w:bottom w:val="nil"/>
              <w:right w:val="nil"/>
            </w:tcBorders>
            <w:shd w:val="clear" w:color="auto" w:fill="auto"/>
            <w:noWrap/>
            <w:vAlign w:val="bottom"/>
            <w:hideMark/>
          </w:tcPr>
          <w:p w14:paraId="2F608C9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748" w:type="dxa"/>
            <w:tcBorders>
              <w:top w:val="nil"/>
              <w:left w:val="nil"/>
              <w:bottom w:val="nil"/>
              <w:right w:val="nil"/>
            </w:tcBorders>
            <w:shd w:val="clear" w:color="auto" w:fill="auto"/>
            <w:noWrap/>
            <w:vAlign w:val="bottom"/>
            <w:hideMark/>
          </w:tcPr>
          <w:p w14:paraId="25FE30C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93" w:type="dxa"/>
            <w:tcBorders>
              <w:top w:val="nil"/>
              <w:left w:val="nil"/>
              <w:bottom w:val="nil"/>
              <w:right w:val="nil"/>
            </w:tcBorders>
            <w:shd w:val="clear" w:color="auto" w:fill="auto"/>
            <w:noWrap/>
            <w:vAlign w:val="bottom"/>
            <w:hideMark/>
          </w:tcPr>
          <w:p w14:paraId="23A23DC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93" w:type="dxa"/>
            <w:tcBorders>
              <w:top w:val="nil"/>
              <w:left w:val="nil"/>
              <w:bottom w:val="nil"/>
              <w:right w:val="nil"/>
            </w:tcBorders>
            <w:shd w:val="clear" w:color="auto" w:fill="auto"/>
            <w:noWrap/>
            <w:vAlign w:val="bottom"/>
            <w:hideMark/>
          </w:tcPr>
          <w:p w14:paraId="2228BBF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748" w:type="dxa"/>
            <w:tcBorders>
              <w:top w:val="nil"/>
              <w:left w:val="nil"/>
              <w:bottom w:val="nil"/>
              <w:right w:val="nil"/>
            </w:tcBorders>
            <w:shd w:val="clear" w:color="auto" w:fill="auto"/>
            <w:noWrap/>
            <w:vAlign w:val="bottom"/>
            <w:hideMark/>
          </w:tcPr>
          <w:p w14:paraId="0FBF767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93" w:type="dxa"/>
            <w:tcBorders>
              <w:top w:val="nil"/>
              <w:left w:val="nil"/>
              <w:bottom w:val="nil"/>
              <w:right w:val="nil"/>
            </w:tcBorders>
            <w:shd w:val="clear" w:color="auto" w:fill="auto"/>
            <w:noWrap/>
            <w:vAlign w:val="bottom"/>
            <w:hideMark/>
          </w:tcPr>
          <w:p w14:paraId="3F31034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r>
      <w:tr w:rsidR="00634ABA" w:rsidRPr="00986F85" w14:paraId="6A82CF70" w14:textId="77777777" w:rsidTr="00476987">
        <w:trPr>
          <w:trHeight w:val="283"/>
        </w:trPr>
        <w:tc>
          <w:tcPr>
            <w:tcW w:w="365" w:type="dxa"/>
            <w:vMerge/>
            <w:tcBorders>
              <w:top w:val="nil"/>
              <w:left w:val="nil"/>
              <w:bottom w:val="nil"/>
              <w:right w:val="nil"/>
            </w:tcBorders>
            <w:vAlign w:val="center"/>
            <w:hideMark/>
          </w:tcPr>
          <w:p w14:paraId="2390517A" w14:textId="77777777" w:rsidR="00634ABA" w:rsidRPr="00986F85" w:rsidRDefault="00634ABA" w:rsidP="00476987">
            <w:pPr>
              <w:spacing w:after="0" w:line="240" w:lineRule="auto"/>
              <w:rPr>
                <w:rFonts w:eastAsia="Times New Roman"/>
                <w:color w:val="000000"/>
                <w:lang w:eastAsia="hu-HU"/>
              </w:rPr>
            </w:pPr>
          </w:p>
        </w:tc>
        <w:tc>
          <w:tcPr>
            <w:tcW w:w="2568" w:type="dxa"/>
            <w:tcBorders>
              <w:top w:val="nil"/>
              <w:left w:val="nil"/>
              <w:bottom w:val="nil"/>
              <w:right w:val="nil"/>
            </w:tcBorders>
            <w:shd w:val="clear" w:color="auto" w:fill="auto"/>
            <w:noWrap/>
            <w:vAlign w:val="bottom"/>
            <w:hideMark/>
          </w:tcPr>
          <w:p w14:paraId="72926CEA"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Likviditás</w:t>
            </w:r>
          </w:p>
        </w:tc>
        <w:tc>
          <w:tcPr>
            <w:tcW w:w="836" w:type="dxa"/>
            <w:tcBorders>
              <w:top w:val="nil"/>
              <w:left w:val="nil"/>
              <w:bottom w:val="nil"/>
              <w:right w:val="nil"/>
            </w:tcBorders>
            <w:shd w:val="clear" w:color="auto" w:fill="auto"/>
            <w:noWrap/>
            <w:vAlign w:val="bottom"/>
            <w:hideMark/>
          </w:tcPr>
          <w:p w14:paraId="766944A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8</w:t>
            </w:r>
          </w:p>
        </w:tc>
        <w:tc>
          <w:tcPr>
            <w:tcW w:w="748" w:type="dxa"/>
            <w:tcBorders>
              <w:top w:val="nil"/>
              <w:left w:val="nil"/>
              <w:bottom w:val="nil"/>
              <w:right w:val="nil"/>
            </w:tcBorders>
            <w:shd w:val="clear" w:color="auto" w:fill="auto"/>
            <w:noWrap/>
            <w:vAlign w:val="bottom"/>
            <w:hideMark/>
          </w:tcPr>
          <w:p w14:paraId="3F7C311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3.1</w:t>
            </w:r>
          </w:p>
        </w:tc>
        <w:tc>
          <w:tcPr>
            <w:tcW w:w="748" w:type="dxa"/>
            <w:tcBorders>
              <w:top w:val="nil"/>
              <w:left w:val="nil"/>
              <w:bottom w:val="nil"/>
              <w:right w:val="nil"/>
            </w:tcBorders>
            <w:shd w:val="clear" w:color="auto" w:fill="auto"/>
            <w:noWrap/>
            <w:vAlign w:val="bottom"/>
            <w:hideMark/>
          </w:tcPr>
          <w:p w14:paraId="1A74C2A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9.1</w:t>
            </w:r>
          </w:p>
        </w:tc>
        <w:tc>
          <w:tcPr>
            <w:tcW w:w="748" w:type="dxa"/>
            <w:tcBorders>
              <w:top w:val="nil"/>
              <w:left w:val="nil"/>
              <w:bottom w:val="nil"/>
              <w:right w:val="nil"/>
            </w:tcBorders>
            <w:shd w:val="clear" w:color="auto" w:fill="auto"/>
            <w:noWrap/>
            <w:vAlign w:val="bottom"/>
            <w:hideMark/>
          </w:tcPr>
          <w:p w14:paraId="0C5D804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1.9</w:t>
            </w:r>
          </w:p>
        </w:tc>
        <w:tc>
          <w:tcPr>
            <w:tcW w:w="893" w:type="dxa"/>
            <w:tcBorders>
              <w:top w:val="nil"/>
              <w:left w:val="nil"/>
              <w:bottom w:val="nil"/>
              <w:right w:val="nil"/>
            </w:tcBorders>
            <w:shd w:val="clear" w:color="auto" w:fill="auto"/>
            <w:noWrap/>
            <w:vAlign w:val="bottom"/>
            <w:hideMark/>
          </w:tcPr>
          <w:p w14:paraId="7A0FE3C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w:t>
            </w:r>
          </w:p>
        </w:tc>
        <w:tc>
          <w:tcPr>
            <w:tcW w:w="893" w:type="dxa"/>
            <w:tcBorders>
              <w:top w:val="nil"/>
              <w:left w:val="nil"/>
              <w:bottom w:val="nil"/>
              <w:right w:val="nil"/>
            </w:tcBorders>
            <w:shd w:val="clear" w:color="auto" w:fill="auto"/>
            <w:noWrap/>
            <w:vAlign w:val="bottom"/>
            <w:hideMark/>
          </w:tcPr>
          <w:p w14:paraId="4EA3743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6.8</w:t>
            </w:r>
          </w:p>
        </w:tc>
        <w:tc>
          <w:tcPr>
            <w:tcW w:w="748" w:type="dxa"/>
            <w:tcBorders>
              <w:top w:val="nil"/>
              <w:left w:val="nil"/>
              <w:bottom w:val="nil"/>
              <w:right w:val="nil"/>
            </w:tcBorders>
            <w:shd w:val="clear" w:color="auto" w:fill="auto"/>
            <w:noWrap/>
            <w:vAlign w:val="bottom"/>
            <w:hideMark/>
          </w:tcPr>
          <w:p w14:paraId="6FAEFB5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4.1</w:t>
            </w:r>
          </w:p>
        </w:tc>
        <w:tc>
          <w:tcPr>
            <w:tcW w:w="893" w:type="dxa"/>
            <w:tcBorders>
              <w:top w:val="nil"/>
              <w:left w:val="nil"/>
              <w:bottom w:val="nil"/>
              <w:right w:val="nil"/>
            </w:tcBorders>
            <w:shd w:val="clear" w:color="auto" w:fill="auto"/>
            <w:noWrap/>
            <w:vAlign w:val="bottom"/>
            <w:hideMark/>
          </w:tcPr>
          <w:p w14:paraId="26ECEE6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5.8</w:t>
            </w:r>
          </w:p>
        </w:tc>
      </w:tr>
      <w:tr w:rsidR="00634ABA" w:rsidRPr="00986F85" w14:paraId="059591E1" w14:textId="77777777" w:rsidTr="00476987">
        <w:trPr>
          <w:trHeight w:val="283"/>
        </w:trPr>
        <w:tc>
          <w:tcPr>
            <w:tcW w:w="365" w:type="dxa"/>
            <w:vMerge/>
            <w:tcBorders>
              <w:top w:val="nil"/>
              <w:left w:val="nil"/>
              <w:bottom w:val="nil"/>
              <w:right w:val="nil"/>
            </w:tcBorders>
            <w:vAlign w:val="center"/>
            <w:hideMark/>
          </w:tcPr>
          <w:p w14:paraId="375CFCB7" w14:textId="77777777" w:rsidR="00634ABA" w:rsidRPr="00986F85" w:rsidRDefault="00634ABA" w:rsidP="00476987">
            <w:pPr>
              <w:spacing w:after="0" w:line="240" w:lineRule="auto"/>
              <w:rPr>
                <w:rFonts w:eastAsia="Times New Roman"/>
                <w:color w:val="000000"/>
                <w:lang w:eastAsia="hu-HU"/>
              </w:rPr>
            </w:pPr>
          </w:p>
        </w:tc>
        <w:tc>
          <w:tcPr>
            <w:tcW w:w="2568" w:type="dxa"/>
            <w:tcBorders>
              <w:top w:val="nil"/>
              <w:left w:val="nil"/>
              <w:bottom w:val="nil"/>
              <w:right w:val="nil"/>
            </w:tcBorders>
            <w:shd w:val="clear" w:color="auto" w:fill="auto"/>
            <w:noWrap/>
            <w:vAlign w:val="bottom"/>
            <w:hideMark/>
          </w:tcPr>
          <w:p w14:paraId="0557CA15"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Üzemi eredmény</w:t>
            </w:r>
          </w:p>
        </w:tc>
        <w:tc>
          <w:tcPr>
            <w:tcW w:w="836" w:type="dxa"/>
            <w:tcBorders>
              <w:top w:val="nil"/>
              <w:left w:val="nil"/>
              <w:bottom w:val="nil"/>
              <w:right w:val="nil"/>
            </w:tcBorders>
            <w:shd w:val="clear" w:color="auto" w:fill="auto"/>
            <w:noWrap/>
            <w:vAlign w:val="bottom"/>
            <w:hideMark/>
          </w:tcPr>
          <w:p w14:paraId="13F033B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-4028.5</w:t>
            </w:r>
          </w:p>
        </w:tc>
        <w:tc>
          <w:tcPr>
            <w:tcW w:w="748" w:type="dxa"/>
            <w:tcBorders>
              <w:top w:val="nil"/>
              <w:left w:val="nil"/>
              <w:bottom w:val="nil"/>
              <w:right w:val="nil"/>
            </w:tcBorders>
            <w:shd w:val="clear" w:color="auto" w:fill="auto"/>
            <w:noWrap/>
            <w:vAlign w:val="bottom"/>
            <w:hideMark/>
          </w:tcPr>
          <w:p w14:paraId="00FBB94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-2815</w:t>
            </w:r>
          </w:p>
        </w:tc>
        <w:tc>
          <w:tcPr>
            <w:tcW w:w="748" w:type="dxa"/>
            <w:tcBorders>
              <w:top w:val="nil"/>
              <w:left w:val="nil"/>
              <w:bottom w:val="nil"/>
              <w:right w:val="nil"/>
            </w:tcBorders>
            <w:shd w:val="clear" w:color="auto" w:fill="auto"/>
            <w:noWrap/>
            <w:vAlign w:val="bottom"/>
            <w:hideMark/>
          </w:tcPr>
          <w:p w14:paraId="53FFF0E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-299</w:t>
            </w:r>
          </w:p>
        </w:tc>
        <w:tc>
          <w:tcPr>
            <w:tcW w:w="748" w:type="dxa"/>
            <w:tcBorders>
              <w:top w:val="nil"/>
              <w:left w:val="nil"/>
              <w:bottom w:val="nil"/>
              <w:right w:val="nil"/>
            </w:tcBorders>
            <w:shd w:val="clear" w:color="auto" w:fill="auto"/>
            <w:noWrap/>
            <w:vAlign w:val="bottom"/>
            <w:hideMark/>
          </w:tcPr>
          <w:p w14:paraId="1CC9770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-2378</w:t>
            </w:r>
          </w:p>
        </w:tc>
        <w:tc>
          <w:tcPr>
            <w:tcW w:w="893" w:type="dxa"/>
            <w:tcBorders>
              <w:top w:val="nil"/>
              <w:left w:val="nil"/>
              <w:bottom w:val="nil"/>
              <w:right w:val="nil"/>
            </w:tcBorders>
            <w:shd w:val="clear" w:color="auto" w:fill="auto"/>
            <w:noWrap/>
            <w:vAlign w:val="bottom"/>
            <w:hideMark/>
          </w:tcPr>
          <w:p w14:paraId="77E92EA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-639.5</w:t>
            </w:r>
          </w:p>
        </w:tc>
        <w:tc>
          <w:tcPr>
            <w:tcW w:w="893" w:type="dxa"/>
            <w:tcBorders>
              <w:top w:val="nil"/>
              <w:left w:val="nil"/>
              <w:bottom w:val="nil"/>
              <w:right w:val="nil"/>
            </w:tcBorders>
            <w:shd w:val="clear" w:color="auto" w:fill="auto"/>
            <w:noWrap/>
            <w:vAlign w:val="bottom"/>
            <w:hideMark/>
          </w:tcPr>
          <w:p w14:paraId="47B06D7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26</w:t>
            </w:r>
          </w:p>
        </w:tc>
        <w:tc>
          <w:tcPr>
            <w:tcW w:w="748" w:type="dxa"/>
            <w:tcBorders>
              <w:top w:val="nil"/>
              <w:left w:val="nil"/>
              <w:bottom w:val="nil"/>
              <w:right w:val="nil"/>
            </w:tcBorders>
            <w:shd w:val="clear" w:color="auto" w:fill="auto"/>
            <w:noWrap/>
            <w:vAlign w:val="bottom"/>
            <w:hideMark/>
          </w:tcPr>
          <w:p w14:paraId="5664B7D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-2642</w:t>
            </w:r>
          </w:p>
        </w:tc>
        <w:tc>
          <w:tcPr>
            <w:tcW w:w="893" w:type="dxa"/>
            <w:tcBorders>
              <w:top w:val="nil"/>
              <w:left w:val="nil"/>
              <w:bottom w:val="nil"/>
              <w:right w:val="nil"/>
            </w:tcBorders>
            <w:shd w:val="clear" w:color="auto" w:fill="auto"/>
            <w:noWrap/>
            <w:vAlign w:val="bottom"/>
            <w:hideMark/>
          </w:tcPr>
          <w:p w14:paraId="70EE6B4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-2042.5</w:t>
            </w:r>
          </w:p>
        </w:tc>
      </w:tr>
      <w:tr w:rsidR="00634ABA" w:rsidRPr="00986F85" w14:paraId="0545C96D" w14:textId="77777777" w:rsidTr="00476987">
        <w:trPr>
          <w:trHeight w:val="283"/>
        </w:trPr>
        <w:tc>
          <w:tcPr>
            <w:tcW w:w="365" w:type="dxa"/>
            <w:vMerge/>
            <w:tcBorders>
              <w:top w:val="nil"/>
              <w:left w:val="nil"/>
              <w:bottom w:val="nil"/>
              <w:right w:val="nil"/>
            </w:tcBorders>
            <w:vAlign w:val="center"/>
            <w:hideMark/>
          </w:tcPr>
          <w:p w14:paraId="560A228E" w14:textId="77777777" w:rsidR="00634ABA" w:rsidRPr="00986F85" w:rsidRDefault="00634ABA" w:rsidP="00476987">
            <w:pPr>
              <w:spacing w:after="0" w:line="240" w:lineRule="auto"/>
              <w:rPr>
                <w:rFonts w:eastAsia="Times New Roman"/>
                <w:color w:val="000000"/>
                <w:lang w:eastAsia="hu-HU"/>
              </w:rPr>
            </w:pPr>
          </w:p>
        </w:tc>
        <w:tc>
          <w:tcPr>
            <w:tcW w:w="2568" w:type="dxa"/>
            <w:tcBorders>
              <w:top w:val="nil"/>
              <w:left w:val="nil"/>
              <w:bottom w:val="nil"/>
              <w:right w:val="nil"/>
            </w:tcBorders>
            <w:shd w:val="clear" w:color="auto" w:fill="auto"/>
            <w:noWrap/>
            <w:vAlign w:val="bottom"/>
            <w:hideMark/>
          </w:tcPr>
          <w:p w14:paraId="5DDC75CE"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Egy foglalkoztatottra eső üzemi eredmény</w:t>
            </w:r>
          </w:p>
        </w:tc>
        <w:tc>
          <w:tcPr>
            <w:tcW w:w="836" w:type="dxa"/>
            <w:tcBorders>
              <w:top w:val="nil"/>
              <w:left w:val="nil"/>
              <w:bottom w:val="nil"/>
              <w:right w:val="nil"/>
            </w:tcBorders>
            <w:shd w:val="clear" w:color="auto" w:fill="auto"/>
            <w:noWrap/>
            <w:vAlign w:val="bottom"/>
            <w:hideMark/>
          </w:tcPr>
          <w:p w14:paraId="6DA03FF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-217.1</w:t>
            </w:r>
          </w:p>
        </w:tc>
        <w:tc>
          <w:tcPr>
            <w:tcW w:w="748" w:type="dxa"/>
            <w:tcBorders>
              <w:top w:val="nil"/>
              <w:left w:val="nil"/>
              <w:bottom w:val="nil"/>
              <w:right w:val="nil"/>
            </w:tcBorders>
            <w:shd w:val="clear" w:color="auto" w:fill="auto"/>
            <w:noWrap/>
            <w:vAlign w:val="bottom"/>
            <w:hideMark/>
          </w:tcPr>
          <w:p w14:paraId="37C2E8A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-158.7</w:t>
            </w:r>
          </w:p>
        </w:tc>
        <w:tc>
          <w:tcPr>
            <w:tcW w:w="748" w:type="dxa"/>
            <w:tcBorders>
              <w:top w:val="nil"/>
              <w:left w:val="nil"/>
              <w:bottom w:val="nil"/>
              <w:right w:val="nil"/>
            </w:tcBorders>
            <w:shd w:val="clear" w:color="auto" w:fill="auto"/>
            <w:noWrap/>
            <w:vAlign w:val="bottom"/>
            <w:hideMark/>
          </w:tcPr>
          <w:p w14:paraId="4B644DA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-78.9</w:t>
            </w:r>
          </w:p>
        </w:tc>
        <w:tc>
          <w:tcPr>
            <w:tcW w:w="748" w:type="dxa"/>
            <w:tcBorders>
              <w:top w:val="nil"/>
              <w:left w:val="nil"/>
              <w:bottom w:val="nil"/>
              <w:right w:val="nil"/>
            </w:tcBorders>
            <w:shd w:val="clear" w:color="auto" w:fill="auto"/>
            <w:noWrap/>
            <w:vAlign w:val="bottom"/>
            <w:hideMark/>
          </w:tcPr>
          <w:p w14:paraId="620494C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-245.3</w:t>
            </w:r>
          </w:p>
        </w:tc>
        <w:tc>
          <w:tcPr>
            <w:tcW w:w="893" w:type="dxa"/>
            <w:tcBorders>
              <w:top w:val="nil"/>
              <w:left w:val="nil"/>
              <w:bottom w:val="nil"/>
              <w:right w:val="nil"/>
            </w:tcBorders>
            <w:shd w:val="clear" w:color="auto" w:fill="auto"/>
            <w:noWrap/>
            <w:vAlign w:val="bottom"/>
            <w:hideMark/>
          </w:tcPr>
          <w:p w14:paraId="64CB7EB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-53.6</w:t>
            </w:r>
          </w:p>
        </w:tc>
        <w:tc>
          <w:tcPr>
            <w:tcW w:w="893" w:type="dxa"/>
            <w:tcBorders>
              <w:top w:val="nil"/>
              <w:left w:val="nil"/>
              <w:bottom w:val="nil"/>
              <w:right w:val="nil"/>
            </w:tcBorders>
            <w:shd w:val="clear" w:color="auto" w:fill="auto"/>
            <w:noWrap/>
            <w:vAlign w:val="bottom"/>
            <w:hideMark/>
          </w:tcPr>
          <w:p w14:paraId="6DC8FAB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-29.7</w:t>
            </w:r>
          </w:p>
        </w:tc>
        <w:tc>
          <w:tcPr>
            <w:tcW w:w="748" w:type="dxa"/>
            <w:tcBorders>
              <w:top w:val="nil"/>
              <w:left w:val="nil"/>
              <w:bottom w:val="nil"/>
              <w:right w:val="nil"/>
            </w:tcBorders>
            <w:shd w:val="clear" w:color="auto" w:fill="auto"/>
            <w:noWrap/>
            <w:vAlign w:val="bottom"/>
            <w:hideMark/>
          </w:tcPr>
          <w:p w14:paraId="5246F5D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-151.3</w:t>
            </w:r>
          </w:p>
        </w:tc>
        <w:tc>
          <w:tcPr>
            <w:tcW w:w="893" w:type="dxa"/>
            <w:tcBorders>
              <w:top w:val="nil"/>
              <w:left w:val="nil"/>
              <w:bottom w:val="nil"/>
              <w:right w:val="nil"/>
            </w:tcBorders>
            <w:shd w:val="clear" w:color="auto" w:fill="auto"/>
            <w:noWrap/>
            <w:vAlign w:val="bottom"/>
            <w:hideMark/>
          </w:tcPr>
          <w:p w14:paraId="07528F0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-137.4</w:t>
            </w:r>
          </w:p>
        </w:tc>
      </w:tr>
      <w:tr w:rsidR="00634ABA" w:rsidRPr="00986F85" w14:paraId="01E97BF1" w14:textId="77777777" w:rsidTr="00476987">
        <w:trPr>
          <w:trHeight w:val="283"/>
        </w:trPr>
        <w:tc>
          <w:tcPr>
            <w:tcW w:w="365" w:type="dxa"/>
            <w:vMerge/>
            <w:tcBorders>
              <w:top w:val="nil"/>
              <w:left w:val="nil"/>
              <w:bottom w:val="nil"/>
              <w:right w:val="nil"/>
            </w:tcBorders>
            <w:vAlign w:val="center"/>
            <w:hideMark/>
          </w:tcPr>
          <w:p w14:paraId="614D11D1" w14:textId="77777777" w:rsidR="00634ABA" w:rsidRPr="00986F85" w:rsidRDefault="00634ABA" w:rsidP="00476987">
            <w:pPr>
              <w:spacing w:after="0" w:line="240" w:lineRule="auto"/>
              <w:rPr>
                <w:rFonts w:eastAsia="Times New Roman"/>
                <w:color w:val="000000"/>
                <w:lang w:eastAsia="hu-HU"/>
              </w:rPr>
            </w:pPr>
          </w:p>
        </w:tc>
        <w:tc>
          <w:tcPr>
            <w:tcW w:w="2568" w:type="dxa"/>
            <w:tcBorders>
              <w:top w:val="nil"/>
              <w:left w:val="nil"/>
              <w:bottom w:val="nil"/>
              <w:right w:val="nil"/>
            </w:tcBorders>
            <w:shd w:val="clear" w:color="auto" w:fill="auto"/>
            <w:noWrap/>
            <w:vAlign w:val="bottom"/>
            <w:hideMark/>
          </w:tcPr>
          <w:p w14:paraId="64B17A1B"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Hozzáadott érték</w:t>
            </w:r>
          </w:p>
        </w:tc>
        <w:tc>
          <w:tcPr>
            <w:tcW w:w="836" w:type="dxa"/>
            <w:tcBorders>
              <w:top w:val="nil"/>
              <w:left w:val="nil"/>
              <w:bottom w:val="nil"/>
              <w:right w:val="nil"/>
            </w:tcBorders>
            <w:shd w:val="clear" w:color="auto" w:fill="auto"/>
            <w:noWrap/>
            <w:vAlign w:val="bottom"/>
            <w:hideMark/>
          </w:tcPr>
          <w:p w14:paraId="07A64F5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-4966</w:t>
            </w:r>
          </w:p>
        </w:tc>
        <w:tc>
          <w:tcPr>
            <w:tcW w:w="748" w:type="dxa"/>
            <w:tcBorders>
              <w:top w:val="nil"/>
              <w:left w:val="nil"/>
              <w:bottom w:val="nil"/>
              <w:right w:val="nil"/>
            </w:tcBorders>
            <w:shd w:val="clear" w:color="auto" w:fill="auto"/>
            <w:noWrap/>
            <w:vAlign w:val="bottom"/>
            <w:hideMark/>
          </w:tcPr>
          <w:p w14:paraId="123E041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-1919</w:t>
            </w:r>
          </w:p>
        </w:tc>
        <w:tc>
          <w:tcPr>
            <w:tcW w:w="748" w:type="dxa"/>
            <w:tcBorders>
              <w:top w:val="nil"/>
              <w:left w:val="nil"/>
              <w:bottom w:val="nil"/>
              <w:right w:val="nil"/>
            </w:tcBorders>
            <w:shd w:val="clear" w:color="auto" w:fill="auto"/>
            <w:noWrap/>
            <w:vAlign w:val="bottom"/>
            <w:hideMark/>
          </w:tcPr>
          <w:p w14:paraId="703081A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-381</w:t>
            </w:r>
          </w:p>
        </w:tc>
        <w:tc>
          <w:tcPr>
            <w:tcW w:w="748" w:type="dxa"/>
            <w:tcBorders>
              <w:top w:val="nil"/>
              <w:left w:val="nil"/>
              <w:bottom w:val="nil"/>
              <w:right w:val="nil"/>
            </w:tcBorders>
            <w:shd w:val="clear" w:color="auto" w:fill="auto"/>
            <w:noWrap/>
            <w:vAlign w:val="bottom"/>
            <w:hideMark/>
          </w:tcPr>
          <w:p w14:paraId="0FEB01E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-3425</w:t>
            </w:r>
          </w:p>
        </w:tc>
        <w:tc>
          <w:tcPr>
            <w:tcW w:w="893" w:type="dxa"/>
            <w:tcBorders>
              <w:top w:val="nil"/>
              <w:left w:val="nil"/>
              <w:bottom w:val="nil"/>
              <w:right w:val="nil"/>
            </w:tcBorders>
            <w:shd w:val="clear" w:color="auto" w:fill="auto"/>
            <w:noWrap/>
            <w:vAlign w:val="bottom"/>
            <w:hideMark/>
          </w:tcPr>
          <w:p w14:paraId="45B55FD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-771.5</w:t>
            </w:r>
          </w:p>
        </w:tc>
        <w:tc>
          <w:tcPr>
            <w:tcW w:w="893" w:type="dxa"/>
            <w:tcBorders>
              <w:top w:val="nil"/>
              <w:left w:val="nil"/>
              <w:bottom w:val="nil"/>
              <w:right w:val="nil"/>
            </w:tcBorders>
            <w:shd w:val="clear" w:color="auto" w:fill="auto"/>
            <w:noWrap/>
            <w:vAlign w:val="bottom"/>
            <w:hideMark/>
          </w:tcPr>
          <w:p w14:paraId="5A29F81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955</w:t>
            </w:r>
          </w:p>
        </w:tc>
        <w:tc>
          <w:tcPr>
            <w:tcW w:w="748" w:type="dxa"/>
            <w:tcBorders>
              <w:top w:val="nil"/>
              <w:left w:val="nil"/>
              <w:bottom w:val="nil"/>
              <w:right w:val="nil"/>
            </w:tcBorders>
            <w:shd w:val="clear" w:color="auto" w:fill="auto"/>
            <w:noWrap/>
            <w:vAlign w:val="bottom"/>
            <w:hideMark/>
          </w:tcPr>
          <w:p w14:paraId="1720884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-172</w:t>
            </w:r>
          </w:p>
        </w:tc>
        <w:tc>
          <w:tcPr>
            <w:tcW w:w="893" w:type="dxa"/>
            <w:tcBorders>
              <w:top w:val="nil"/>
              <w:left w:val="nil"/>
              <w:bottom w:val="nil"/>
              <w:right w:val="nil"/>
            </w:tcBorders>
            <w:shd w:val="clear" w:color="auto" w:fill="auto"/>
            <w:noWrap/>
            <w:vAlign w:val="bottom"/>
            <w:hideMark/>
          </w:tcPr>
          <w:p w14:paraId="56186BB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-2274.5</w:t>
            </w:r>
          </w:p>
        </w:tc>
      </w:tr>
      <w:tr w:rsidR="00634ABA" w:rsidRPr="00986F85" w14:paraId="78F337E0" w14:textId="77777777" w:rsidTr="00476987">
        <w:trPr>
          <w:trHeight w:val="283"/>
        </w:trPr>
        <w:tc>
          <w:tcPr>
            <w:tcW w:w="365" w:type="dxa"/>
            <w:vMerge/>
            <w:tcBorders>
              <w:top w:val="nil"/>
              <w:left w:val="nil"/>
              <w:bottom w:val="nil"/>
              <w:right w:val="nil"/>
            </w:tcBorders>
            <w:vAlign w:val="center"/>
            <w:hideMark/>
          </w:tcPr>
          <w:p w14:paraId="754476F5" w14:textId="77777777" w:rsidR="00634ABA" w:rsidRPr="00986F85" w:rsidRDefault="00634ABA" w:rsidP="00476987">
            <w:pPr>
              <w:spacing w:after="0" w:line="240" w:lineRule="auto"/>
              <w:rPr>
                <w:rFonts w:eastAsia="Times New Roman"/>
                <w:color w:val="000000"/>
                <w:lang w:eastAsia="hu-HU"/>
              </w:rPr>
            </w:pPr>
          </w:p>
        </w:tc>
        <w:tc>
          <w:tcPr>
            <w:tcW w:w="2568" w:type="dxa"/>
            <w:tcBorders>
              <w:top w:val="nil"/>
              <w:left w:val="nil"/>
              <w:bottom w:val="nil"/>
              <w:right w:val="nil"/>
            </w:tcBorders>
            <w:shd w:val="clear" w:color="auto" w:fill="auto"/>
            <w:noWrap/>
            <w:vAlign w:val="bottom"/>
            <w:hideMark/>
          </w:tcPr>
          <w:p w14:paraId="5E948DDD"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Egy foglalkoztatottra eső hozzáadott érték</w:t>
            </w:r>
          </w:p>
        </w:tc>
        <w:tc>
          <w:tcPr>
            <w:tcW w:w="836" w:type="dxa"/>
            <w:tcBorders>
              <w:top w:val="nil"/>
              <w:left w:val="nil"/>
              <w:bottom w:val="nil"/>
              <w:right w:val="nil"/>
            </w:tcBorders>
            <w:shd w:val="clear" w:color="auto" w:fill="auto"/>
            <w:noWrap/>
            <w:vAlign w:val="bottom"/>
            <w:hideMark/>
          </w:tcPr>
          <w:p w14:paraId="0413479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-121.2</w:t>
            </w:r>
          </w:p>
        </w:tc>
        <w:tc>
          <w:tcPr>
            <w:tcW w:w="748" w:type="dxa"/>
            <w:tcBorders>
              <w:top w:val="nil"/>
              <w:left w:val="nil"/>
              <w:bottom w:val="nil"/>
              <w:right w:val="nil"/>
            </w:tcBorders>
            <w:shd w:val="clear" w:color="auto" w:fill="auto"/>
            <w:noWrap/>
            <w:vAlign w:val="bottom"/>
            <w:hideMark/>
          </w:tcPr>
          <w:p w14:paraId="72AEC37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-113.1</w:t>
            </w:r>
          </w:p>
        </w:tc>
        <w:tc>
          <w:tcPr>
            <w:tcW w:w="748" w:type="dxa"/>
            <w:tcBorders>
              <w:top w:val="nil"/>
              <w:left w:val="nil"/>
              <w:bottom w:val="nil"/>
              <w:right w:val="nil"/>
            </w:tcBorders>
            <w:shd w:val="clear" w:color="auto" w:fill="auto"/>
            <w:noWrap/>
            <w:vAlign w:val="bottom"/>
            <w:hideMark/>
          </w:tcPr>
          <w:p w14:paraId="358ED63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-72.7</w:t>
            </w:r>
          </w:p>
        </w:tc>
        <w:tc>
          <w:tcPr>
            <w:tcW w:w="748" w:type="dxa"/>
            <w:tcBorders>
              <w:top w:val="nil"/>
              <w:left w:val="nil"/>
              <w:bottom w:val="nil"/>
              <w:right w:val="nil"/>
            </w:tcBorders>
            <w:shd w:val="clear" w:color="auto" w:fill="auto"/>
            <w:noWrap/>
            <w:vAlign w:val="bottom"/>
            <w:hideMark/>
          </w:tcPr>
          <w:p w14:paraId="43BC2E2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-179.2</w:t>
            </w:r>
          </w:p>
        </w:tc>
        <w:tc>
          <w:tcPr>
            <w:tcW w:w="893" w:type="dxa"/>
            <w:tcBorders>
              <w:top w:val="nil"/>
              <w:left w:val="nil"/>
              <w:bottom w:val="nil"/>
              <w:right w:val="nil"/>
            </w:tcBorders>
            <w:shd w:val="clear" w:color="auto" w:fill="auto"/>
            <w:noWrap/>
            <w:vAlign w:val="bottom"/>
            <w:hideMark/>
          </w:tcPr>
          <w:p w14:paraId="25428C6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25.8</w:t>
            </w:r>
          </w:p>
        </w:tc>
        <w:tc>
          <w:tcPr>
            <w:tcW w:w="893" w:type="dxa"/>
            <w:tcBorders>
              <w:top w:val="nil"/>
              <w:left w:val="nil"/>
              <w:bottom w:val="nil"/>
              <w:right w:val="nil"/>
            </w:tcBorders>
            <w:shd w:val="clear" w:color="auto" w:fill="auto"/>
            <w:noWrap/>
            <w:vAlign w:val="bottom"/>
            <w:hideMark/>
          </w:tcPr>
          <w:p w14:paraId="0510C17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74.2</w:t>
            </w:r>
          </w:p>
        </w:tc>
        <w:tc>
          <w:tcPr>
            <w:tcW w:w="748" w:type="dxa"/>
            <w:tcBorders>
              <w:top w:val="nil"/>
              <w:left w:val="nil"/>
              <w:bottom w:val="nil"/>
              <w:right w:val="nil"/>
            </w:tcBorders>
            <w:shd w:val="clear" w:color="auto" w:fill="auto"/>
            <w:noWrap/>
            <w:vAlign w:val="bottom"/>
            <w:hideMark/>
          </w:tcPr>
          <w:p w14:paraId="6EDA52E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47.2</w:t>
            </w:r>
          </w:p>
        </w:tc>
        <w:tc>
          <w:tcPr>
            <w:tcW w:w="893" w:type="dxa"/>
            <w:tcBorders>
              <w:top w:val="nil"/>
              <w:left w:val="nil"/>
              <w:bottom w:val="nil"/>
              <w:right w:val="nil"/>
            </w:tcBorders>
            <w:shd w:val="clear" w:color="auto" w:fill="auto"/>
            <w:noWrap/>
            <w:vAlign w:val="bottom"/>
            <w:hideMark/>
          </w:tcPr>
          <w:p w14:paraId="48AB915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-49.5</w:t>
            </w:r>
          </w:p>
        </w:tc>
      </w:tr>
      <w:tr w:rsidR="00634ABA" w:rsidRPr="00986F85" w14:paraId="7FBE6EA9" w14:textId="77777777" w:rsidTr="00476987">
        <w:trPr>
          <w:trHeight w:val="283"/>
        </w:trPr>
        <w:tc>
          <w:tcPr>
            <w:tcW w:w="365" w:type="dxa"/>
            <w:vMerge/>
            <w:tcBorders>
              <w:top w:val="nil"/>
              <w:left w:val="nil"/>
              <w:bottom w:val="nil"/>
              <w:right w:val="nil"/>
            </w:tcBorders>
            <w:vAlign w:val="center"/>
            <w:hideMark/>
          </w:tcPr>
          <w:p w14:paraId="25B38FF3" w14:textId="77777777" w:rsidR="00634ABA" w:rsidRPr="00986F85" w:rsidRDefault="00634ABA" w:rsidP="00476987">
            <w:pPr>
              <w:spacing w:after="0" w:line="240" w:lineRule="auto"/>
              <w:rPr>
                <w:rFonts w:eastAsia="Times New Roman"/>
                <w:color w:val="000000"/>
                <w:lang w:eastAsia="hu-HU"/>
              </w:rPr>
            </w:pPr>
          </w:p>
        </w:tc>
        <w:tc>
          <w:tcPr>
            <w:tcW w:w="2568" w:type="dxa"/>
            <w:tcBorders>
              <w:top w:val="nil"/>
              <w:left w:val="nil"/>
              <w:bottom w:val="nil"/>
              <w:right w:val="nil"/>
            </w:tcBorders>
            <w:shd w:val="clear" w:color="auto" w:fill="auto"/>
            <w:noWrap/>
            <w:vAlign w:val="bottom"/>
            <w:hideMark/>
          </w:tcPr>
          <w:p w14:paraId="74A6359D"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ROA</w:t>
            </w:r>
          </w:p>
        </w:tc>
        <w:tc>
          <w:tcPr>
            <w:tcW w:w="836" w:type="dxa"/>
            <w:tcBorders>
              <w:top w:val="nil"/>
              <w:left w:val="nil"/>
              <w:bottom w:val="nil"/>
              <w:right w:val="nil"/>
            </w:tcBorders>
            <w:shd w:val="clear" w:color="auto" w:fill="auto"/>
            <w:noWrap/>
            <w:vAlign w:val="bottom"/>
            <w:hideMark/>
          </w:tcPr>
          <w:p w14:paraId="2763CE2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-0.022</w:t>
            </w:r>
          </w:p>
        </w:tc>
        <w:tc>
          <w:tcPr>
            <w:tcW w:w="748" w:type="dxa"/>
            <w:tcBorders>
              <w:top w:val="nil"/>
              <w:left w:val="nil"/>
              <w:bottom w:val="nil"/>
              <w:right w:val="nil"/>
            </w:tcBorders>
            <w:shd w:val="clear" w:color="auto" w:fill="auto"/>
            <w:noWrap/>
            <w:vAlign w:val="bottom"/>
            <w:hideMark/>
          </w:tcPr>
          <w:p w14:paraId="3AE8B3C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w:t>
            </w:r>
            <w:r w:rsidRPr="00986F85">
              <w:rPr>
                <w:rFonts w:eastAsia="Times New Roman"/>
                <w:color w:val="000000"/>
                <w:lang w:eastAsia="hu-HU"/>
              </w:rPr>
              <w:lastRenderedPageBreak/>
              <w:t>0.028</w:t>
            </w:r>
          </w:p>
        </w:tc>
        <w:tc>
          <w:tcPr>
            <w:tcW w:w="748" w:type="dxa"/>
            <w:tcBorders>
              <w:top w:val="nil"/>
              <w:left w:val="nil"/>
              <w:bottom w:val="nil"/>
              <w:right w:val="nil"/>
            </w:tcBorders>
            <w:shd w:val="clear" w:color="auto" w:fill="auto"/>
            <w:noWrap/>
            <w:vAlign w:val="bottom"/>
            <w:hideMark/>
          </w:tcPr>
          <w:p w14:paraId="0C453AE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lastRenderedPageBreak/>
              <w:t>-</w:t>
            </w:r>
            <w:r w:rsidRPr="00986F85">
              <w:rPr>
                <w:rFonts w:eastAsia="Times New Roman"/>
                <w:color w:val="000000"/>
                <w:lang w:eastAsia="hu-HU"/>
              </w:rPr>
              <w:lastRenderedPageBreak/>
              <w:t>0.013</w:t>
            </w:r>
          </w:p>
        </w:tc>
        <w:tc>
          <w:tcPr>
            <w:tcW w:w="748" w:type="dxa"/>
            <w:tcBorders>
              <w:top w:val="nil"/>
              <w:left w:val="nil"/>
              <w:bottom w:val="nil"/>
              <w:right w:val="nil"/>
            </w:tcBorders>
            <w:shd w:val="clear" w:color="auto" w:fill="auto"/>
            <w:noWrap/>
            <w:vAlign w:val="bottom"/>
            <w:hideMark/>
          </w:tcPr>
          <w:p w14:paraId="56F0609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lastRenderedPageBreak/>
              <w:t>-</w:t>
            </w:r>
            <w:r w:rsidRPr="00986F85">
              <w:rPr>
                <w:rFonts w:eastAsia="Times New Roman"/>
                <w:color w:val="000000"/>
                <w:lang w:eastAsia="hu-HU"/>
              </w:rPr>
              <w:lastRenderedPageBreak/>
              <w:t>0.026</w:t>
            </w:r>
          </w:p>
        </w:tc>
        <w:tc>
          <w:tcPr>
            <w:tcW w:w="893" w:type="dxa"/>
            <w:tcBorders>
              <w:top w:val="nil"/>
              <w:left w:val="nil"/>
              <w:bottom w:val="nil"/>
              <w:right w:val="nil"/>
            </w:tcBorders>
            <w:shd w:val="clear" w:color="auto" w:fill="auto"/>
            <w:noWrap/>
            <w:vAlign w:val="bottom"/>
            <w:hideMark/>
          </w:tcPr>
          <w:p w14:paraId="5EB66A0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lastRenderedPageBreak/>
              <w:t>-0.011</w:t>
            </w:r>
          </w:p>
        </w:tc>
        <w:tc>
          <w:tcPr>
            <w:tcW w:w="893" w:type="dxa"/>
            <w:tcBorders>
              <w:top w:val="nil"/>
              <w:left w:val="nil"/>
              <w:bottom w:val="nil"/>
              <w:right w:val="nil"/>
            </w:tcBorders>
            <w:shd w:val="clear" w:color="auto" w:fill="auto"/>
            <w:noWrap/>
            <w:vAlign w:val="bottom"/>
            <w:hideMark/>
          </w:tcPr>
          <w:p w14:paraId="170F75D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-0.002</w:t>
            </w:r>
          </w:p>
        </w:tc>
        <w:tc>
          <w:tcPr>
            <w:tcW w:w="748" w:type="dxa"/>
            <w:tcBorders>
              <w:top w:val="nil"/>
              <w:left w:val="nil"/>
              <w:bottom w:val="nil"/>
              <w:right w:val="nil"/>
            </w:tcBorders>
            <w:shd w:val="clear" w:color="auto" w:fill="auto"/>
            <w:noWrap/>
            <w:vAlign w:val="bottom"/>
            <w:hideMark/>
          </w:tcPr>
          <w:p w14:paraId="4727F83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w:t>
            </w:r>
            <w:r w:rsidRPr="00986F85">
              <w:rPr>
                <w:rFonts w:eastAsia="Times New Roman"/>
                <w:color w:val="000000"/>
                <w:lang w:eastAsia="hu-HU"/>
              </w:rPr>
              <w:lastRenderedPageBreak/>
              <w:t>0.029</w:t>
            </w:r>
          </w:p>
        </w:tc>
        <w:tc>
          <w:tcPr>
            <w:tcW w:w="893" w:type="dxa"/>
            <w:tcBorders>
              <w:top w:val="nil"/>
              <w:left w:val="nil"/>
              <w:bottom w:val="nil"/>
              <w:right w:val="nil"/>
            </w:tcBorders>
            <w:shd w:val="clear" w:color="auto" w:fill="auto"/>
            <w:noWrap/>
            <w:vAlign w:val="bottom"/>
            <w:hideMark/>
          </w:tcPr>
          <w:p w14:paraId="636A4AA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lastRenderedPageBreak/>
              <w:t>-0.018</w:t>
            </w:r>
          </w:p>
        </w:tc>
      </w:tr>
    </w:tbl>
    <w:p w14:paraId="47A8379D" w14:textId="77777777" w:rsidR="00634ABA" w:rsidRPr="00986F85" w:rsidRDefault="00634ABA" w:rsidP="00634ABA"/>
    <w:p w14:paraId="1B6A635F" w14:textId="77777777" w:rsidR="00634ABA" w:rsidRPr="00986F85" w:rsidRDefault="00634ABA" w:rsidP="00634ABA">
      <w:r w:rsidRPr="00986F85">
        <w:br w:type="page"/>
      </w:r>
    </w:p>
    <w:tbl>
      <w:tblPr>
        <w:tblW w:w="9639" w:type="dxa"/>
        <w:tblInd w:w="70" w:type="dxa"/>
        <w:tblCellMar>
          <w:left w:w="70" w:type="dxa"/>
          <w:right w:w="70" w:type="dxa"/>
        </w:tblCellMar>
        <w:tblLook w:val="04A0" w:firstRow="1" w:lastRow="0" w:firstColumn="1" w:lastColumn="0" w:noHBand="0" w:noVBand="1"/>
      </w:tblPr>
      <w:tblGrid>
        <w:gridCol w:w="444"/>
        <w:gridCol w:w="2571"/>
        <w:gridCol w:w="819"/>
        <w:gridCol w:w="819"/>
        <w:gridCol w:w="819"/>
        <w:gridCol w:w="819"/>
        <w:gridCol w:w="819"/>
        <w:gridCol w:w="929"/>
        <w:gridCol w:w="819"/>
        <w:gridCol w:w="819"/>
      </w:tblGrid>
      <w:tr w:rsidR="00634ABA" w:rsidRPr="00986F85" w14:paraId="61CC6CD0" w14:textId="77777777" w:rsidTr="00476987">
        <w:trPr>
          <w:trHeight w:val="300"/>
        </w:trPr>
        <w:tc>
          <w:tcPr>
            <w:tcW w:w="9639" w:type="dxa"/>
            <w:gridSpan w:val="10"/>
            <w:tcBorders>
              <w:top w:val="nil"/>
              <w:left w:val="nil"/>
              <w:right w:val="nil"/>
            </w:tcBorders>
            <w:shd w:val="clear" w:color="000000" w:fill="B10000"/>
            <w:noWrap/>
            <w:vAlign w:val="bottom"/>
            <w:hideMark/>
          </w:tcPr>
          <w:p w14:paraId="5B72E51D" w14:textId="77777777" w:rsidR="00634ABA" w:rsidRPr="00986F85" w:rsidRDefault="00634ABA" w:rsidP="00476987">
            <w:pPr>
              <w:spacing w:after="0" w:line="240" w:lineRule="auto"/>
              <w:jc w:val="center"/>
              <w:rPr>
                <w:rFonts w:eastAsia="Times New Roman"/>
                <w:b/>
                <w:bCs/>
                <w:color w:val="FFFFFF"/>
                <w:lang w:eastAsia="hu-HU"/>
              </w:rPr>
            </w:pPr>
            <w:r w:rsidRPr="00986F85">
              <w:rPr>
                <w:rFonts w:eastAsia="Times New Roman"/>
                <w:b/>
                <w:bCs/>
                <w:color w:val="FFFFFF"/>
                <w:lang w:eastAsia="hu-HU"/>
              </w:rPr>
              <w:lastRenderedPageBreak/>
              <w:t>Főbb indikátorok változásának mediánja régió szerinti bontásban (2011/2006)</w:t>
            </w:r>
          </w:p>
        </w:tc>
      </w:tr>
      <w:tr w:rsidR="00634ABA" w:rsidRPr="00986F85" w14:paraId="6F35E77B" w14:textId="77777777" w:rsidTr="00476987">
        <w:trPr>
          <w:trHeight w:val="2250"/>
        </w:trPr>
        <w:tc>
          <w:tcPr>
            <w:tcW w:w="406" w:type="dxa"/>
            <w:tcBorders>
              <w:top w:val="nil"/>
              <w:left w:val="nil"/>
              <w:bottom w:val="nil"/>
              <w:right w:val="nil"/>
            </w:tcBorders>
            <w:shd w:val="clear" w:color="auto" w:fill="B10000"/>
            <w:noWrap/>
            <w:vAlign w:val="bottom"/>
            <w:hideMark/>
          </w:tcPr>
          <w:p w14:paraId="7A775B40" w14:textId="77777777" w:rsidR="00634ABA" w:rsidRPr="00986F85" w:rsidRDefault="00634ABA" w:rsidP="00476987">
            <w:pPr>
              <w:spacing w:after="0" w:line="240" w:lineRule="auto"/>
              <w:rPr>
                <w:rFonts w:eastAsia="Times New Roman"/>
                <w:color w:val="FFFFFF" w:themeColor="background1"/>
                <w:lang w:eastAsia="hu-HU"/>
              </w:rPr>
            </w:pPr>
          </w:p>
        </w:tc>
        <w:tc>
          <w:tcPr>
            <w:tcW w:w="2571" w:type="dxa"/>
            <w:tcBorders>
              <w:top w:val="nil"/>
              <w:left w:val="nil"/>
              <w:bottom w:val="nil"/>
              <w:right w:val="nil"/>
            </w:tcBorders>
            <w:shd w:val="clear" w:color="auto" w:fill="B10000"/>
            <w:noWrap/>
            <w:vAlign w:val="bottom"/>
            <w:hideMark/>
          </w:tcPr>
          <w:p w14:paraId="4FF49179" w14:textId="77777777" w:rsidR="00634ABA" w:rsidRPr="00986F85" w:rsidRDefault="00634ABA" w:rsidP="00476987">
            <w:pPr>
              <w:spacing w:after="0" w:line="240" w:lineRule="auto"/>
              <w:rPr>
                <w:rFonts w:eastAsia="Times New Roman"/>
                <w:color w:val="FFFFFF" w:themeColor="background1"/>
                <w:lang w:eastAsia="hu-HU"/>
              </w:rPr>
            </w:pPr>
          </w:p>
        </w:tc>
        <w:tc>
          <w:tcPr>
            <w:tcW w:w="819" w:type="dxa"/>
            <w:tcBorders>
              <w:top w:val="nil"/>
              <w:left w:val="nil"/>
              <w:bottom w:val="nil"/>
              <w:right w:val="nil"/>
            </w:tcBorders>
            <w:shd w:val="clear" w:color="auto" w:fill="B10000"/>
            <w:noWrap/>
            <w:textDirection w:val="btLr"/>
            <w:vAlign w:val="bottom"/>
            <w:hideMark/>
          </w:tcPr>
          <w:p w14:paraId="747DA619"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Közép-Magyarország</w:t>
            </w:r>
          </w:p>
        </w:tc>
        <w:tc>
          <w:tcPr>
            <w:tcW w:w="819" w:type="dxa"/>
            <w:tcBorders>
              <w:top w:val="nil"/>
              <w:left w:val="nil"/>
              <w:bottom w:val="nil"/>
              <w:right w:val="nil"/>
            </w:tcBorders>
            <w:shd w:val="clear" w:color="auto" w:fill="B10000"/>
            <w:noWrap/>
            <w:textDirection w:val="btLr"/>
            <w:vAlign w:val="bottom"/>
            <w:hideMark/>
          </w:tcPr>
          <w:p w14:paraId="1359F071"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Közép-Dunántúl</w:t>
            </w:r>
          </w:p>
        </w:tc>
        <w:tc>
          <w:tcPr>
            <w:tcW w:w="819" w:type="dxa"/>
            <w:tcBorders>
              <w:top w:val="nil"/>
              <w:left w:val="nil"/>
              <w:bottom w:val="nil"/>
              <w:right w:val="nil"/>
            </w:tcBorders>
            <w:shd w:val="clear" w:color="auto" w:fill="B10000"/>
            <w:noWrap/>
            <w:textDirection w:val="btLr"/>
            <w:vAlign w:val="bottom"/>
            <w:hideMark/>
          </w:tcPr>
          <w:p w14:paraId="7C69CD21"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Nyugat-Dunántúl</w:t>
            </w:r>
          </w:p>
        </w:tc>
        <w:tc>
          <w:tcPr>
            <w:tcW w:w="819" w:type="dxa"/>
            <w:tcBorders>
              <w:top w:val="nil"/>
              <w:left w:val="nil"/>
              <w:bottom w:val="nil"/>
              <w:right w:val="nil"/>
            </w:tcBorders>
            <w:shd w:val="clear" w:color="auto" w:fill="B10000"/>
            <w:noWrap/>
            <w:textDirection w:val="btLr"/>
            <w:vAlign w:val="bottom"/>
            <w:hideMark/>
          </w:tcPr>
          <w:p w14:paraId="01EF6008"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Dél-Dunántúl</w:t>
            </w:r>
          </w:p>
        </w:tc>
        <w:tc>
          <w:tcPr>
            <w:tcW w:w="819" w:type="dxa"/>
            <w:tcBorders>
              <w:top w:val="nil"/>
              <w:left w:val="nil"/>
              <w:bottom w:val="nil"/>
              <w:right w:val="nil"/>
            </w:tcBorders>
            <w:shd w:val="clear" w:color="auto" w:fill="B10000"/>
            <w:noWrap/>
            <w:textDirection w:val="btLr"/>
            <w:vAlign w:val="bottom"/>
            <w:hideMark/>
          </w:tcPr>
          <w:p w14:paraId="5743BBE4"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Észak-Magyarország</w:t>
            </w:r>
          </w:p>
        </w:tc>
        <w:tc>
          <w:tcPr>
            <w:tcW w:w="929" w:type="dxa"/>
            <w:tcBorders>
              <w:top w:val="nil"/>
              <w:left w:val="nil"/>
              <w:bottom w:val="nil"/>
              <w:right w:val="nil"/>
            </w:tcBorders>
            <w:shd w:val="clear" w:color="auto" w:fill="B10000"/>
            <w:noWrap/>
            <w:textDirection w:val="btLr"/>
            <w:vAlign w:val="bottom"/>
            <w:hideMark/>
          </w:tcPr>
          <w:p w14:paraId="5C8C0161"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Észak-Alföld</w:t>
            </w:r>
          </w:p>
        </w:tc>
        <w:tc>
          <w:tcPr>
            <w:tcW w:w="819" w:type="dxa"/>
            <w:tcBorders>
              <w:top w:val="nil"/>
              <w:left w:val="nil"/>
              <w:bottom w:val="nil"/>
              <w:right w:val="nil"/>
            </w:tcBorders>
            <w:shd w:val="clear" w:color="auto" w:fill="B10000"/>
            <w:noWrap/>
            <w:textDirection w:val="btLr"/>
            <w:vAlign w:val="bottom"/>
            <w:hideMark/>
          </w:tcPr>
          <w:p w14:paraId="021DD822"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Dél-Alföld</w:t>
            </w:r>
          </w:p>
        </w:tc>
        <w:tc>
          <w:tcPr>
            <w:tcW w:w="819" w:type="dxa"/>
            <w:tcBorders>
              <w:top w:val="nil"/>
              <w:left w:val="nil"/>
              <w:bottom w:val="nil"/>
              <w:right w:val="nil"/>
            </w:tcBorders>
            <w:shd w:val="clear" w:color="auto" w:fill="B10000"/>
            <w:noWrap/>
            <w:textDirection w:val="btLr"/>
            <w:vAlign w:val="bottom"/>
            <w:hideMark/>
          </w:tcPr>
          <w:p w14:paraId="4DF9476C" w14:textId="77777777" w:rsidR="00634ABA" w:rsidRPr="00986F85" w:rsidRDefault="00634ABA" w:rsidP="00476987">
            <w:pPr>
              <w:spacing w:after="0" w:line="240" w:lineRule="auto"/>
              <w:rPr>
                <w:rFonts w:eastAsia="Times New Roman"/>
                <w:color w:val="FFFFFF" w:themeColor="background1"/>
                <w:lang w:eastAsia="hu-HU"/>
              </w:rPr>
            </w:pPr>
            <w:r w:rsidRPr="00986F85">
              <w:rPr>
                <w:rFonts w:eastAsia="Times New Roman"/>
                <w:color w:val="FFFFFF" w:themeColor="background1"/>
                <w:lang w:eastAsia="hu-HU"/>
              </w:rPr>
              <w:t>Országos átlag</w:t>
            </w:r>
          </w:p>
        </w:tc>
      </w:tr>
      <w:tr w:rsidR="00634ABA" w:rsidRPr="00986F85" w14:paraId="3581B46B" w14:textId="77777777" w:rsidTr="00476987">
        <w:trPr>
          <w:trHeight w:val="300"/>
        </w:trPr>
        <w:tc>
          <w:tcPr>
            <w:tcW w:w="406" w:type="dxa"/>
            <w:vMerge w:val="restart"/>
            <w:tcBorders>
              <w:top w:val="nil"/>
              <w:left w:val="nil"/>
              <w:bottom w:val="nil"/>
              <w:right w:val="nil"/>
            </w:tcBorders>
            <w:shd w:val="clear" w:color="auto" w:fill="auto"/>
            <w:noWrap/>
            <w:textDirection w:val="btLr"/>
            <w:vAlign w:val="bottom"/>
            <w:hideMark/>
          </w:tcPr>
          <w:p w14:paraId="01FE4416" w14:textId="77777777" w:rsidR="00634ABA" w:rsidRPr="00986F85" w:rsidRDefault="00634ABA" w:rsidP="00476987">
            <w:pPr>
              <w:spacing w:after="0" w:line="240" w:lineRule="auto"/>
              <w:jc w:val="center"/>
              <w:rPr>
                <w:rFonts w:eastAsia="Times New Roman"/>
                <w:b/>
                <w:color w:val="000000"/>
                <w:lang w:eastAsia="hu-HU"/>
              </w:rPr>
            </w:pPr>
            <w:r w:rsidRPr="00986F85">
              <w:rPr>
                <w:rFonts w:eastAsia="Times New Roman"/>
                <w:b/>
                <w:color w:val="000000"/>
                <w:lang w:eastAsia="hu-HU"/>
              </w:rPr>
              <w:t>Kontroll</w:t>
            </w:r>
          </w:p>
        </w:tc>
        <w:tc>
          <w:tcPr>
            <w:tcW w:w="2571" w:type="dxa"/>
            <w:tcBorders>
              <w:top w:val="nil"/>
              <w:left w:val="nil"/>
              <w:bottom w:val="nil"/>
              <w:right w:val="nil"/>
            </w:tcBorders>
            <w:shd w:val="clear" w:color="auto" w:fill="auto"/>
            <w:noWrap/>
            <w:vAlign w:val="bottom"/>
            <w:hideMark/>
          </w:tcPr>
          <w:p w14:paraId="1286B0C6"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Foglalkoztatottak száma (%)</w:t>
            </w:r>
          </w:p>
        </w:tc>
        <w:tc>
          <w:tcPr>
            <w:tcW w:w="819" w:type="dxa"/>
            <w:tcBorders>
              <w:top w:val="nil"/>
              <w:left w:val="nil"/>
              <w:bottom w:val="nil"/>
              <w:right w:val="nil"/>
            </w:tcBorders>
            <w:shd w:val="clear" w:color="auto" w:fill="auto"/>
            <w:noWrap/>
            <w:vAlign w:val="bottom"/>
            <w:hideMark/>
          </w:tcPr>
          <w:p w14:paraId="543858E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-22.2</w:t>
            </w:r>
          </w:p>
        </w:tc>
        <w:tc>
          <w:tcPr>
            <w:tcW w:w="819" w:type="dxa"/>
            <w:tcBorders>
              <w:top w:val="nil"/>
              <w:left w:val="nil"/>
              <w:bottom w:val="nil"/>
              <w:right w:val="nil"/>
            </w:tcBorders>
            <w:shd w:val="clear" w:color="auto" w:fill="auto"/>
            <w:noWrap/>
            <w:vAlign w:val="bottom"/>
            <w:hideMark/>
          </w:tcPr>
          <w:p w14:paraId="10B8410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-20</w:t>
            </w:r>
          </w:p>
        </w:tc>
        <w:tc>
          <w:tcPr>
            <w:tcW w:w="819" w:type="dxa"/>
            <w:tcBorders>
              <w:top w:val="nil"/>
              <w:left w:val="nil"/>
              <w:bottom w:val="nil"/>
              <w:right w:val="nil"/>
            </w:tcBorders>
            <w:shd w:val="clear" w:color="auto" w:fill="auto"/>
            <w:noWrap/>
            <w:vAlign w:val="bottom"/>
            <w:hideMark/>
          </w:tcPr>
          <w:p w14:paraId="07A3ADF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-16.7</w:t>
            </w:r>
          </w:p>
        </w:tc>
        <w:tc>
          <w:tcPr>
            <w:tcW w:w="819" w:type="dxa"/>
            <w:tcBorders>
              <w:top w:val="nil"/>
              <w:left w:val="nil"/>
              <w:bottom w:val="nil"/>
              <w:right w:val="nil"/>
            </w:tcBorders>
            <w:shd w:val="clear" w:color="auto" w:fill="auto"/>
            <w:noWrap/>
            <w:vAlign w:val="bottom"/>
            <w:hideMark/>
          </w:tcPr>
          <w:p w14:paraId="2D54CED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-22</w:t>
            </w:r>
          </w:p>
        </w:tc>
        <w:tc>
          <w:tcPr>
            <w:tcW w:w="819" w:type="dxa"/>
            <w:tcBorders>
              <w:top w:val="nil"/>
              <w:left w:val="nil"/>
              <w:bottom w:val="nil"/>
              <w:right w:val="nil"/>
            </w:tcBorders>
            <w:shd w:val="clear" w:color="auto" w:fill="auto"/>
            <w:noWrap/>
            <w:vAlign w:val="bottom"/>
            <w:hideMark/>
          </w:tcPr>
          <w:p w14:paraId="298F00B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-25</w:t>
            </w:r>
          </w:p>
        </w:tc>
        <w:tc>
          <w:tcPr>
            <w:tcW w:w="929" w:type="dxa"/>
            <w:tcBorders>
              <w:top w:val="nil"/>
              <w:left w:val="nil"/>
              <w:bottom w:val="nil"/>
              <w:right w:val="nil"/>
            </w:tcBorders>
            <w:shd w:val="clear" w:color="auto" w:fill="auto"/>
            <w:noWrap/>
            <w:vAlign w:val="bottom"/>
            <w:hideMark/>
          </w:tcPr>
          <w:p w14:paraId="6E1B4FA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-17.6</w:t>
            </w:r>
          </w:p>
        </w:tc>
        <w:tc>
          <w:tcPr>
            <w:tcW w:w="819" w:type="dxa"/>
            <w:tcBorders>
              <w:top w:val="nil"/>
              <w:left w:val="nil"/>
              <w:bottom w:val="nil"/>
              <w:right w:val="nil"/>
            </w:tcBorders>
            <w:shd w:val="clear" w:color="auto" w:fill="auto"/>
            <w:noWrap/>
            <w:vAlign w:val="bottom"/>
            <w:hideMark/>
          </w:tcPr>
          <w:p w14:paraId="28CCD94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-16.7</w:t>
            </w:r>
          </w:p>
        </w:tc>
        <w:tc>
          <w:tcPr>
            <w:tcW w:w="819" w:type="dxa"/>
            <w:tcBorders>
              <w:top w:val="nil"/>
              <w:left w:val="nil"/>
              <w:bottom w:val="nil"/>
              <w:right w:val="nil"/>
            </w:tcBorders>
            <w:shd w:val="clear" w:color="auto" w:fill="auto"/>
            <w:noWrap/>
            <w:vAlign w:val="bottom"/>
            <w:hideMark/>
          </w:tcPr>
          <w:p w14:paraId="55B901A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-20</w:t>
            </w:r>
          </w:p>
        </w:tc>
      </w:tr>
      <w:tr w:rsidR="00634ABA" w:rsidRPr="00986F85" w14:paraId="041D67DA" w14:textId="77777777" w:rsidTr="00476987">
        <w:trPr>
          <w:trHeight w:val="285"/>
        </w:trPr>
        <w:tc>
          <w:tcPr>
            <w:tcW w:w="406" w:type="dxa"/>
            <w:vMerge/>
            <w:tcBorders>
              <w:top w:val="nil"/>
              <w:left w:val="nil"/>
              <w:bottom w:val="nil"/>
              <w:right w:val="nil"/>
            </w:tcBorders>
            <w:vAlign w:val="center"/>
            <w:hideMark/>
          </w:tcPr>
          <w:p w14:paraId="4BF348A8" w14:textId="77777777" w:rsidR="00634ABA" w:rsidRPr="00986F85" w:rsidRDefault="00634ABA" w:rsidP="00476987">
            <w:pPr>
              <w:spacing w:after="0" w:line="240" w:lineRule="auto"/>
              <w:rPr>
                <w:rFonts w:eastAsia="Times New Roman"/>
                <w:color w:val="000000"/>
                <w:lang w:eastAsia="hu-HU"/>
              </w:rPr>
            </w:pPr>
          </w:p>
        </w:tc>
        <w:tc>
          <w:tcPr>
            <w:tcW w:w="2571" w:type="dxa"/>
            <w:tcBorders>
              <w:top w:val="nil"/>
              <w:left w:val="nil"/>
              <w:bottom w:val="nil"/>
              <w:right w:val="nil"/>
            </w:tcBorders>
            <w:shd w:val="clear" w:color="auto" w:fill="auto"/>
            <w:noWrap/>
            <w:vAlign w:val="bottom"/>
            <w:hideMark/>
          </w:tcPr>
          <w:p w14:paraId="4F37426D"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Nettó árbevétel (%)</w:t>
            </w:r>
          </w:p>
        </w:tc>
        <w:tc>
          <w:tcPr>
            <w:tcW w:w="819" w:type="dxa"/>
            <w:tcBorders>
              <w:top w:val="nil"/>
              <w:left w:val="nil"/>
              <w:bottom w:val="nil"/>
              <w:right w:val="nil"/>
            </w:tcBorders>
            <w:shd w:val="clear" w:color="auto" w:fill="auto"/>
            <w:noWrap/>
            <w:vAlign w:val="bottom"/>
            <w:hideMark/>
          </w:tcPr>
          <w:p w14:paraId="15FC30E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-18.3</w:t>
            </w:r>
          </w:p>
        </w:tc>
        <w:tc>
          <w:tcPr>
            <w:tcW w:w="819" w:type="dxa"/>
            <w:tcBorders>
              <w:top w:val="nil"/>
              <w:left w:val="nil"/>
              <w:bottom w:val="nil"/>
              <w:right w:val="nil"/>
            </w:tcBorders>
            <w:shd w:val="clear" w:color="auto" w:fill="auto"/>
            <w:noWrap/>
            <w:vAlign w:val="bottom"/>
            <w:hideMark/>
          </w:tcPr>
          <w:p w14:paraId="06EDF26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-12.9</w:t>
            </w:r>
          </w:p>
        </w:tc>
        <w:tc>
          <w:tcPr>
            <w:tcW w:w="819" w:type="dxa"/>
            <w:tcBorders>
              <w:top w:val="nil"/>
              <w:left w:val="nil"/>
              <w:bottom w:val="nil"/>
              <w:right w:val="nil"/>
            </w:tcBorders>
            <w:shd w:val="clear" w:color="auto" w:fill="auto"/>
            <w:noWrap/>
            <w:vAlign w:val="bottom"/>
            <w:hideMark/>
          </w:tcPr>
          <w:p w14:paraId="717A22E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-5.5</w:t>
            </w:r>
          </w:p>
        </w:tc>
        <w:tc>
          <w:tcPr>
            <w:tcW w:w="819" w:type="dxa"/>
            <w:tcBorders>
              <w:top w:val="nil"/>
              <w:left w:val="nil"/>
              <w:bottom w:val="nil"/>
              <w:right w:val="nil"/>
            </w:tcBorders>
            <w:shd w:val="clear" w:color="auto" w:fill="auto"/>
            <w:noWrap/>
            <w:vAlign w:val="bottom"/>
            <w:hideMark/>
          </w:tcPr>
          <w:p w14:paraId="7598DF1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-13.2</w:t>
            </w:r>
          </w:p>
        </w:tc>
        <w:tc>
          <w:tcPr>
            <w:tcW w:w="819" w:type="dxa"/>
            <w:tcBorders>
              <w:top w:val="nil"/>
              <w:left w:val="nil"/>
              <w:bottom w:val="nil"/>
              <w:right w:val="nil"/>
            </w:tcBorders>
            <w:shd w:val="clear" w:color="auto" w:fill="auto"/>
            <w:noWrap/>
            <w:vAlign w:val="bottom"/>
            <w:hideMark/>
          </w:tcPr>
          <w:p w14:paraId="04B2540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-16.2</w:t>
            </w:r>
          </w:p>
        </w:tc>
        <w:tc>
          <w:tcPr>
            <w:tcW w:w="929" w:type="dxa"/>
            <w:tcBorders>
              <w:top w:val="nil"/>
              <w:left w:val="nil"/>
              <w:bottom w:val="nil"/>
              <w:right w:val="nil"/>
            </w:tcBorders>
            <w:shd w:val="clear" w:color="auto" w:fill="auto"/>
            <w:noWrap/>
            <w:vAlign w:val="bottom"/>
            <w:hideMark/>
          </w:tcPr>
          <w:p w14:paraId="484EB46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-11.3</w:t>
            </w:r>
          </w:p>
        </w:tc>
        <w:tc>
          <w:tcPr>
            <w:tcW w:w="819" w:type="dxa"/>
            <w:tcBorders>
              <w:top w:val="nil"/>
              <w:left w:val="nil"/>
              <w:bottom w:val="nil"/>
              <w:right w:val="nil"/>
            </w:tcBorders>
            <w:shd w:val="clear" w:color="auto" w:fill="auto"/>
            <w:noWrap/>
            <w:vAlign w:val="bottom"/>
            <w:hideMark/>
          </w:tcPr>
          <w:p w14:paraId="0E6C038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-7.8</w:t>
            </w:r>
          </w:p>
        </w:tc>
        <w:tc>
          <w:tcPr>
            <w:tcW w:w="819" w:type="dxa"/>
            <w:tcBorders>
              <w:top w:val="nil"/>
              <w:left w:val="nil"/>
              <w:bottom w:val="nil"/>
              <w:right w:val="nil"/>
            </w:tcBorders>
            <w:shd w:val="clear" w:color="auto" w:fill="auto"/>
            <w:noWrap/>
            <w:vAlign w:val="bottom"/>
            <w:hideMark/>
          </w:tcPr>
          <w:p w14:paraId="60CF19C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-14.3</w:t>
            </w:r>
          </w:p>
        </w:tc>
      </w:tr>
      <w:tr w:rsidR="00634ABA" w:rsidRPr="00986F85" w14:paraId="610F9EB4" w14:textId="77777777" w:rsidTr="00476987">
        <w:trPr>
          <w:trHeight w:val="285"/>
        </w:trPr>
        <w:tc>
          <w:tcPr>
            <w:tcW w:w="406" w:type="dxa"/>
            <w:vMerge/>
            <w:tcBorders>
              <w:top w:val="nil"/>
              <w:left w:val="nil"/>
              <w:bottom w:val="nil"/>
              <w:right w:val="nil"/>
            </w:tcBorders>
            <w:vAlign w:val="center"/>
            <w:hideMark/>
          </w:tcPr>
          <w:p w14:paraId="7725C745" w14:textId="77777777" w:rsidR="00634ABA" w:rsidRPr="00986F85" w:rsidRDefault="00634ABA" w:rsidP="00476987">
            <w:pPr>
              <w:spacing w:after="0" w:line="240" w:lineRule="auto"/>
              <w:rPr>
                <w:rFonts w:eastAsia="Times New Roman"/>
                <w:color w:val="000000"/>
                <w:lang w:eastAsia="hu-HU"/>
              </w:rPr>
            </w:pPr>
          </w:p>
        </w:tc>
        <w:tc>
          <w:tcPr>
            <w:tcW w:w="2571" w:type="dxa"/>
            <w:tcBorders>
              <w:top w:val="nil"/>
              <w:left w:val="nil"/>
              <w:bottom w:val="nil"/>
              <w:right w:val="nil"/>
            </w:tcBorders>
            <w:shd w:val="clear" w:color="auto" w:fill="auto"/>
            <w:noWrap/>
            <w:vAlign w:val="bottom"/>
            <w:hideMark/>
          </w:tcPr>
          <w:p w14:paraId="7F5AA14B"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Egy foglalkoztatottra eső árbevétel (%)</w:t>
            </w:r>
          </w:p>
        </w:tc>
        <w:tc>
          <w:tcPr>
            <w:tcW w:w="819" w:type="dxa"/>
            <w:tcBorders>
              <w:top w:val="nil"/>
              <w:left w:val="nil"/>
              <w:bottom w:val="nil"/>
              <w:right w:val="nil"/>
            </w:tcBorders>
            <w:shd w:val="clear" w:color="auto" w:fill="auto"/>
            <w:noWrap/>
            <w:vAlign w:val="bottom"/>
            <w:hideMark/>
          </w:tcPr>
          <w:p w14:paraId="52EAA49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5.1</w:t>
            </w:r>
          </w:p>
        </w:tc>
        <w:tc>
          <w:tcPr>
            <w:tcW w:w="819" w:type="dxa"/>
            <w:tcBorders>
              <w:top w:val="nil"/>
              <w:left w:val="nil"/>
              <w:bottom w:val="nil"/>
              <w:right w:val="nil"/>
            </w:tcBorders>
            <w:shd w:val="clear" w:color="auto" w:fill="auto"/>
            <w:noWrap/>
            <w:vAlign w:val="bottom"/>
            <w:hideMark/>
          </w:tcPr>
          <w:p w14:paraId="0EB8454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9.9</w:t>
            </w:r>
          </w:p>
        </w:tc>
        <w:tc>
          <w:tcPr>
            <w:tcW w:w="819" w:type="dxa"/>
            <w:tcBorders>
              <w:top w:val="nil"/>
              <w:left w:val="nil"/>
              <w:bottom w:val="nil"/>
              <w:right w:val="nil"/>
            </w:tcBorders>
            <w:shd w:val="clear" w:color="auto" w:fill="auto"/>
            <w:noWrap/>
            <w:vAlign w:val="bottom"/>
            <w:hideMark/>
          </w:tcPr>
          <w:p w14:paraId="4E46EFF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13.8</w:t>
            </w:r>
          </w:p>
        </w:tc>
        <w:tc>
          <w:tcPr>
            <w:tcW w:w="819" w:type="dxa"/>
            <w:tcBorders>
              <w:top w:val="nil"/>
              <w:left w:val="nil"/>
              <w:bottom w:val="nil"/>
              <w:right w:val="nil"/>
            </w:tcBorders>
            <w:shd w:val="clear" w:color="auto" w:fill="auto"/>
            <w:noWrap/>
            <w:vAlign w:val="bottom"/>
            <w:hideMark/>
          </w:tcPr>
          <w:p w14:paraId="1270A68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11</w:t>
            </w:r>
          </w:p>
        </w:tc>
        <w:tc>
          <w:tcPr>
            <w:tcW w:w="819" w:type="dxa"/>
            <w:tcBorders>
              <w:top w:val="nil"/>
              <w:left w:val="nil"/>
              <w:bottom w:val="nil"/>
              <w:right w:val="nil"/>
            </w:tcBorders>
            <w:shd w:val="clear" w:color="auto" w:fill="auto"/>
            <w:noWrap/>
            <w:vAlign w:val="bottom"/>
            <w:hideMark/>
          </w:tcPr>
          <w:p w14:paraId="06B1740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12.2</w:t>
            </w:r>
          </w:p>
        </w:tc>
        <w:tc>
          <w:tcPr>
            <w:tcW w:w="929" w:type="dxa"/>
            <w:tcBorders>
              <w:top w:val="nil"/>
              <w:left w:val="nil"/>
              <w:bottom w:val="nil"/>
              <w:right w:val="nil"/>
            </w:tcBorders>
            <w:shd w:val="clear" w:color="auto" w:fill="auto"/>
            <w:noWrap/>
            <w:vAlign w:val="bottom"/>
            <w:hideMark/>
          </w:tcPr>
          <w:p w14:paraId="60BD8C2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10.4</w:t>
            </w:r>
          </w:p>
        </w:tc>
        <w:tc>
          <w:tcPr>
            <w:tcW w:w="819" w:type="dxa"/>
            <w:tcBorders>
              <w:top w:val="nil"/>
              <w:left w:val="nil"/>
              <w:bottom w:val="nil"/>
              <w:right w:val="nil"/>
            </w:tcBorders>
            <w:shd w:val="clear" w:color="auto" w:fill="auto"/>
            <w:noWrap/>
            <w:vAlign w:val="bottom"/>
            <w:hideMark/>
          </w:tcPr>
          <w:p w14:paraId="62B6C34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11.5</w:t>
            </w:r>
          </w:p>
        </w:tc>
        <w:tc>
          <w:tcPr>
            <w:tcW w:w="819" w:type="dxa"/>
            <w:tcBorders>
              <w:top w:val="nil"/>
              <w:left w:val="nil"/>
              <w:bottom w:val="nil"/>
              <w:right w:val="nil"/>
            </w:tcBorders>
            <w:shd w:val="clear" w:color="auto" w:fill="auto"/>
            <w:noWrap/>
            <w:vAlign w:val="bottom"/>
            <w:hideMark/>
          </w:tcPr>
          <w:p w14:paraId="186E787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8.5</w:t>
            </w:r>
          </w:p>
        </w:tc>
      </w:tr>
      <w:tr w:rsidR="00634ABA" w:rsidRPr="00986F85" w14:paraId="3167CF0D" w14:textId="77777777" w:rsidTr="00476987">
        <w:trPr>
          <w:trHeight w:val="285"/>
        </w:trPr>
        <w:tc>
          <w:tcPr>
            <w:tcW w:w="406" w:type="dxa"/>
            <w:vMerge/>
            <w:tcBorders>
              <w:top w:val="nil"/>
              <w:left w:val="nil"/>
              <w:bottom w:val="nil"/>
              <w:right w:val="nil"/>
            </w:tcBorders>
            <w:vAlign w:val="center"/>
            <w:hideMark/>
          </w:tcPr>
          <w:p w14:paraId="2F4851CF" w14:textId="77777777" w:rsidR="00634ABA" w:rsidRPr="00986F85" w:rsidRDefault="00634ABA" w:rsidP="00476987">
            <w:pPr>
              <w:spacing w:after="0" w:line="240" w:lineRule="auto"/>
              <w:rPr>
                <w:rFonts w:eastAsia="Times New Roman"/>
                <w:color w:val="000000"/>
                <w:lang w:eastAsia="hu-HU"/>
              </w:rPr>
            </w:pPr>
          </w:p>
        </w:tc>
        <w:tc>
          <w:tcPr>
            <w:tcW w:w="2571" w:type="dxa"/>
            <w:tcBorders>
              <w:top w:val="nil"/>
              <w:left w:val="nil"/>
              <w:bottom w:val="nil"/>
              <w:right w:val="nil"/>
            </w:tcBorders>
            <w:shd w:val="clear" w:color="auto" w:fill="auto"/>
            <w:noWrap/>
            <w:vAlign w:val="bottom"/>
            <w:hideMark/>
          </w:tcPr>
          <w:p w14:paraId="047733B1"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Tárgyi eszköz (%)</w:t>
            </w:r>
          </w:p>
        </w:tc>
        <w:tc>
          <w:tcPr>
            <w:tcW w:w="819" w:type="dxa"/>
            <w:tcBorders>
              <w:top w:val="nil"/>
              <w:left w:val="nil"/>
              <w:bottom w:val="nil"/>
              <w:right w:val="nil"/>
            </w:tcBorders>
            <w:shd w:val="clear" w:color="auto" w:fill="auto"/>
            <w:noWrap/>
            <w:vAlign w:val="bottom"/>
            <w:hideMark/>
          </w:tcPr>
          <w:p w14:paraId="6C06B75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-18.1</w:t>
            </w:r>
          </w:p>
        </w:tc>
        <w:tc>
          <w:tcPr>
            <w:tcW w:w="819" w:type="dxa"/>
            <w:tcBorders>
              <w:top w:val="nil"/>
              <w:left w:val="nil"/>
              <w:bottom w:val="nil"/>
              <w:right w:val="nil"/>
            </w:tcBorders>
            <w:shd w:val="clear" w:color="auto" w:fill="auto"/>
            <w:noWrap/>
            <w:vAlign w:val="bottom"/>
            <w:hideMark/>
          </w:tcPr>
          <w:p w14:paraId="58B4344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-11.3</w:t>
            </w:r>
          </w:p>
        </w:tc>
        <w:tc>
          <w:tcPr>
            <w:tcW w:w="819" w:type="dxa"/>
            <w:tcBorders>
              <w:top w:val="nil"/>
              <w:left w:val="nil"/>
              <w:bottom w:val="nil"/>
              <w:right w:val="nil"/>
            </w:tcBorders>
            <w:shd w:val="clear" w:color="auto" w:fill="auto"/>
            <w:noWrap/>
            <w:vAlign w:val="bottom"/>
            <w:hideMark/>
          </w:tcPr>
          <w:p w14:paraId="1445B5E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-9.7</w:t>
            </w:r>
          </w:p>
        </w:tc>
        <w:tc>
          <w:tcPr>
            <w:tcW w:w="819" w:type="dxa"/>
            <w:tcBorders>
              <w:top w:val="nil"/>
              <w:left w:val="nil"/>
              <w:bottom w:val="nil"/>
              <w:right w:val="nil"/>
            </w:tcBorders>
            <w:shd w:val="clear" w:color="auto" w:fill="auto"/>
            <w:noWrap/>
            <w:vAlign w:val="bottom"/>
            <w:hideMark/>
          </w:tcPr>
          <w:p w14:paraId="515FFDF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-10.4</w:t>
            </w:r>
          </w:p>
        </w:tc>
        <w:tc>
          <w:tcPr>
            <w:tcW w:w="819" w:type="dxa"/>
            <w:tcBorders>
              <w:top w:val="nil"/>
              <w:left w:val="nil"/>
              <w:bottom w:val="nil"/>
              <w:right w:val="nil"/>
            </w:tcBorders>
            <w:shd w:val="clear" w:color="auto" w:fill="auto"/>
            <w:noWrap/>
            <w:vAlign w:val="bottom"/>
            <w:hideMark/>
          </w:tcPr>
          <w:p w14:paraId="6A9DC1A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-9.5</w:t>
            </w:r>
          </w:p>
        </w:tc>
        <w:tc>
          <w:tcPr>
            <w:tcW w:w="929" w:type="dxa"/>
            <w:tcBorders>
              <w:top w:val="nil"/>
              <w:left w:val="nil"/>
              <w:bottom w:val="nil"/>
              <w:right w:val="nil"/>
            </w:tcBorders>
            <w:shd w:val="clear" w:color="auto" w:fill="auto"/>
            <w:noWrap/>
            <w:vAlign w:val="bottom"/>
            <w:hideMark/>
          </w:tcPr>
          <w:p w14:paraId="411BA30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-11.2</w:t>
            </w:r>
          </w:p>
        </w:tc>
        <w:tc>
          <w:tcPr>
            <w:tcW w:w="819" w:type="dxa"/>
            <w:tcBorders>
              <w:top w:val="nil"/>
              <w:left w:val="nil"/>
              <w:bottom w:val="nil"/>
              <w:right w:val="nil"/>
            </w:tcBorders>
            <w:shd w:val="clear" w:color="auto" w:fill="auto"/>
            <w:noWrap/>
            <w:vAlign w:val="bottom"/>
            <w:hideMark/>
          </w:tcPr>
          <w:p w14:paraId="5C49F83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-10</w:t>
            </w:r>
          </w:p>
        </w:tc>
        <w:tc>
          <w:tcPr>
            <w:tcW w:w="819" w:type="dxa"/>
            <w:tcBorders>
              <w:top w:val="nil"/>
              <w:left w:val="nil"/>
              <w:bottom w:val="nil"/>
              <w:right w:val="nil"/>
            </w:tcBorders>
            <w:shd w:val="clear" w:color="auto" w:fill="auto"/>
            <w:noWrap/>
            <w:vAlign w:val="bottom"/>
            <w:hideMark/>
          </w:tcPr>
          <w:p w14:paraId="1CC44A6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-13.4</w:t>
            </w:r>
          </w:p>
        </w:tc>
      </w:tr>
      <w:tr w:rsidR="00634ABA" w:rsidRPr="00986F85" w14:paraId="1CB1BCE5" w14:textId="77777777" w:rsidTr="00476987">
        <w:trPr>
          <w:trHeight w:val="285"/>
        </w:trPr>
        <w:tc>
          <w:tcPr>
            <w:tcW w:w="406" w:type="dxa"/>
            <w:vMerge/>
            <w:tcBorders>
              <w:top w:val="nil"/>
              <w:left w:val="nil"/>
              <w:bottom w:val="nil"/>
              <w:right w:val="nil"/>
            </w:tcBorders>
            <w:vAlign w:val="center"/>
            <w:hideMark/>
          </w:tcPr>
          <w:p w14:paraId="767EF9F0" w14:textId="77777777" w:rsidR="00634ABA" w:rsidRPr="00986F85" w:rsidRDefault="00634ABA" w:rsidP="00476987">
            <w:pPr>
              <w:spacing w:after="0" w:line="240" w:lineRule="auto"/>
              <w:rPr>
                <w:rFonts w:eastAsia="Times New Roman"/>
                <w:color w:val="000000"/>
                <w:lang w:eastAsia="hu-HU"/>
              </w:rPr>
            </w:pPr>
          </w:p>
        </w:tc>
        <w:tc>
          <w:tcPr>
            <w:tcW w:w="2571" w:type="dxa"/>
            <w:tcBorders>
              <w:top w:val="nil"/>
              <w:left w:val="nil"/>
              <w:bottom w:val="nil"/>
              <w:right w:val="nil"/>
            </w:tcBorders>
            <w:shd w:val="clear" w:color="auto" w:fill="auto"/>
            <w:noWrap/>
            <w:vAlign w:val="bottom"/>
            <w:hideMark/>
          </w:tcPr>
          <w:p w14:paraId="004772B0"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Tőkeintenzitás (%)</w:t>
            </w:r>
          </w:p>
        </w:tc>
        <w:tc>
          <w:tcPr>
            <w:tcW w:w="819" w:type="dxa"/>
            <w:tcBorders>
              <w:top w:val="nil"/>
              <w:left w:val="nil"/>
              <w:bottom w:val="nil"/>
              <w:right w:val="nil"/>
            </w:tcBorders>
            <w:shd w:val="clear" w:color="auto" w:fill="auto"/>
            <w:noWrap/>
            <w:vAlign w:val="bottom"/>
            <w:hideMark/>
          </w:tcPr>
          <w:p w14:paraId="50077F3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3.5</w:t>
            </w:r>
          </w:p>
        </w:tc>
        <w:tc>
          <w:tcPr>
            <w:tcW w:w="819" w:type="dxa"/>
            <w:tcBorders>
              <w:top w:val="nil"/>
              <w:left w:val="nil"/>
              <w:bottom w:val="nil"/>
              <w:right w:val="nil"/>
            </w:tcBorders>
            <w:shd w:val="clear" w:color="auto" w:fill="auto"/>
            <w:noWrap/>
            <w:vAlign w:val="bottom"/>
            <w:hideMark/>
          </w:tcPr>
          <w:p w14:paraId="4AA81A1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17.9</w:t>
            </w:r>
          </w:p>
        </w:tc>
        <w:tc>
          <w:tcPr>
            <w:tcW w:w="819" w:type="dxa"/>
            <w:tcBorders>
              <w:top w:val="nil"/>
              <w:left w:val="nil"/>
              <w:bottom w:val="nil"/>
              <w:right w:val="nil"/>
            </w:tcBorders>
            <w:shd w:val="clear" w:color="auto" w:fill="auto"/>
            <w:noWrap/>
            <w:vAlign w:val="bottom"/>
            <w:hideMark/>
          </w:tcPr>
          <w:p w14:paraId="2DFD42D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16</w:t>
            </w:r>
          </w:p>
        </w:tc>
        <w:tc>
          <w:tcPr>
            <w:tcW w:w="819" w:type="dxa"/>
            <w:tcBorders>
              <w:top w:val="nil"/>
              <w:left w:val="nil"/>
              <w:bottom w:val="nil"/>
              <w:right w:val="nil"/>
            </w:tcBorders>
            <w:shd w:val="clear" w:color="auto" w:fill="auto"/>
            <w:noWrap/>
            <w:vAlign w:val="bottom"/>
            <w:hideMark/>
          </w:tcPr>
          <w:p w14:paraId="67FAEAB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16.7</w:t>
            </w:r>
          </w:p>
        </w:tc>
        <w:tc>
          <w:tcPr>
            <w:tcW w:w="819" w:type="dxa"/>
            <w:tcBorders>
              <w:top w:val="nil"/>
              <w:left w:val="nil"/>
              <w:bottom w:val="nil"/>
              <w:right w:val="nil"/>
            </w:tcBorders>
            <w:shd w:val="clear" w:color="auto" w:fill="auto"/>
            <w:noWrap/>
            <w:vAlign w:val="bottom"/>
            <w:hideMark/>
          </w:tcPr>
          <w:p w14:paraId="200AF41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20.8</w:t>
            </w:r>
          </w:p>
        </w:tc>
        <w:tc>
          <w:tcPr>
            <w:tcW w:w="929" w:type="dxa"/>
            <w:tcBorders>
              <w:top w:val="nil"/>
              <w:left w:val="nil"/>
              <w:bottom w:val="nil"/>
              <w:right w:val="nil"/>
            </w:tcBorders>
            <w:shd w:val="clear" w:color="auto" w:fill="auto"/>
            <w:noWrap/>
            <w:vAlign w:val="bottom"/>
            <w:hideMark/>
          </w:tcPr>
          <w:p w14:paraId="5F4354D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16.7</w:t>
            </w:r>
          </w:p>
        </w:tc>
        <w:tc>
          <w:tcPr>
            <w:tcW w:w="819" w:type="dxa"/>
            <w:tcBorders>
              <w:top w:val="nil"/>
              <w:left w:val="nil"/>
              <w:bottom w:val="nil"/>
              <w:right w:val="nil"/>
            </w:tcBorders>
            <w:shd w:val="clear" w:color="auto" w:fill="auto"/>
            <w:noWrap/>
            <w:vAlign w:val="bottom"/>
            <w:hideMark/>
          </w:tcPr>
          <w:p w14:paraId="3519F22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15.7</w:t>
            </w:r>
          </w:p>
        </w:tc>
        <w:tc>
          <w:tcPr>
            <w:tcW w:w="819" w:type="dxa"/>
            <w:tcBorders>
              <w:top w:val="nil"/>
              <w:left w:val="nil"/>
              <w:bottom w:val="nil"/>
              <w:right w:val="nil"/>
            </w:tcBorders>
            <w:shd w:val="clear" w:color="auto" w:fill="auto"/>
            <w:noWrap/>
            <w:vAlign w:val="bottom"/>
            <w:hideMark/>
          </w:tcPr>
          <w:p w14:paraId="3F6B914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11</w:t>
            </w:r>
          </w:p>
        </w:tc>
      </w:tr>
      <w:tr w:rsidR="00634ABA" w:rsidRPr="00986F85" w14:paraId="70F457F6" w14:textId="77777777" w:rsidTr="00476987">
        <w:trPr>
          <w:trHeight w:val="285"/>
        </w:trPr>
        <w:tc>
          <w:tcPr>
            <w:tcW w:w="406" w:type="dxa"/>
            <w:vMerge/>
            <w:tcBorders>
              <w:top w:val="nil"/>
              <w:left w:val="nil"/>
              <w:bottom w:val="nil"/>
              <w:right w:val="nil"/>
            </w:tcBorders>
            <w:vAlign w:val="center"/>
            <w:hideMark/>
          </w:tcPr>
          <w:p w14:paraId="69A85E14" w14:textId="77777777" w:rsidR="00634ABA" w:rsidRPr="00986F85" w:rsidRDefault="00634ABA" w:rsidP="00476987">
            <w:pPr>
              <w:spacing w:after="0" w:line="240" w:lineRule="auto"/>
              <w:rPr>
                <w:rFonts w:eastAsia="Times New Roman"/>
                <w:color w:val="000000"/>
                <w:lang w:eastAsia="hu-HU"/>
              </w:rPr>
            </w:pPr>
          </w:p>
        </w:tc>
        <w:tc>
          <w:tcPr>
            <w:tcW w:w="2571" w:type="dxa"/>
            <w:tcBorders>
              <w:top w:val="nil"/>
              <w:left w:val="nil"/>
              <w:bottom w:val="nil"/>
              <w:right w:val="nil"/>
            </w:tcBorders>
            <w:shd w:val="clear" w:color="auto" w:fill="auto"/>
            <w:noWrap/>
            <w:vAlign w:val="bottom"/>
            <w:hideMark/>
          </w:tcPr>
          <w:p w14:paraId="7B2E0AA4"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Jegyzett tőke</w:t>
            </w:r>
          </w:p>
        </w:tc>
        <w:tc>
          <w:tcPr>
            <w:tcW w:w="819" w:type="dxa"/>
            <w:tcBorders>
              <w:top w:val="nil"/>
              <w:left w:val="nil"/>
              <w:bottom w:val="nil"/>
              <w:right w:val="nil"/>
            </w:tcBorders>
            <w:shd w:val="clear" w:color="auto" w:fill="auto"/>
            <w:noWrap/>
            <w:vAlign w:val="bottom"/>
            <w:hideMark/>
          </w:tcPr>
          <w:p w14:paraId="305B2C9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19" w:type="dxa"/>
            <w:tcBorders>
              <w:top w:val="nil"/>
              <w:left w:val="nil"/>
              <w:bottom w:val="nil"/>
              <w:right w:val="nil"/>
            </w:tcBorders>
            <w:shd w:val="clear" w:color="auto" w:fill="auto"/>
            <w:noWrap/>
            <w:vAlign w:val="bottom"/>
            <w:hideMark/>
          </w:tcPr>
          <w:p w14:paraId="34C97B3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19" w:type="dxa"/>
            <w:tcBorders>
              <w:top w:val="nil"/>
              <w:left w:val="nil"/>
              <w:bottom w:val="nil"/>
              <w:right w:val="nil"/>
            </w:tcBorders>
            <w:shd w:val="clear" w:color="auto" w:fill="auto"/>
            <w:noWrap/>
            <w:vAlign w:val="bottom"/>
            <w:hideMark/>
          </w:tcPr>
          <w:p w14:paraId="30898E5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19" w:type="dxa"/>
            <w:tcBorders>
              <w:top w:val="nil"/>
              <w:left w:val="nil"/>
              <w:bottom w:val="nil"/>
              <w:right w:val="nil"/>
            </w:tcBorders>
            <w:shd w:val="clear" w:color="auto" w:fill="auto"/>
            <w:noWrap/>
            <w:vAlign w:val="bottom"/>
            <w:hideMark/>
          </w:tcPr>
          <w:p w14:paraId="2826FF9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19" w:type="dxa"/>
            <w:tcBorders>
              <w:top w:val="nil"/>
              <w:left w:val="nil"/>
              <w:bottom w:val="nil"/>
              <w:right w:val="nil"/>
            </w:tcBorders>
            <w:shd w:val="clear" w:color="auto" w:fill="auto"/>
            <w:noWrap/>
            <w:vAlign w:val="bottom"/>
            <w:hideMark/>
          </w:tcPr>
          <w:p w14:paraId="7B27349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929" w:type="dxa"/>
            <w:tcBorders>
              <w:top w:val="nil"/>
              <w:left w:val="nil"/>
              <w:bottom w:val="nil"/>
              <w:right w:val="nil"/>
            </w:tcBorders>
            <w:shd w:val="clear" w:color="auto" w:fill="auto"/>
            <w:noWrap/>
            <w:vAlign w:val="bottom"/>
            <w:hideMark/>
          </w:tcPr>
          <w:p w14:paraId="2A1979A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19" w:type="dxa"/>
            <w:tcBorders>
              <w:top w:val="nil"/>
              <w:left w:val="nil"/>
              <w:bottom w:val="nil"/>
              <w:right w:val="nil"/>
            </w:tcBorders>
            <w:shd w:val="clear" w:color="auto" w:fill="auto"/>
            <w:noWrap/>
            <w:vAlign w:val="bottom"/>
            <w:hideMark/>
          </w:tcPr>
          <w:p w14:paraId="2E5D75D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19" w:type="dxa"/>
            <w:tcBorders>
              <w:top w:val="nil"/>
              <w:left w:val="nil"/>
              <w:bottom w:val="nil"/>
              <w:right w:val="nil"/>
            </w:tcBorders>
            <w:shd w:val="clear" w:color="auto" w:fill="auto"/>
            <w:noWrap/>
            <w:vAlign w:val="bottom"/>
            <w:hideMark/>
          </w:tcPr>
          <w:p w14:paraId="527F192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r>
      <w:tr w:rsidR="00634ABA" w:rsidRPr="00986F85" w14:paraId="302FC657" w14:textId="77777777" w:rsidTr="00476987">
        <w:trPr>
          <w:trHeight w:val="285"/>
        </w:trPr>
        <w:tc>
          <w:tcPr>
            <w:tcW w:w="406" w:type="dxa"/>
            <w:vMerge/>
            <w:tcBorders>
              <w:top w:val="nil"/>
              <w:left w:val="nil"/>
              <w:bottom w:val="nil"/>
              <w:right w:val="nil"/>
            </w:tcBorders>
            <w:vAlign w:val="center"/>
            <w:hideMark/>
          </w:tcPr>
          <w:p w14:paraId="68DF690F" w14:textId="77777777" w:rsidR="00634ABA" w:rsidRPr="00986F85" w:rsidRDefault="00634ABA" w:rsidP="00476987">
            <w:pPr>
              <w:spacing w:after="0" w:line="240" w:lineRule="auto"/>
              <w:rPr>
                <w:rFonts w:eastAsia="Times New Roman"/>
                <w:color w:val="000000"/>
                <w:lang w:eastAsia="hu-HU"/>
              </w:rPr>
            </w:pPr>
          </w:p>
        </w:tc>
        <w:tc>
          <w:tcPr>
            <w:tcW w:w="2571" w:type="dxa"/>
            <w:tcBorders>
              <w:top w:val="nil"/>
              <w:left w:val="nil"/>
              <w:bottom w:val="nil"/>
              <w:right w:val="nil"/>
            </w:tcBorders>
            <w:shd w:val="clear" w:color="auto" w:fill="auto"/>
            <w:noWrap/>
            <w:vAlign w:val="bottom"/>
            <w:hideMark/>
          </w:tcPr>
          <w:p w14:paraId="5DCE457B"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Egy foglalkoztatottra eső jegyzett tőke (%)</w:t>
            </w:r>
          </w:p>
        </w:tc>
        <w:tc>
          <w:tcPr>
            <w:tcW w:w="819" w:type="dxa"/>
            <w:tcBorders>
              <w:top w:val="nil"/>
              <w:left w:val="nil"/>
              <w:bottom w:val="nil"/>
              <w:right w:val="nil"/>
            </w:tcBorders>
            <w:shd w:val="clear" w:color="auto" w:fill="auto"/>
            <w:noWrap/>
            <w:vAlign w:val="bottom"/>
            <w:hideMark/>
          </w:tcPr>
          <w:p w14:paraId="4D4C622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25</w:t>
            </w:r>
          </w:p>
        </w:tc>
        <w:tc>
          <w:tcPr>
            <w:tcW w:w="819" w:type="dxa"/>
            <w:tcBorders>
              <w:top w:val="nil"/>
              <w:left w:val="nil"/>
              <w:bottom w:val="nil"/>
              <w:right w:val="nil"/>
            </w:tcBorders>
            <w:shd w:val="clear" w:color="auto" w:fill="auto"/>
            <w:noWrap/>
            <w:vAlign w:val="bottom"/>
            <w:hideMark/>
          </w:tcPr>
          <w:p w14:paraId="065DCC7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26.2</w:t>
            </w:r>
          </w:p>
        </w:tc>
        <w:tc>
          <w:tcPr>
            <w:tcW w:w="819" w:type="dxa"/>
            <w:tcBorders>
              <w:top w:val="nil"/>
              <w:left w:val="nil"/>
              <w:bottom w:val="nil"/>
              <w:right w:val="nil"/>
            </w:tcBorders>
            <w:shd w:val="clear" w:color="auto" w:fill="auto"/>
            <w:noWrap/>
            <w:vAlign w:val="bottom"/>
            <w:hideMark/>
          </w:tcPr>
          <w:p w14:paraId="577A568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17.5</w:t>
            </w:r>
          </w:p>
        </w:tc>
        <w:tc>
          <w:tcPr>
            <w:tcW w:w="819" w:type="dxa"/>
            <w:tcBorders>
              <w:top w:val="nil"/>
              <w:left w:val="nil"/>
              <w:bottom w:val="nil"/>
              <w:right w:val="nil"/>
            </w:tcBorders>
            <w:shd w:val="clear" w:color="auto" w:fill="auto"/>
            <w:noWrap/>
            <w:vAlign w:val="bottom"/>
            <w:hideMark/>
          </w:tcPr>
          <w:p w14:paraId="0B55B28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26.3</w:t>
            </w:r>
          </w:p>
        </w:tc>
        <w:tc>
          <w:tcPr>
            <w:tcW w:w="819" w:type="dxa"/>
            <w:tcBorders>
              <w:top w:val="nil"/>
              <w:left w:val="nil"/>
              <w:bottom w:val="nil"/>
              <w:right w:val="nil"/>
            </w:tcBorders>
            <w:shd w:val="clear" w:color="auto" w:fill="auto"/>
            <w:noWrap/>
            <w:vAlign w:val="bottom"/>
            <w:hideMark/>
          </w:tcPr>
          <w:p w14:paraId="71AF0E8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33.3</w:t>
            </w:r>
          </w:p>
        </w:tc>
        <w:tc>
          <w:tcPr>
            <w:tcW w:w="929" w:type="dxa"/>
            <w:tcBorders>
              <w:top w:val="nil"/>
              <w:left w:val="nil"/>
              <w:bottom w:val="nil"/>
              <w:right w:val="nil"/>
            </w:tcBorders>
            <w:shd w:val="clear" w:color="auto" w:fill="auto"/>
            <w:noWrap/>
            <w:vAlign w:val="bottom"/>
            <w:hideMark/>
          </w:tcPr>
          <w:p w14:paraId="63CD4C4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21.4</w:t>
            </w:r>
          </w:p>
        </w:tc>
        <w:tc>
          <w:tcPr>
            <w:tcW w:w="819" w:type="dxa"/>
            <w:tcBorders>
              <w:top w:val="nil"/>
              <w:left w:val="nil"/>
              <w:bottom w:val="nil"/>
              <w:right w:val="nil"/>
            </w:tcBorders>
            <w:shd w:val="clear" w:color="auto" w:fill="auto"/>
            <w:noWrap/>
            <w:vAlign w:val="bottom"/>
            <w:hideMark/>
          </w:tcPr>
          <w:p w14:paraId="55F4F82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20</w:t>
            </w:r>
          </w:p>
        </w:tc>
        <w:tc>
          <w:tcPr>
            <w:tcW w:w="819" w:type="dxa"/>
            <w:tcBorders>
              <w:top w:val="nil"/>
              <w:left w:val="nil"/>
              <w:bottom w:val="nil"/>
              <w:right w:val="nil"/>
            </w:tcBorders>
            <w:shd w:val="clear" w:color="auto" w:fill="auto"/>
            <w:noWrap/>
            <w:vAlign w:val="bottom"/>
            <w:hideMark/>
          </w:tcPr>
          <w:p w14:paraId="31E16D6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24.1</w:t>
            </w:r>
          </w:p>
        </w:tc>
      </w:tr>
      <w:tr w:rsidR="00634ABA" w:rsidRPr="00986F85" w14:paraId="49A6A08C" w14:textId="77777777" w:rsidTr="00476987">
        <w:trPr>
          <w:trHeight w:val="285"/>
        </w:trPr>
        <w:tc>
          <w:tcPr>
            <w:tcW w:w="406" w:type="dxa"/>
            <w:vMerge/>
            <w:tcBorders>
              <w:top w:val="nil"/>
              <w:left w:val="nil"/>
              <w:bottom w:val="nil"/>
              <w:right w:val="nil"/>
            </w:tcBorders>
            <w:vAlign w:val="center"/>
            <w:hideMark/>
          </w:tcPr>
          <w:p w14:paraId="33D8C5FB" w14:textId="77777777" w:rsidR="00634ABA" w:rsidRPr="00986F85" w:rsidRDefault="00634ABA" w:rsidP="00476987">
            <w:pPr>
              <w:spacing w:after="0" w:line="240" w:lineRule="auto"/>
              <w:rPr>
                <w:rFonts w:eastAsia="Times New Roman"/>
                <w:color w:val="000000"/>
                <w:lang w:eastAsia="hu-HU"/>
              </w:rPr>
            </w:pPr>
          </w:p>
        </w:tc>
        <w:tc>
          <w:tcPr>
            <w:tcW w:w="2571" w:type="dxa"/>
            <w:tcBorders>
              <w:top w:val="nil"/>
              <w:left w:val="nil"/>
              <w:bottom w:val="nil"/>
              <w:right w:val="nil"/>
            </w:tcBorders>
            <w:shd w:val="clear" w:color="auto" w:fill="auto"/>
            <w:noWrap/>
            <w:vAlign w:val="bottom"/>
            <w:hideMark/>
          </w:tcPr>
          <w:p w14:paraId="1E3007E0"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Likviditás</w:t>
            </w:r>
          </w:p>
        </w:tc>
        <w:tc>
          <w:tcPr>
            <w:tcW w:w="819" w:type="dxa"/>
            <w:tcBorders>
              <w:top w:val="nil"/>
              <w:left w:val="nil"/>
              <w:bottom w:val="nil"/>
              <w:right w:val="nil"/>
            </w:tcBorders>
            <w:shd w:val="clear" w:color="auto" w:fill="auto"/>
            <w:noWrap/>
            <w:vAlign w:val="bottom"/>
            <w:hideMark/>
          </w:tcPr>
          <w:p w14:paraId="33AAE01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6.4</w:t>
            </w:r>
          </w:p>
        </w:tc>
        <w:tc>
          <w:tcPr>
            <w:tcW w:w="819" w:type="dxa"/>
            <w:tcBorders>
              <w:top w:val="nil"/>
              <w:left w:val="nil"/>
              <w:bottom w:val="nil"/>
              <w:right w:val="nil"/>
            </w:tcBorders>
            <w:shd w:val="clear" w:color="auto" w:fill="auto"/>
            <w:noWrap/>
            <w:vAlign w:val="bottom"/>
            <w:hideMark/>
          </w:tcPr>
          <w:p w14:paraId="3D6473C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10.5</w:t>
            </w:r>
          </w:p>
        </w:tc>
        <w:tc>
          <w:tcPr>
            <w:tcW w:w="819" w:type="dxa"/>
            <w:tcBorders>
              <w:top w:val="nil"/>
              <w:left w:val="nil"/>
              <w:bottom w:val="nil"/>
              <w:right w:val="nil"/>
            </w:tcBorders>
            <w:shd w:val="clear" w:color="auto" w:fill="auto"/>
            <w:noWrap/>
            <w:vAlign w:val="bottom"/>
            <w:hideMark/>
          </w:tcPr>
          <w:p w14:paraId="51BB735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8</w:t>
            </w:r>
          </w:p>
        </w:tc>
        <w:tc>
          <w:tcPr>
            <w:tcW w:w="819" w:type="dxa"/>
            <w:tcBorders>
              <w:top w:val="nil"/>
              <w:left w:val="nil"/>
              <w:bottom w:val="nil"/>
              <w:right w:val="nil"/>
            </w:tcBorders>
            <w:shd w:val="clear" w:color="auto" w:fill="auto"/>
            <w:noWrap/>
            <w:vAlign w:val="bottom"/>
            <w:hideMark/>
          </w:tcPr>
          <w:p w14:paraId="1F4396D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9.5</w:t>
            </w:r>
          </w:p>
        </w:tc>
        <w:tc>
          <w:tcPr>
            <w:tcW w:w="819" w:type="dxa"/>
            <w:tcBorders>
              <w:top w:val="nil"/>
              <w:left w:val="nil"/>
              <w:bottom w:val="nil"/>
              <w:right w:val="nil"/>
            </w:tcBorders>
            <w:shd w:val="clear" w:color="auto" w:fill="auto"/>
            <w:noWrap/>
            <w:vAlign w:val="bottom"/>
            <w:hideMark/>
          </w:tcPr>
          <w:p w14:paraId="7EFF44B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12.8</w:t>
            </w:r>
          </w:p>
        </w:tc>
        <w:tc>
          <w:tcPr>
            <w:tcW w:w="929" w:type="dxa"/>
            <w:tcBorders>
              <w:top w:val="nil"/>
              <w:left w:val="nil"/>
              <w:bottom w:val="nil"/>
              <w:right w:val="nil"/>
            </w:tcBorders>
            <w:shd w:val="clear" w:color="auto" w:fill="auto"/>
            <w:noWrap/>
            <w:vAlign w:val="bottom"/>
            <w:hideMark/>
          </w:tcPr>
          <w:p w14:paraId="21FD308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12.9</w:t>
            </w:r>
          </w:p>
        </w:tc>
        <w:tc>
          <w:tcPr>
            <w:tcW w:w="819" w:type="dxa"/>
            <w:tcBorders>
              <w:top w:val="nil"/>
              <w:left w:val="nil"/>
              <w:bottom w:val="nil"/>
              <w:right w:val="nil"/>
            </w:tcBorders>
            <w:shd w:val="clear" w:color="auto" w:fill="auto"/>
            <w:noWrap/>
            <w:vAlign w:val="bottom"/>
            <w:hideMark/>
          </w:tcPr>
          <w:p w14:paraId="093B562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11.4</w:t>
            </w:r>
          </w:p>
        </w:tc>
        <w:tc>
          <w:tcPr>
            <w:tcW w:w="819" w:type="dxa"/>
            <w:tcBorders>
              <w:top w:val="nil"/>
              <w:left w:val="nil"/>
              <w:bottom w:val="nil"/>
              <w:right w:val="nil"/>
            </w:tcBorders>
            <w:shd w:val="clear" w:color="auto" w:fill="auto"/>
            <w:noWrap/>
            <w:vAlign w:val="bottom"/>
            <w:hideMark/>
          </w:tcPr>
          <w:p w14:paraId="4463F47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8.7</w:t>
            </w:r>
          </w:p>
        </w:tc>
      </w:tr>
      <w:tr w:rsidR="00634ABA" w:rsidRPr="00986F85" w14:paraId="1CEEFD03" w14:textId="77777777" w:rsidTr="00476987">
        <w:trPr>
          <w:trHeight w:val="285"/>
        </w:trPr>
        <w:tc>
          <w:tcPr>
            <w:tcW w:w="406" w:type="dxa"/>
            <w:vMerge/>
            <w:tcBorders>
              <w:top w:val="nil"/>
              <w:left w:val="nil"/>
              <w:bottom w:val="nil"/>
              <w:right w:val="nil"/>
            </w:tcBorders>
            <w:vAlign w:val="center"/>
            <w:hideMark/>
          </w:tcPr>
          <w:p w14:paraId="1869E57E" w14:textId="77777777" w:rsidR="00634ABA" w:rsidRPr="00986F85" w:rsidRDefault="00634ABA" w:rsidP="00476987">
            <w:pPr>
              <w:spacing w:after="0" w:line="240" w:lineRule="auto"/>
              <w:rPr>
                <w:rFonts w:eastAsia="Times New Roman"/>
                <w:color w:val="000000"/>
                <w:lang w:eastAsia="hu-HU"/>
              </w:rPr>
            </w:pPr>
          </w:p>
        </w:tc>
        <w:tc>
          <w:tcPr>
            <w:tcW w:w="2571" w:type="dxa"/>
            <w:tcBorders>
              <w:top w:val="nil"/>
              <w:left w:val="nil"/>
              <w:bottom w:val="nil"/>
              <w:right w:val="nil"/>
            </w:tcBorders>
            <w:shd w:val="clear" w:color="auto" w:fill="auto"/>
            <w:noWrap/>
            <w:vAlign w:val="bottom"/>
            <w:hideMark/>
          </w:tcPr>
          <w:p w14:paraId="3195C2F4"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Üzemi eredmény</w:t>
            </w:r>
          </w:p>
        </w:tc>
        <w:tc>
          <w:tcPr>
            <w:tcW w:w="819" w:type="dxa"/>
            <w:tcBorders>
              <w:top w:val="nil"/>
              <w:left w:val="nil"/>
              <w:bottom w:val="nil"/>
              <w:right w:val="nil"/>
            </w:tcBorders>
            <w:shd w:val="clear" w:color="auto" w:fill="auto"/>
            <w:noWrap/>
            <w:vAlign w:val="bottom"/>
            <w:hideMark/>
          </w:tcPr>
          <w:p w14:paraId="5964DC9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-903</w:t>
            </w:r>
          </w:p>
        </w:tc>
        <w:tc>
          <w:tcPr>
            <w:tcW w:w="819" w:type="dxa"/>
            <w:tcBorders>
              <w:top w:val="nil"/>
              <w:left w:val="nil"/>
              <w:bottom w:val="nil"/>
              <w:right w:val="nil"/>
            </w:tcBorders>
            <w:shd w:val="clear" w:color="auto" w:fill="auto"/>
            <w:noWrap/>
            <w:vAlign w:val="bottom"/>
            <w:hideMark/>
          </w:tcPr>
          <w:p w14:paraId="0D7041F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-984</w:t>
            </w:r>
          </w:p>
        </w:tc>
        <w:tc>
          <w:tcPr>
            <w:tcW w:w="819" w:type="dxa"/>
            <w:tcBorders>
              <w:top w:val="nil"/>
              <w:left w:val="nil"/>
              <w:bottom w:val="nil"/>
              <w:right w:val="nil"/>
            </w:tcBorders>
            <w:shd w:val="clear" w:color="auto" w:fill="auto"/>
            <w:noWrap/>
            <w:vAlign w:val="bottom"/>
            <w:hideMark/>
          </w:tcPr>
          <w:p w14:paraId="269E51E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-408.5</w:t>
            </w:r>
          </w:p>
        </w:tc>
        <w:tc>
          <w:tcPr>
            <w:tcW w:w="819" w:type="dxa"/>
            <w:tcBorders>
              <w:top w:val="nil"/>
              <w:left w:val="nil"/>
              <w:bottom w:val="nil"/>
              <w:right w:val="nil"/>
            </w:tcBorders>
            <w:shd w:val="clear" w:color="auto" w:fill="auto"/>
            <w:noWrap/>
            <w:vAlign w:val="bottom"/>
            <w:hideMark/>
          </w:tcPr>
          <w:p w14:paraId="22B9E4B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-444</w:t>
            </w:r>
          </w:p>
        </w:tc>
        <w:tc>
          <w:tcPr>
            <w:tcW w:w="819" w:type="dxa"/>
            <w:tcBorders>
              <w:top w:val="nil"/>
              <w:left w:val="nil"/>
              <w:bottom w:val="nil"/>
              <w:right w:val="nil"/>
            </w:tcBorders>
            <w:shd w:val="clear" w:color="auto" w:fill="auto"/>
            <w:noWrap/>
            <w:vAlign w:val="bottom"/>
            <w:hideMark/>
          </w:tcPr>
          <w:p w14:paraId="5087FE5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-658</w:t>
            </w:r>
          </w:p>
        </w:tc>
        <w:tc>
          <w:tcPr>
            <w:tcW w:w="929" w:type="dxa"/>
            <w:tcBorders>
              <w:top w:val="nil"/>
              <w:left w:val="nil"/>
              <w:bottom w:val="nil"/>
              <w:right w:val="nil"/>
            </w:tcBorders>
            <w:shd w:val="clear" w:color="auto" w:fill="auto"/>
            <w:noWrap/>
            <w:vAlign w:val="bottom"/>
            <w:hideMark/>
          </w:tcPr>
          <w:p w14:paraId="0C365DB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-694</w:t>
            </w:r>
          </w:p>
        </w:tc>
        <w:tc>
          <w:tcPr>
            <w:tcW w:w="819" w:type="dxa"/>
            <w:tcBorders>
              <w:top w:val="nil"/>
              <w:left w:val="nil"/>
              <w:bottom w:val="nil"/>
              <w:right w:val="nil"/>
            </w:tcBorders>
            <w:shd w:val="clear" w:color="auto" w:fill="auto"/>
            <w:noWrap/>
            <w:vAlign w:val="bottom"/>
            <w:hideMark/>
          </w:tcPr>
          <w:p w14:paraId="1CB5780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-498</w:t>
            </w:r>
          </w:p>
        </w:tc>
        <w:tc>
          <w:tcPr>
            <w:tcW w:w="819" w:type="dxa"/>
            <w:tcBorders>
              <w:top w:val="nil"/>
              <w:left w:val="nil"/>
              <w:bottom w:val="nil"/>
              <w:right w:val="nil"/>
            </w:tcBorders>
            <w:shd w:val="clear" w:color="auto" w:fill="auto"/>
            <w:noWrap/>
            <w:vAlign w:val="bottom"/>
            <w:hideMark/>
          </w:tcPr>
          <w:p w14:paraId="78CAF39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-722</w:t>
            </w:r>
          </w:p>
        </w:tc>
      </w:tr>
      <w:tr w:rsidR="00634ABA" w:rsidRPr="00986F85" w14:paraId="29A28843" w14:textId="77777777" w:rsidTr="00476987">
        <w:trPr>
          <w:trHeight w:val="285"/>
        </w:trPr>
        <w:tc>
          <w:tcPr>
            <w:tcW w:w="406" w:type="dxa"/>
            <w:vMerge/>
            <w:tcBorders>
              <w:top w:val="nil"/>
              <w:left w:val="nil"/>
              <w:bottom w:val="nil"/>
              <w:right w:val="nil"/>
            </w:tcBorders>
            <w:vAlign w:val="center"/>
            <w:hideMark/>
          </w:tcPr>
          <w:p w14:paraId="176D0EF8" w14:textId="77777777" w:rsidR="00634ABA" w:rsidRPr="00986F85" w:rsidRDefault="00634ABA" w:rsidP="00476987">
            <w:pPr>
              <w:spacing w:after="0" w:line="240" w:lineRule="auto"/>
              <w:rPr>
                <w:rFonts w:eastAsia="Times New Roman"/>
                <w:color w:val="000000"/>
                <w:lang w:eastAsia="hu-HU"/>
              </w:rPr>
            </w:pPr>
          </w:p>
        </w:tc>
        <w:tc>
          <w:tcPr>
            <w:tcW w:w="2571" w:type="dxa"/>
            <w:tcBorders>
              <w:top w:val="nil"/>
              <w:left w:val="nil"/>
              <w:bottom w:val="nil"/>
              <w:right w:val="nil"/>
            </w:tcBorders>
            <w:shd w:val="clear" w:color="auto" w:fill="auto"/>
            <w:noWrap/>
            <w:vAlign w:val="bottom"/>
            <w:hideMark/>
          </w:tcPr>
          <w:p w14:paraId="4DE40062"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Egy foglalkoztatottra eső üzemi eredmény</w:t>
            </w:r>
          </w:p>
        </w:tc>
        <w:tc>
          <w:tcPr>
            <w:tcW w:w="819" w:type="dxa"/>
            <w:tcBorders>
              <w:top w:val="nil"/>
              <w:left w:val="nil"/>
              <w:bottom w:val="nil"/>
              <w:right w:val="nil"/>
            </w:tcBorders>
            <w:shd w:val="clear" w:color="auto" w:fill="auto"/>
            <w:noWrap/>
            <w:vAlign w:val="bottom"/>
            <w:hideMark/>
          </w:tcPr>
          <w:p w14:paraId="3EEF839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-92.2</w:t>
            </w:r>
          </w:p>
        </w:tc>
        <w:tc>
          <w:tcPr>
            <w:tcW w:w="819" w:type="dxa"/>
            <w:tcBorders>
              <w:top w:val="nil"/>
              <w:left w:val="nil"/>
              <w:bottom w:val="nil"/>
              <w:right w:val="nil"/>
            </w:tcBorders>
            <w:shd w:val="clear" w:color="auto" w:fill="auto"/>
            <w:noWrap/>
            <w:vAlign w:val="bottom"/>
            <w:hideMark/>
          </w:tcPr>
          <w:p w14:paraId="05984FD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-80</w:t>
            </w:r>
          </w:p>
        </w:tc>
        <w:tc>
          <w:tcPr>
            <w:tcW w:w="819" w:type="dxa"/>
            <w:tcBorders>
              <w:top w:val="nil"/>
              <w:left w:val="nil"/>
              <w:bottom w:val="nil"/>
              <w:right w:val="nil"/>
            </w:tcBorders>
            <w:shd w:val="clear" w:color="auto" w:fill="auto"/>
            <w:noWrap/>
            <w:vAlign w:val="bottom"/>
            <w:hideMark/>
          </w:tcPr>
          <w:p w14:paraId="3F3AA02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-24.7</w:t>
            </w:r>
          </w:p>
        </w:tc>
        <w:tc>
          <w:tcPr>
            <w:tcW w:w="819" w:type="dxa"/>
            <w:tcBorders>
              <w:top w:val="nil"/>
              <w:left w:val="nil"/>
              <w:bottom w:val="nil"/>
              <w:right w:val="nil"/>
            </w:tcBorders>
            <w:shd w:val="clear" w:color="auto" w:fill="auto"/>
            <w:noWrap/>
            <w:vAlign w:val="bottom"/>
            <w:hideMark/>
          </w:tcPr>
          <w:p w14:paraId="471DC2F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-28.4</w:t>
            </w:r>
          </w:p>
        </w:tc>
        <w:tc>
          <w:tcPr>
            <w:tcW w:w="819" w:type="dxa"/>
            <w:tcBorders>
              <w:top w:val="nil"/>
              <w:left w:val="nil"/>
              <w:bottom w:val="nil"/>
              <w:right w:val="nil"/>
            </w:tcBorders>
            <w:shd w:val="clear" w:color="auto" w:fill="auto"/>
            <w:noWrap/>
            <w:vAlign w:val="bottom"/>
            <w:hideMark/>
          </w:tcPr>
          <w:p w14:paraId="5BCE5C2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-42.3</w:t>
            </w:r>
          </w:p>
        </w:tc>
        <w:tc>
          <w:tcPr>
            <w:tcW w:w="929" w:type="dxa"/>
            <w:tcBorders>
              <w:top w:val="nil"/>
              <w:left w:val="nil"/>
              <w:bottom w:val="nil"/>
              <w:right w:val="nil"/>
            </w:tcBorders>
            <w:shd w:val="clear" w:color="auto" w:fill="auto"/>
            <w:noWrap/>
            <w:vAlign w:val="bottom"/>
            <w:hideMark/>
          </w:tcPr>
          <w:p w14:paraId="16B2CBE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-40.4</w:t>
            </w:r>
          </w:p>
        </w:tc>
        <w:tc>
          <w:tcPr>
            <w:tcW w:w="819" w:type="dxa"/>
            <w:tcBorders>
              <w:top w:val="nil"/>
              <w:left w:val="nil"/>
              <w:bottom w:val="nil"/>
              <w:right w:val="nil"/>
            </w:tcBorders>
            <w:shd w:val="clear" w:color="auto" w:fill="auto"/>
            <w:noWrap/>
            <w:vAlign w:val="bottom"/>
            <w:hideMark/>
          </w:tcPr>
          <w:p w14:paraId="6445B83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-37.6</w:t>
            </w:r>
          </w:p>
        </w:tc>
        <w:tc>
          <w:tcPr>
            <w:tcW w:w="819" w:type="dxa"/>
            <w:tcBorders>
              <w:top w:val="nil"/>
              <w:left w:val="nil"/>
              <w:bottom w:val="nil"/>
              <w:right w:val="nil"/>
            </w:tcBorders>
            <w:shd w:val="clear" w:color="auto" w:fill="auto"/>
            <w:noWrap/>
            <w:vAlign w:val="bottom"/>
            <w:hideMark/>
          </w:tcPr>
          <w:p w14:paraId="61B9A2A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-62</w:t>
            </w:r>
          </w:p>
        </w:tc>
      </w:tr>
      <w:tr w:rsidR="00634ABA" w:rsidRPr="00986F85" w14:paraId="087CD319" w14:textId="77777777" w:rsidTr="00476987">
        <w:trPr>
          <w:trHeight w:val="285"/>
        </w:trPr>
        <w:tc>
          <w:tcPr>
            <w:tcW w:w="406" w:type="dxa"/>
            <w:vMerge/>
            <w:tcBorders>
              <w:top w:val="nil"/>
              <w:left w:val="nil"/>
              <w:bottom w:val="nil"/>
              <w:right w:val="nil"/>
            </w:tcBorders>
            <w:vAlign w:val="center"/>
            <w:hideMark/>
          </w:tcPr>
          <w:p w14:paraId="5B523BC5" w14:textId="77777777" w:rsidR="00634ABA" w:rsidRPr="00986F85" w:rsidRDefault="00634ABA" w:rsidP="00476987">
            <w:pPr>
              <w:spacing w:after="0" w:line="240" w:lineRule="auto"/>
              <w:rPr>
                <w:rFonts w:eastAsia="Times New Roman"/>
                <w:color w:val="000000"/>
                <w:lang w:eastAsia="hu-HU"/>
              </w:rPr>
            </w:pPr>
          </w:p>
        </w:tc>
        <w:tc>
          <w:tcPr>
            <w:tcW w:w="2571" w:type="dxa"/>
            <w:tcBorders>
              <w:top w:val="nil"/>
              <w:left w:val="nil"/>
              <w:bottom w:val="nil"/>
              <w:right w:val="nil"/>
            </w:tcBorders>
            <w:shd w:val="clear" w:color="auto" w:fill="auto"/>
            <w:noWrap/>
            <w:vAlign w:val="bottom"/>
            <w:hideMark/>
          </w:tcPr>
          <w:p w14:paraId="7CCBCEB4"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Hozzáadott érték</w:t>
            </w:r>
          </w:p>
        </w:tc>
        <w:tc>
          <w:tcPr>
            <w:tcW w:w="819" w:type="dxa"/>
            <w:tcBorders>
              <w:top w:val="nil"/>
              <w:left w:val="nil"/>
              <w:bottom w:val="nil"/>
              <w:right w:val="nil"/>
            </w:tcBorders>
            <w:shd w:val="clear" w:color="auto" w:fill="auto"/>
            <w:noWrap/>
            <w:vAlign w:val="bottom"/>
            <w:hideMark/>
          </w:tcPr>
          <w:p w14:paraId="31C5BCF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-4410</w:t>
            </w:r>
          </w:p>
        </w:tc>
        <w:tc>
          <w:tcPr>
            <w:tcW w:w="819" w:type="dxa"/>
            <w:tcBorders>
              <w:top w:val="nil"/>
              <w:left w:val="nil"/>
              <w:bottom w:val="nil"/>
              <w:right w:val="nil"/>
            </w:tcBorders>
            <w:shd w:val="clear" w:color="auto" w:fill="auto"/>
            <w:noWrap/>
            <w:vAlign w:val="bottom"/>
            <w:hideMark/>
          </w:tcPr>
          <w:p w14:paraId="09EE0C3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-3608</w:t>
            </w:r>
          </w:p>
        </w:tc>
        <w:tc>
          <w:tcPr>
            <w:tcW w:w="819" w:type="dxa"/>
            <w:tcBorders>
              <w:top w:val="nil"/>
              <w:left w:val="nil"/>
              <w:bottom w:val="nil"/>
              <w:right w:val="nil"/>
            </w:tcBorders>
            <w:shd w:val="clear" w:color="auto" w:fill="auto"/>
            <w:noWrap/>
            <w:vAlign w:val="bottom"/>
            <w:hideMark/>
          </w:tcPr>
          <w:p w14:paraId="0C58843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-1820</w:t>
            </w:r>
          </w:p>
        </w:tc>
        <w:tc>
          <w:tcPr>
            <w:tcW w:w="819" w:type="dxa"/>
            <w:tcBorders>
              <w:top w:val="nil"/>
              <w:left w:val="nil"/>
              <w:bottom w:val="nil"/>
              <w:right w:val="nil"/>
            </w:tcBorders>
            <w:shd w:val="clear" w:color="auto" w:fill="auto"/>
            <w:noWrap/>
            <w:vAlign w:val="bottom"/>
            <w:hideMark/>
          </w:tcPr>
          <w:p w14:paraId="3AD3DAD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-2477</w:t>
            </w:r>
          </w:p>
        </w:tc>
        <w:tc>
          <w:tcPr>
            <w:tcW w:w="819" w:type="dxa"/>
            <w:tcBorders>
              <w:top w:val="nil"/>
              <w:left w:val="nil"/>
              <w:bottom w:val="nil"/>
              <w:right w:val="nil"/>
            </w:tcBorders>
            <w:shd w:val="clear" w:color="auto" w:fill="auto"/>
            <w:noWrap/>
            <w:vAlign w:val="bottom"/>
            <w:hideMark/>
          </w:tcPr>
          <w:p w14:paraId="6C80175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-3339</w:t>
            </w:r>
          </w:p>
        </w:tc>
        <w:tc>
          <w:tcPr>
            <w:tcW w:w="929" w:type="dxa"/>
            <w:tcBorders>
              <w:top w:val="nil"/>
              <w:left w:val="nil"/>
              <w:bottom w:val="nil"/>
              <w:right w:val="nil"/>
            </w:tcBorders>
            <w:shd w:val="clear" w:color="auto" w:fill="auto"/>
            <w:noWrap/>
            <w:vAlign w:val="bottom"/>
            <w:hideMark/>
          </w:tcPr>
          <w:p w14:paraId="090B5FC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-2322.5</w:t>
            </w:r>
          </w:p>
        </w:tc>
        <w:tc>
          <w:tcPr>
            <w:tcW w:w="819" w:type="dxa"/>
            <w:tcBorders>
              <w:top w:val="nil"/>
              <w:left w:val="nil"/>
              <w:bottom w:val="nil"/>
              <w:right w:val="nil"/>
            </w:tcBorders>
            <w:shd w:val="clear" w:color="auto" w:fill="auto"/>
            <w:noWrap/>
            <w:vAlign w:val="bottom"/>
            <w:hideMark/>
          </w:tcPr>
          <w:p w14:paraId="14656D8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-1895</w:t>
            </w:r>
          </w:p>
        </w:tc>
        <w:tc>
          <w:tcPr>
            <w:tcW w:w="819" w:type="dxa"/>
            <w:tcBorders>
              <w:top w:val="nil"/>
              <w:left w:val="nil"/>
              <w:bottom w:val="nil"/>
              <w:right w:val="nil"/>
            </w:tcBorders>
            <w:shd w:val="clear" w:color="auto" w:fill="auto"/>
            <w:noWrap/>
            <w:vAlign w:val="bottom"/>
            <w:hideMark/>
          </w:tcPr>
          <w:p w14:paraId="12274B3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-3285</w:t>
            </w:r>
          </w:p>
        </w:tc>
      </w:tr>
      <w:tr w:rsidR="00634ABA" w:rsidRPr="00986F85" w14:paraId="08B5C151" w14:textId="77777777" w:rsidTr="00476987">
        <w:trPr>
          <w:trHeight w:val="285"/>
        </w:trPr>
        <w:tc>
          <w:tcPr>
            <w:tcW w:w="406" w:type="dxa"/>
            <w:vMerge/>
            <w:tcBorders>
              <w:top w:val="nil"/>
              <w:left w:val="nil"/>
              <w:bottom w:val="nil"/>
              <w:right w:val="nil"/>
            </w:tcBorders>
            <w:vAlign w:val="center"/>
            <w:hideMark/>
          </w:tcPr>
          <w:p w14:paraId="37BB2B51" w14:textId="77777777" w:rsidR="00634ABA" w:rsidRPr="00986F85" w:rsidRDefault="00634ABA" w:rsidP="00476987">
            <w:pPr>
              <w:spacing w:after="0" w:line="240" w:lineRule="auto"/>
              <w:rPr>
                <w:rFonts w:eastAsia="Times New Roman"/>
                <w:color w:val="000000"/>
                <w:lang w:eastAsia="hu-HU"/>
              </w:rPr>
            </w:pPr>
          </w:p>
        </w:tc>
        <w:tc>
          <w:tcPr>
            <w:tcW w:w="2571" w:type="dxa"/>
            <w:tcBorders>
              <w:top w:val="nil"/>
              <w:left w:val="nil"/>
              <w:bottom w:val="nil"/>
              <w:right w:val="nil"/>
            </w:tcBorders>
            <w:shd w:val="clear" w:color="auto" w:fill="auto"/>
            <w:noWrap/>
            <w:vAlign w:val="bottom"/>
            <w:hideMark/>
          </w:tcPr>
          <w:p w14:paraId="227995F9"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Egy foglalkoztatottra eső hozzáadott érték</w:t>
            </w:r>
          </w:p>
        </w:tc>
        <w:tc>
          <w:tcPr>
            <w:tcW w:w="819" w:type="dxa"/>
            <w:tcBorders>
              <w:top w:val="nil"/>
              <w:left w:val="nil"/>
              <w:bottom w:val="nil"/>
              <w:right w:val="nil"/>
            </w:tcBorders>
            <w:shd w:val="clear" w:color="auto" w:fill="auto"/>
            <w:noWrap/>
            <w:vAlign w:val="bottom"/>
            <w:hideMark/>
          </w:tcPr>
          <w:p w14:paraId="2D7B393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92</w:t>
            </w:r>
          </w:p>
        </w:tc>
        <w:tc>
          <w:tcPr>
            <w:tcW w:w="819" w:type="dxa"/>
            <w:tcBorders>
              <w:top w:val="nil"/>
              <w:left w:val="nil"/>
              <w:bottom w:val="nil"/>
              <w:right w:val="nil"/>
            </w:tcBorders>
            <w:shd w:val="clear" w:color="auto" w:fill="auto"/>
            <w:noWrap/>
            <w:vAlign w:val="bottom"/>
            <w:hideMark/>
          </w:tcPr>
          <w:p w14:paraId="6B4FB37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144.2</w:t>
            </w:r>
          </w:p>
        </w:tc>
        <w:tc>
          <w:tcPr>
            <w:tcW w:w="819" w:type="dxa"/>
            <w:tcBorders>
              <w:top w:val="nil"/>
              <w:left w:val="nil"/>
              <w:bottom w:val="nil"/>
              <w:right w:val="nil"/>
            </w:tcBorders>
            <w:shd w:val="clear" w:color="auto" w:fill="auto"/>
            <w:noWrap/>
            <w:vAlign w:val="bottom"/>
            <w:hideMark/>
          </w:tcPr>
          <w:p w14:paraId="6BA417E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247.3</w:t>
            </w:r>
          </w:p>
        </w:tc>
        <w:tc>
          <w:tcPr>
            <w:tcW w:w="819" w:type="dxa"/>
            <w:tcBorders>
              <w:top w:val="nil"/>
              <w:left w:val="nil"/>
              <w:bottom w:val="nil"/>
              <w:right w:val="nil"/>
            </w:tcBorders>
            <w:shd w:val="clear" w:color="auto" w:fill="auto"/>
            <w:noWrap/>
            <w:vAlign w:val="bottom"/>
            <w:hideMark/>
          </w:tcPr>
          <w:p w14:paraId="1135933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225</w:t>
            </w:r>
          </w:p>
        </w:tc>
        <w:tc>
          <w:tcPr>
            <w:tcW w:w="819" w:type="dxa"/>
            <w:tcBorders>
              <w:top w:val="nil"/>
              <w:left w:val="nil"/>
              <w:bottom w:val="nil"/>
              <w:right w:val="nil"/>
            </w:tcBorders>
            <w:shd w:val="clear" w:color="auto" w:fill="auto"/>
            <w:noWrap/>
            <w:vAlign w:val="bottom"/>
            <w:hideMark/>
          </w:tcPr>
          <w:p w14:paraId="4F5D9BE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154</w:t>
            </w:r>
          </w:p>
        </w:tc>
        <w:tc>
          <w:tcPr>
            <w:tcW w:w="929" w:type="dxa"/>
            <w:tcBorders>
              <w:top w:val="nil"/>
              <w:left w:val="nil"/>
              <w:bottom w:val="nil"/>
              <w:right w:val="nil"/>
            </w:tcBorders>
            <w:shd w:val="clear" w:color="auto" w:fill="auto"/>
            <w:noWrap/>
            <w:vAlign w:val="bottom"/>
            <w:hideMark/>
          </w:tcPr>
          <w:p w14:paraId="55325DC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238.6</w:t>
            </w:r>
          </w:p>
        </w:tc>
        <w:tc>
          <w:tcPr>
            <w:tcW w:w="819" w:type="dxa"/>
            <w:tcBorders>
              <w:top w:val="nil"/>
              <w:left w:val="nil"/>
              <w:bottom w:val="nil"/>
              <w:right w:val="nil"/>
            </w:tcBorders>
            <w:shd w:val="clear" w:color="auto" w:fill="auto"/>
            <w:noWrap/>
            <w:vAlign w:val="bottom"/>
            <w:hideMark/>
          </w:tcPr>
          <w:p w14:paraId="0844A75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190.9</w:t>
            </w:r>
          </w:p>
        </w:tc>
        <w:tc>
          <w:tcPr>
            <w:tcW w:w="819" w:type="dxa"/>
            <w:tcBorders>
              <w:top w:val="nil"/>
              <w:left w:val="nil"/>
              <w:bottom w:val="nil"/>
              <w:right w:val="nil"/>
            </w:tcBorders>
            <w:shd w:val="clear" w:color="auto" w:fill="auto"/>
            <w:noWrap/>
            <w:vAlign w:val="bottom"/>
            <w:hideMark/>
          </w:tcPr>
          <w:p w14:paraId="4CD4546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159.8</w:t>
            </w:r>
          </w:p>
        </w:tc>
      </w:tr>
      <w:tr w:rsidR="00634ABA" w:rsidRPr="00986F85" w14:paraId="332C5D57" w14:textId="77777777" w:rsidTr="00476987">
        <w:trPr>
          <w:trHeight w:val="285"/>
        </w:trPr>
        <w:tc>
          <w:tcPr>
            <w:tcW w:w="406" w:type="dxa"/>
            <w:vMerge/>
            <w:tcBorders>
              <w:top w:val="nil"/>
              <w:left w:val="nil"/>
              <w:bottom w:val="nil"/>
              <w:right w:val="nil"/>
            </w:tcBorders>
            <w:vAlign w:val="center"/>
            <w:hideMark/>
          </w:tcPr>
          <w:p w14:paraId="3FC5FD1E" w14:textId="77777777" w:rsidR="00634ABA" w:rsidRPr="00986F85" w:rsidRDefault="00634ABA" w:rsidP="00476987">
            <w:pPr>
              <w:spacing w:after="0" w:line="240" w:lineRule="auto"/>
              <w:rPr>
                <w:rFonts w:eastAsia="Times New Roman"/>
                <w:color w:val="000000"/>
                <w:lang w:eastAsia="hu-HU"/>
              </w:rPr>
            </w:pPr>
          </w:p>
        </w:tc>
        <w:tc>
          <w:tcPr>
            <w:tcW w:w="2571" w:type="dxa"/>
            <w:tcBorders>
              <w:top w:val="nil"/>
              <w:left w:val="nil"/>
              <w:bottom w:val="nil"/>
              <w:right w:val="nil"/>
            </w:tcBorders>
            <w:shd w:val="clear" w:color="auto" w:fill="auto"/>
            <w:noWrap/>
            <w:vAlign w:val="bottom"/>
            <w:hideMark/>
          </w:tcPr>
          <w:p w14:paraId="298C46AF"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ROA</w:t>
            </w:r>
          </w:p>
        </w:tc>
        <w:tc>
          <w:tcPr>
            <w:tcW w:w="819" w:type="dxa"/>
            <w:tcBorders>
              <w:top w:val="nil"/>
              <w:left w:val="nil"/>
              <w:bottom w:val="nil"/>
              <w:right w:val="nil"/>
            </w:tcBorders>
            <w:shd w:val="clear" w:color="auto" w:fill="auto"/>
            <w:noWrap/>
            <w:vAlign w:val="bottom"/>
            <w:hideMark/>
          </w:tcPr>
          <w:p w14:paraId="058078C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-0.03</w:t>
            </w:r>
          </w:p>
        </w:tc>
        <w:tc>
          <w:tcPr>
            <w:tcW w:w="819" w:type="dxa"/>
            <w:tcBorders>
              <w:top w:val="nil"/>
              <w:left w:val="nil"/>
              <w:bottom w:val="nil"/>
              <w:right w:val="nil"/>
            </w:tcBorders>
            <w:shd w:val="clear" w:color="auto" w:fill="auto"/>
            <w:noWrap/>
            <w:vAlign w:val="bottom"/>
            <w:hideMark/>
          </w:tcPr>
          <w:p w14:paraId="2CA7000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-0.035</w:t>
            </w:r>
          </w:p>
        </w:tc>
        <w:tc>
          <w:tcPr>
            <w:tcW w:w="819" w:type="dxa"/>
            <w:tcBorders>
              <w:top w:val="nil"/>
              <w:left w:val="nil"/>
              <w:bottom w:val="nil"/>
              <w:right w:val="nil"/>
            </w:tcBorders>
            <w:shd w:val="clear" w:color="auto" w:fill="auto"/>
            <w:noWrap/>
            <w:vAlign w:val="bottom"/>
            <w:hideMark/>
          </w:tcPr>
          <w:p w14:paraId="1DB9D9A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-0.02</w:t>
            </w:r>
          </w:p>
        </w:tc>
        <w:tc>
          <w:tcPr>
            <w:tcW w:w="819" w:type="dxa"/>
            <w:tcBorders>
              <w:top w:val="nil"/>
              <w:left w:val="nil"/>
              <w:bottom w:val="nil"/>
              <w:right w:val="nil"/>
            </w:tcBorders>
            <w:shd w:val="clear" w:color="auto" w:fill="auto"/>
            <w:noWrap/>
            <w:vAlign w:val="bottom"/>
            <w:hideMark/>
          </w:tcPr>
          <w:p w14:paraId="7DE08B5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-0.021</w:t>
            </w:r>
          </w:p>
        </w:tc>
        <w:tc>
          <w:tcPr>
            <w:tcW w:w="819" w:type="dxa"/>
            <w:tcBorders>
              <w:top w:val="nil"/>
              <w:left w:val="nil"/>
              <w:bottom w:val="nil"/>
              <w:right w:val="nil"/>
            </w:tcBorders>
            <w:shd w:val="clear" w:color="auto" w:fill="auto"/>
            <w:noWrap/>
            <w:vAlign w:val="bottom"/>
            <w:hideMark/>
          </w:tcPr>
          <w:p w14:paraId="2A4EDCC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-0.027</w:t>
            </w:r>
          </w:p>
        </w:tc>
        <w:tc>
          <w:tcPr>
            <w:tcW w:w="929" w:type="dxa"/>
            <w:tcBorders>
              <w:top w:val="nil"/>
              <w:left w:val="nil"/>
              <w:bottom w:val="nil"/>
              <w:right w:val="nil"/>
            </w:tcBorders>
            <w:shd w:val="clear" w:color="auto" w:fill="auto"/>
            <w:noWrap/>
            <w:vAlign w:val="bottom"/>
            <w:hideMark/>
          </w:tcPr>
          <w:p w14:paraId="2E798DE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-0.026</w:t>
            </w:r>
          </w:p>
        </w:tc>
        <w:tc>
          <w:tcPr>
            <w:tcW w:w="819" w:type="dxa"/>
            <w:tcBorders>
              <w:top w:val="nil"/>
              <w:left w:val="nil"/>
              <w:bottom w:val="nil"/>
              <w:right w:val="nil"/>
            </w:tcBorders>
            <w:shd w:val="clear" w:color="auto" w:fill="auto"/>
            <w:noWrap/>
            <w:vAlign w:val="bottom"/>
            <w:hideMark/>
          </w:tcPr>
          <w:p w14:paraId="084579D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-0.021</w:t>
            </w:r>
          </w:p>
        </w:tc>
        <w:tc>
          <w:tcPr>
            <w:tcW w:w="819" w:type="dxa"/>
            <w:tcBorders>
              <w:top w:val="nil"/>
              <w:left w:val="nil"/>
              <w:bottom w:val="nil"/>
              <w:right w:val="nil"/>
            </w:tcBorders>
            <w:shd w:val="clear" w:color="auto" w:fill="auto"/>
            <w:noWrap/>
            <w:vAlign w:val="bottom"/>
            <w:hideMark/>
          </w:tcPr>
          <w:p w14:paraId="6C5FD2F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-0.027</w:t>
            </w:r>
          </w:p>
        </w:tc>
      </w:tr>
      <w:tr w:rsidR="00634ABA" w:rsidRPr="00986F85" w14:paraId="08012E26" w14:textId="77777777" w:rsidTr="00476987">
        <w:trPr>
          <w:trHeight w:val="285"/>
        </w:trPr>
        <w:tc>
          <w:tcPr>
            <w:tcW w:w="406" w:type="dxa"/>
            <w:tcBorders>
              <w:top w:val="nil"/>
              <w:left w:val="nil"/>
              <w:bottom w:val="nil"/>
              <w:right w:val="nil"/>
            </w:tcBorders>
            <w:shd w:val="clear" w:color="auto" w:fill="auto"/>
            <w:noWrap/>
            <w:vAlign w:val="bottom"/>
            <w:hideMark/>
          </w:tcPr>
          <w:p w14:paraId="48059AC3" w14:textId="77777777" w:rsidR="00634ABA" w:rsidRPr="00986F85" w:rsidRDefault="00634ABA" w:rsidP="00476987">
            <w:pPr>
              <w:spacing w:after="0" w:line="240" w:lineRule="auto"/>
              <w:rPr>
                <w:rFonts w:eastAsia="Times New Roman"/>
                <w:color w:val="000000"/>
                <w:lang w:eastAsia="hu-HU"/>
              </w:rPr>
            </w:pPr>
          </w:p>
        </w:tc>
        <w:tc>
          <w:tcPr>
            <w:tcW w:w="2571" w:type="dxa"/>
            <w:tcBorders>
              <w:top w:val="nil"/>
              <w:left w:val="nil"/>
              <w:bottom w:val="nil"/>
              <w:right w:val="nil"/>
            </w:tcBorders>
            <w:shd w:val="clear" w:color="auto" w:fill="auto"/>
            <w:noWrap/>
            <w:vAlign w:val="bottom"/>
            <w:hideMark/>
          </w:tcPr>
          <w:p w14:paraId="1A0F019C" w14:textId="77777777" w:rsidR="00634ABA" w:rsidRPr="00986F85" w:rsidRDefault="00634ABA" w:rsidP="00476987">
            <w:pPr>
              <w:spacing w:after="0" w:line="240" w:lineRule="auto"/>
              <w:rPr>
                <w:rFonts w:eastAsia="Times New Roman"/>
                <w:color w:val="000000"/>
                <w:lang w:eastAsia="hu-HU"/>
              </w:rPr>
            </w:pPr>
          </w:p>
        </w:tc>
        <w:tc>
          <w:tcPr>
            <w:tcW w:w="819" w:type="dxa"/>
            <w:tcBorders>
              <w:top w:val="nil"/>
              <w:left w:val="nil"/>
              <w:bottom w:val="nil"/>
              <w:right w:val="nil"/>
            </w:tcBorders>
            <w:shd w:val="clear" w:color="auto" w:fill="auto"/>
            <w:noWrap/>
            <w:vAlign w:val="bottom"/>
            <w:hideMark/>
          </w:tcPr>
          <w:p w14:paraId="4CBD7E2F" w14:textId="77777777" w:rsidR="00634ABA" w:rsidRPr="00986F85" w:rsidRDefault="00634ABA" w:rsidP="00476987">
            <w:pPr>
              <w:spacing w:after="0" w:line="240" w:lineRule="auto"/>
              <w:rPr>
                <w:rFonts w:eastAsia="Times New Roman"/>
                <w:color w:val="000000"/>
                <w:lang w:eastAsia="hu-HU"/>
              </w:rPr>
            </w:pPr>
          </w:p>
        </w:tc>
        <w:tc>
          <w:tcPr>
            <w:tcW w:w="819" w:type="dxa"/>
            <w:tcBorders>
              <w:top w:val="nil"/>
              <w:left w:val="nil"/>
              <w:bottom w:val="nil"/>
              <w:right w:val="nil"/>
            </w:tcBorders>
            <w:shd w:val="clear" w:color="auto" w:fill="auto"/>
            <w:noWrap/>
            <w:vAlign w:val="bottom"/>
            <w:hideMark/>
          </w:tcPr>
          <w:p w14:paraId="1C9EB9FA" w14:textId="77777777" w:rsidR="00634ABA" w:rsidRPr="00986F85" w:rsidRDefault="00634ABA" w:rsidP="00476987">
            <w:pPr>
              <w:spacing w:after="0" w:line="240" w:lineRule="auto"/>
              <w:rPr>
                <w:rFonts w:eastAsia="Times New Roman"/>
                <w:color w:val="000000"/>
                <w:lang w:eastAsia="hu-HU"/>
              </w:rPr>
            </w:pPr>
          </w:p>
        </w:tc>
        <w:tc>
          <w:tcPr>
            <w:tcW w:w="819" w:type="dxa"/>
            <w:tcBorders>
              <w:top w:val="nil"/>
              <w:left w:val="nil"/>
              <w:bottom w:val="nil"/>
              <w:right w:val="nil"/>
            </w:tcBorders>
            <w:shd w:val="clear" w:color="auto" w:fill="auto"/>
            <w:noWrap/>
            <w:vAlign w:val="bottom"/>
            <w:hideMark/>
          </w:tcPr>
          <w:p w14:paraId="10516AB0" w14:textId="77777777" w:rsidR="00634ABA" w:rsidRPr="00986F85" w:rsidRDefault="00634ABA" w:rsidP="00476987">
            <w:pPr>
              <w:spacing w:after="0" w:line="240" w:lineRule="auto"/>
              <w:rPr>
                <w:rFonts w:eastAsia="Times New Roman"/>
                <w:color w:val="000000"/>
                <w:lang w:eastAsia="hu-HU"/>
              </w:rPr>
            </w:pPr>
          </w:p>
        </w:tc>
        <w:tc>
          <w:tcPr>
            <w:tcW w:w="819" w:type="dxa"/>
            <w:tcBorders>
              <w:top w:val="nil"/>
              <w:left w:val="nil"/>
              <w:bottom w:val="nil"/>
              <w:right w:val="nil"/>
            </w:tcBorders>
            <w:shd w:val="clear" w:color="auto" w:fill="auto"/>
            <w:noWrap/>
            <w:vAlign w:val="bottom"/>
            <w:hideMark/>
          </w:tcPr>
          <w:p w14:paraId="1E76A4A0" w14:textId="77777777" w:rsidR="00634ABA" w:rsidRPr="00986F85" w:rsidRDefault="00634ABA" w:rsidP="00476987">
            <w:pPr>
              <w:spacing w:after="0" w:line="240" w:lineRule="auto"/>
              <w:rPr>
                <w:rFonts w:eastAsia="Times New Roman"/>
                <w:color w:val="000000"/>
                <w:lang w:eastAsia="hu-HU"/>
              </w:rPr>
            </w:pPr>
          </w:p>
        </w:tc>
        <w:tc>
          <w:tcPr>
            <w:tcW w:w="819" w:type="dxa"/>
            <w:tcBorders>
              <w:top w:val="nil"/>
              <w:left w:val="nil"/>
              <w:bottom w:val="nil"/>
              <w:right w:val="nil"/>
            </w:tcBorders>
            <w:shd w:val="clear" w:color="auto" w:fill="auto"/>
            <w:noWrap/>
            <w:vAlign w:val="bottom"/>
            <w:hideMark/>
          </w:tcPr>
          <w:p w14:paraId="48965AED" w14:textId="77777777" w:rsidR="00634ABA" w:rsidRPr="00986F85" w:rsidRDefault="00634ABA" w:rsidP="00476987">
            <w:pPr>
              <w:spacing w:after="0" w:line="240" w:lineRule="auto"/>
              <w:rPr>
                <w:rFonts w:eastAsia="Times New Roman"/>
                <w:color w:val="000000"/>
                <w:lang w:eastAsia="hu-HU"/>
              </w:rPr>
            </w:pPr>
          </w:p>
        </w:tc>
        <w:tc>
          <w:tcPr>
            <w:tcW w:w="929" w:type="dxa"/>
            <w:tcBorders>
              <w:top w:val="nil"/>
              <w:left w:val="nil"/>
              <w:bottom w:val="nil"/>
              <w:right w:val="nil"/>
            </w:tcBorders>
            <w:shd w:val="clear" w:color="auto" w:fill="auto"/>
            <w:noWrap/>
            <w:vAlign w:val="bottom"/>
            <w:hideMark/>
          </w:tcPr>
          <w:p w14:paraId="4B2B16E8" w14:textId="77777777" w:rsidR="00634ABA" w:rsidRPr="00986F85" w:rsidRDefault="00634ABA" w:rsidP="00476987">
            <w:pPr>
              <w:spacing w:after="0" w:line="240" w:lineRule="auto"/>
              <w:rPr>
                <w:rFonts w:eastAsia="Times New Roman"/>
                <w:color w:val="000000"/>
                <w:lang w:eastAsia="hu-HU"/>
              </w:rPr>
            </w:pPr>
          </w:p>
        </w:tc>
        <w:tc>
          <w:tcPr>
            <w:tcW w:w="819" w:type="dxa"/>
            <w:tcBorders>
              <w:top w:val="nil"/>
              <w:left w:val="nil"/>
              <w:bottom w:val="nil"/>
              <w:right w:val="nil"/>
            </w:tcBorders>
            <w:shd w:val="clear" w:color="auto" w:fill="auto"/>
            <w:noWrap/>
            <w:vAlign w:val="bottom"/>
            <w:hideMark/>
          </w:tcPr>
          <w:p w14:paraId="4F1A8FD5" w14:textId="77777777" w:rsidR="00634ABA" w:rsidRPr="00986F85" w:rsidRDefault="00634ABA" w:rsidP="00476987">
            <w:pPr>
              <w:spacing w:after="0" w:line="240" w:lineRule="auto"/>
              <w:rPr>
                <w:rFonts w:eastAsia="Times New Roman"/>
                <w:color w:val="000000"/>
                <w:lang w:eastAsia="hu-HU"/>
              </w:rPr>
            </w:pPr>
          </w:p>
        </w:tc>
        <w:tc>
          <w:tcPr>
            <w:tcW w:w="819" w:type="dxa"/>
            <w:tcBorders>
              <w:top w:val="nil"/>
              <w:left w:val="nil"/>
              <w:bottom w:val="nil"/>
              <w:right w:val="nil"/>
            </w:tcBorders>
            <w:shd w:val="clear" w:color="auto" w:fill="auto"/>
            <w:noWrap/>
            <w:vAlign w:val="bottom"/>
            <w:hideMark/>
          </w:tcPr>
          <w:p w14:paraId="490CB825" w14:textId="77777777" w:rsidR="00634ABA" w:rsidRPr="00986F85" w:rsidRDefault="00634ABA" w:rsidP="00476987">
            <w:pPr>
              <w:spacing w:after="0" w:line="240" w:lineRule="auto"/>
              <w:rPr>
                <w:rFonts w:eastAsia="Times New Roman"/>
                <w:color w:val="000000"/>
                <w:lang w:eastAsia="hu-HU"/>
              </w:rPr>
            </w:pPr>
          </w:p>
        </w:tc>
      </w:tr>
      <w:tr w:rsidR="00634ABA" w:rsidRPr="00986F85" w14:paraId="373CB40A" w14:textId="77777777" w:rsidTr="00476987">
        <w:trPr>
          <w:trHeight w:val="285"/>
        </w:trPr>
        <w:tc>
          <w:tcPr>
            <w:tcW w:w="406" w:type="dxa"/>
            <w:vMerge w:val="restart"/>
            <w:tcBorders>
              <w:top w:val="nil"/>
              <w:left w:val="nil"/>
              <w:bottom w:val="nil"/>
              <w:right w:val="nil"/>
            </w:tcBorders>
            <w:shd w:val="clear" w:color="auto" w:fill="auto"/>
            <w:noWrap/>
            <w:textDirection w:val="btLr"/>
            <w:vAlign w:val="bottom"/>
            <w:hideMark/>
          </w:tcPr>
          <w:p w14:paraId="30541EF4" w14:textId="77777777" w:rsidR="00634ABA" w:rsidRPr="00986F85" w:rsidRDefault="00634ABA" w:rsidP="00476987">
            <w:pPr>
              <w:spacing w:after="0" w:line="240" w:lineRule="auto"/>
              <w:jc w:val="center"/>
              <w:rPr>
                <w:rFonts w:eastAsia="Times New Roman"/>
                <w:b/>
                <w:color w:val="000000"/>
                <w:lang w:eastAsia="hu-HU"/>
              </w:rPr>
            </w:pPr>
            <w:r w:rsidRPr="00986F85">
              <w:rPr>
                <w:rFonts w:eastAsia="Times New Roman"/>
                <w:b/>
                <w:color w:val="000000"/>
                <w:lang w:eastAsia="hu-HU"/>
              </w:rPr>
              <w:t>Nyertes</w:t>
            </w:r>
          </w:p>
        </w:tc>
        <w:tc>
          <w:tcPr>
            <w:tcW w:w="2571" w:type="dxa"/>
            <w:tcBorders>
              <w:top w:val="nil"/>
              <w:left w:val="nil"/>
              <w:bottom w:val="nil"/>
              <w:right w:val="nil"/>
            </w:tcBorders>
            <w:shd w:val="clear" w:color="auto" w:fill="auto"/>
            <w:noWrap/>
            <w:vAlign w:val="bottom"/>
            <w:hideMark/>
          </w:tcPr>
          <w:p w14:paraId="2634447E"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Foglalkoztatottak száma (%)</w:t>
            </w:r>
          </w:p>
        </w:tc>
        <w:tc>
          <w:tcPr>
            <w:tcW w:w="819" w:type="dxa"/>
            <w:tcBorders>
              <w:top w:val="nil"/>
              <w:left w:val="nil"/>
              <w:bottom w:val="nil"/>
              <w:right w:val="nil"/>
            </w:tcBorders>
            <w:shd w:val="clear" w:color="auto" w:fill="auto"/>
            <w:noWrap/>
            <w:vAlign w:val="bottom"/>
            <w:hideMark/>
          </w:tcPr>
          <w:p w14:paraId="3E34650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5.9</w:t>
            </w:r>
          </w:p>
        </w:tc>
        <w:tc>
          <w:tcPr>
            <w:tcW w:w="819" w:type="dxa"/>
            <w:tcBorders>
              <w:top w:val="nil"/>
              <w:left w:val="nil"/>
              <w:bottom w:val="nil"/>
              <w:right w:val="nil"/>
            </w:tcBorders>
            <w:shd w:val="clear" w:color="auto" w:fill="auto"/>
            <w:noWrap/>
            <w:vAlign w:val="bottom"/>
            <w:hideMark/>
          </w:tcPr>
          <w:p w14:paraId="7B155DF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11.1</w:t>
            </w:r>
          </w:p>
        </w:tc>
        <w:tc>
          <w:tcPr>
            <w:tcW w:w="819" w:type="dxa"/>
            <w:tcBorders>
              <w:top w:val="nil"/>
              <w:left w:val="nil"/>
              <w:bottom w:val="nil"/>
              <w:right w:val="nil"/>
            </w:tcBorders>
            <w:shd w:val="clear" w:color="auto" w:fill="auto"/>
            <w:noWrap/>
            <w:vAlign w:val="bottom"/>
            <w:hideMark/>
          </w:tcPr>
          <w:p w14:paraId="7DC1C58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19" w:type="dxa"/>
            <w:tcBorders>
              <w:top w:val="nil"/>
              <w:left w:val="nil"/>
              <w:bottom w:val="nil"/>
              <w:right w:val="nil"/>
            </w:tcBorders>
            <w:shd w:val="clear" w:color="auto" w:fill="auto"/>
            <w:noWrap/>
            <w:vAlign w:val="bottom"/>
            <w:hideMark/>
          </w:tcPr>
          <w:p w14:paraId="0DC4E51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10</w:t>
            </w:r>
          </w:p>
        </w:tc>
        <w:tc>
          <w:tcPr>
            <w:tcW w:w="819" w:type="dxa"/>
            <w:tcBorders>
              <w:top w:val="nil"/>
              <w:left w:val="nil"/>
              <w:bottom w:val="nil"/>
              <w:right w:val="nil"/>
            </w:tcBorders>
            <w:shd w:val="clear" w:color="auto" w:fill="auto"/>
            <w:noWrap/>
            <w:vAlign w:val="bottom"/>
            <w:hideMark/>
          </w:tcPr>
          <w:p w14:paraId="5594F9E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929" w:type="dxa"/>
            <w:tcBorders>
              <w:top w:val="nil"/>
              <w:left w:val="nil"/>
              <w:bottom w:val="nil"/>
              <w:right w:val="nil"/>
            </w:tcBorders>
            <w:shd w:val="clear" w:color="auto" w:fill="auto"/>
            <w:noWrap/>
            <w:vAlign w:val="bottom"/>
            <w:hideMark/>
          </w:tcPr>
          <w:p w14:paraId="4F449B6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12.5</w:t>
            </w:r>
          </w:p>
        </w:tc>
        <w:tc>
          <w:tcPr>
            <w:tcW w:w="819" w:type="dxa"/>
            <w:tcBorders>
              <w:top w:val="nil"/>
              <w:left w:val="nil"/>
              <w:bottom w:val="nil"/>
              <w:right w:val="nil"/>
            </w:tcBorders>
            <w:shd w:val="clear" w:color="auto" w:fill="auto"/>
            <w:noWrap/>
            <w:vAlign w:val="bottom"/>
            <w:hideMark/>
          </w:tcPr>
          <w:p w14:paraId="160B12B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12.5</w:t>
            </w:r>
          </w:p>
        </w:tc>
        <w:tc>
          <w:tcPr>
            <w:tcW w:w="819" w:type="dxa"/>
            <w:tcBorders>
              <w:top w:val="nil"/>
              <w:left w:val="nil"/>
              <w:bottom w:val="nil"/>
              <w:right w:val="nil"/>
            </w:tcBorders>
            <w:shd w:val="clear" w:color="auto" w:fill="auto"/>
            <w:noWrap/>
            <w:vAlign w:val="bottom"/>
            <w:hideMark/>
          </w:tcPr>
          <w:p w14:paraId="41D8DA5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8.3</w:t>
            </w:r>
          </w:p>
        </w:tc>
      </w:tr>
      <w:tr w:rsidR="00634ABA" w:rsidRPr="00986F85" w14:paraId="72AD5260" w14:textId="77777777" w:rsidTr="00476987">
        <w:trPr>
          <w:trHeight w:val="285"/>
        </w:trPr>
        <w:tc>
          <w:tcPr>
            <w:tcW w:w="406" w:type="dxa"/>
            <w:vMerge/>
            <w:tcBorders>
              <w:top w:val="nil"/>
              <w:left w:val="nil"/>
              <w:bottom w:val="nil"/>
              <w:right w:val="nil"/>
            </w:tcBorders>
            <w:vAlign w:val="center"/>
            <w:hideMark/>
          </w:tcPr>
          <w:p w14:paraId="2ED3B036" w14:textId="77777777" w:rsidR="00634ABA" w:rsidRPr="00986F85" w:rsidRDefault="00634ABA" w:rsidP="00476987">
            <w:pPr>
              <w:spacing w:after="0" w:line="240" w:lineRule="auto"/>
              <w:rPr>
                <w:rFonts w:eastAsia="Times New Roman"/>
                <w:color w:val="000000"/>
                <w:lang w:eastAsia="hu-HU"/>
              </w:rPr>
            </w:pPr>
          </w:p>
        </w:tc>
        <w:tc>
          <w:tcPr>
            <w:tcW w:w="2571" w:type="dxa"/>
            <w:tcBorders>
              <w:top w:val="nil"/>
              <w:left w:val="nil"/>
              <w:bottom w:val="nil"/>
              <w:right w:val="nil"/>
            </w:tcBorders>
            <w:shd w:val="clear" w:color="auto" w:fill="auto"/>
            <w:noWrap/>
            <w:vAlign w:val="bottom"/>
            <w:hideMark/>
          </w:tcPr>
          <w:p w14:paraId="0A1BD386"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Nettó árbevétel (%)</w:t>
            </w:r>
          </w:p>
        </w:tc>
        <w:tc>
          <w:tcPr>
            <w:tcW w:w="819" w:type="dxa"/>
            <w:tcBorders>
              <w:top w:val="nil"/>
              <w:left w:val="nil"/>
              <w:bottom w:val="nil"/>
              <w:right w:val="nil"/>
            </w:tcBorders>
            <w:shd w:val="clear" w:color="auto" w:fill="auto"/>
            <w:noWrap/>
            <w:vAlign w:val="bottom"/>
            <w:hideMark/>
          </w:tcPr>
          <w:p w14:paraId="688E6F3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23.2</w:t>
            </w:r>
          </w:p>
        </w:tc>
        <w:tc>
          <w:tcPr>
            <w:tcW w:w="819" w:type="dxa"/>
            <w:tcBorders>
              <w:top w:val="nil"/>
              <w:left w:val="nil"/>
              <w:bottom w:val="nil"/>
              <w:right w:val="nil"/>
            </w:tcBorders>
            <w:shd w:val="clear" w:color="auto" w:fill="auto"/>
            <w:noWrap/>
            <w:vAlign w:val="bottom"/>
            <w:hideMark/>
          </w:tcPr>
          <w:p w14:paraId="3B4E031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22</w:t>
            </w:r>
          </w:p>
        </w:tc>
        <w:tc>
          <w:tcPr>
            <w:tcW w:w="819" w:type="dxa"/>
            <w:tcBorders>
              <w:top w:val="nil"/>
              <w:left w:val="nil"/>
              <w:bottom w:val="nil"/>
              <w:right w:val="nil"/>
            </w:tcBorders>
            <w:shd w:val="clear" w:color="auto" w:fill="auto"/>
            <w:noWrap/>
            <w:vAlign w:val="bottom"/>
            <w:hideMark/>
          </w:tcPr>
          <w:p w14:paraId="3AD8C52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15.8</w:t>
            </w:r>
          </w:p>
        </w:tc>
        <w:tc>
          <w:tcPr>
            <w:tcW w:w="819" w:type="dxa"/>
            <w:tcBorders>
              <w:top w:val="nil"/>
              <w:left w:val="nil"/>
              <w:bottom w:val="nil"/>
              <w:right w:val="nil"/>
            </w:tcBorders>
            <w:shd w:val="clear" w:color="auto" w:fill="auto"/>
            <w:noWrap/>
            <w:vAlign w:val="bottom"/>
            <w:hideMark/>
          </w:tcPr>
          <w:p w14:paraId="2910F79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12.7</w:t>
            </w:r>
          </w:p>
        </w:tc>
        <w:tc>
          <w:tcPr>
            <w:tcW w:w="819" w:type="dxa"/>
            <w:tcBorders>
              <w:top w:val="nil"/>
              <w:left w:val="nil"/>
              <w:bottom w:val="nil"/>
              <w:right w:val="nil"/>
            </w:tcBorders>
            <w:shd w:val="clear" w:color="auto" w:fill="auto"/>
            <w:noWrap/>
            <w:vAlign w:val="bottom"/>
            <w:hideMark/>
          </w:tcPr>
          <w:p w14:paraId="0AF6FDB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25.3</w:t>
            </w:r>
          </w:p>
        </w:tc>
        <w:tc>
          <w:tcPr>
            <w:tcW w:w="929" w:type="dxa"/>
            <w:tcBorders>
              <w:top w:val="nil"/>
              <w:left w:val="nil"/>
              <w:bottom w:val="nil"/>
              <w:right w:val="nil"/>
            </w:tcBorders>
            <w:shd w:val="clear" w:color="auto" w:fill="auto"/>
            <w:noWrap/>
            <w:vAlign w:val="bottom"/>
            <w:hideMark/>
          </w:tcPr>
          <w:p w14:paraId="40707FF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22.3</w:t>
            </w:r>
          </w:p>
        </w:tc>
        <w:tc>
          <w:tcPr>
            <w:tcW w:w="819" w:type="dxa"/>
            <w:tcBorders>
              <w:top w:val="nil"/>
              <w:left w:val="nil"/>
              <w:bottom w:val="nil"/>
              <w:right w:val="nil"/>
            </w:tcBorders>
            <w:shd w:val="clear" w:color="auto" w:fill="auto"/>
            <w:noWrap/>
            <w:vAlign w:val="bottom"/>
            <w:hideMark/>
          </w:tcPr>
          <w:p w14:paraId="36E9234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27.4</w:t>
            </w:r>
          </w:p>
        </w:tc>
        <w:tc>
          <w:tcPr>
            <w:tcW w:w="819" w:type="dxa"/>
            <w:tcBorders>
              <w:top w:val="nil"/>
              <w:left w:val="nil"/>
              <w:bottom w:val="nil"/>
              <w:right w:val="nil"/>
            </w:tcBorders>
            <w:shd w:val="clear" w:color="auto" w:fill="auto"/>
            <w:noWrap/>
            <w:vAlign w:val="bottom"/>
            <w:hideMark/>
          </w:tcPr>
          <w:p w14:paraId="28FC509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22.2</w:t>
            </w:r>
          </w:p>
        </w:tc>
      </w:tr>
      <w:tr w:rsidR="00634ABA" w:rsidRPr="00986F85" w14:paraId="36FBB0C7" w14:textId="77777777" w:rsidTr="00476987">
        <w:trPr>
          <w:trHeight w:val="285"/>
        </w:trPr>
        <w:tc>
          <w:tcPr>
            <w:tcW w:w="406" w:type="dxa"/>
            <w:vMerge/>
            <w:tcBorders>
              <w:top w:val="nil"/>
              <w:left w:val="nil"/>
              <w:bottom w:val="nil"/>
              <w:right w:val="nil"/>
            </w:tcBorders>
            <w:vAlign w:val="center"/>
            <w:hideMark/>
          </w:tcPr>
          <w:p w14:paraId="7E3E27AE" w14:textId="77777777" w:rsidR="00634ABA" w:rsidRPr="00986F85" w:rsidRDefault="00634ABA" w:rsidP="00476987">
            <w:pPr>
              <w:spacing w:after="0" w:line="240" w:lineRule="auto"/>
              <w:rPr>
                <w:rFonts w:eastAsia="Times New Roman"/>
                <w:color w:val="000000"/>
                <w:lang w:eastAsia="hu-HU"/>
              </w:rPr>
            </w:pPr>
          </w:p>
        </w:tc>
        <w:tc>
          <w:tcPr>
            <w:tcW w:w="2571" w:type="dxa"/>
            <w:tcBorders>
              <w:top w:val="nil"/>
              <w:left w:val="nil"/>
              <w:bottom w:val="nil"/>
              <w:right w:val="nil"/>
            </w:tcBorders>
            <w:shd w:val="clear" w:color="auto" w:fill="auto"/>
            <w:noWrap/>
            <w:vAlign w:val="bottom"/>
            <w:hideMark/>
          </w:tcPr>
          <w:p w14:paraId="31853353"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Egy foglalkoztatottra eső árbevétel (%)</w:t>
            </w:r>
          </w:p>
        </w:tc>
        <w:tc>
          <w:tcPr>
            <w:tcW w:w="819" w:type="dxa"/>
            <w:tcBorders>
              <w:top w:val="nil"/>
              <w:left w:val="nil"/>
              <w:bottom w:val="nil"/>
              <w:right w:val="nil"/>
            </w:tcBorders>
            <w:shd w:val="clear" w:color="auto" w:fill="auto"/>
            <w:noWrap/>
            <w:vAlign w:val="bottom"/>
            <w:hideMark/>
          </w:tcPr>
          <w:p w14:paraId="5E0ECD6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16.8</w:t>
            </w:r>
          </w:p>
        </w:tc>
        <w:tc>
          <w:tcPr>
            <w:tcW w:w="819" w:type="dxa"/>
            <w:tcBorders>
              <w:top w:val="nil"/>
              <w:left w:val="nil"/>
              <w:bottom w:val="nil"/>
              <w:right w:val="nil"/>
            </w:tcBorders>
            <w:shd w:val="clear" w:color="auto" w:fill="auto"/>
            <w:noWrap/>
            <w:vAlign w:val="bottom"/>
            <w:hideMark/>
          </w:tcPr>
          <w:p w14:paraId="78EA782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9.8</w:t>
            </w:r>
          </w:p>
        </w:tc>
        <w:tc>
          <w:tcPr>
            <w:tcW w:w="819" w:type="dxa"/>
            <w:tcBorders>
              <w:top w:val="nil"/>
              <w:left w:val="nil"/>
              <w:bottom w:val="nil"/>
              <w:right w:val="nil"/>
            </w:tcBorders>
            <w:shd w:val="clear" w:color="auto" w:fill="auto"/>
            <w:noWrap/>
            <w:vAlign w:val="bottom"/>
            <w:hideMark/>
          </w:tcPr>
          <w:p w14:paraId="56104F8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14.1</w:t>
            </w:r>
          </w:p>
        </w:tc>
        <w:tc>
          <w:tcPr>
            <w:tcW w:w="819" w:type="dxa"/>
            <w:tcBorders>
              <w:top w:val="nil"/>
              <w:left w:val="nil"/>
              <w:bottom w:val="nil"/>
              <w:right w:val="nil"/>
            </w:tcBorders>
            <w:shd w:val="clear" w:color="auto" w:fill="auto"/>
            <w:noWrap/>
            <w:vAlign w:val="bottom"/>
            <w:hideMark/>
          </w:tcPr>
          <w:p w14:paraId="4AC8B6E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7.6</w:t>
            </w:r>
          </w:p>
        </w:tc>
        <w:tc>
          <w:tcPr>
            <w:tcW w:w="819" w:type="dxa"/>
            <w:tcBorders>
              <w:top w:val="nil"/>
              <w:left w:val="nil"/>
              <w:bottom w:val="nil"/>
              <w:right w:val="nil"/>
            </w:tcBorders>
            <w:shd w:val="clear" w:color="auto" w:fill="auto"/>
            <w:noWrap/>
            <w:vAlign w:val="bottom"/>
            <w:hideMark/>
          </w:tcPr>
          <w:p w14:paraId="111D9E3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26.8</w:t>
            </w:r>
          </w:p>
        </w:tc>
        <w:tc>
          <w:tcPr>
            <w:tcW w:w="929" w:type="dxa"/>
            <w:tcBorders>
              <w:top w:val="nil"/>
              <w:left w:val="nil"/>
              <w:bottom w:val="nil"/>
              <w:right w:val="nil"/>
            </w:tcBorders>
            <w:shd w:val="clear" w:color="auto" w:fill="auto"/>
            <w:noWrap/>
            <w:vAlign w:val="bottom"/>
            <w:hideMark/>
          </w:tcPr>
          <w:p w14:paraId="384BD68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8.1</w:t>
            </w:r>
          </w:p>
        </w:tc>
        <w:tc>
          <w:tcPr>
            <w:tcW w:w="819" w:type="dxa"/>
            <w:tcBorders>
              <w:top w:val="nil"/>
              <w:left w:val="nil"/>
              <w:bottom w:val="nil"/>
              <w:right w:val="nil"/>
            </w:tcBorders>
            <w:shd w:val="clear" w:color="auto" w:fill="auto"/>
            <w:noWrap/>
            <w:vAlign w:val="bottom"/>
            <w:hideMark/>
          </w:tcPr>
          <w:p w14:paraId="507219D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11.2</w:t>
            </w:r>
          </w:p>
        </w:tc>
        <w:tc>
          <w:tcPr>
            <w:tcW w:w="819" w:type="dxa"/>
            <w:tcBorders>
              <w:top w:val="nil"/>
              <w:left w:val="nil"/>
              <w:bottom w:val="nil"/>
              <w:right w:val="nil"/>
            </w:tcBorders>
            <w:shd w:val="clear" w:color="auto" w:fill="auto"/>
            <w:noWrap/>
            <w:vAlign w:val="bottom"/>
            <w:hideMark/>
          </w:tcPr>
          <w:p w14:paraId="44561F4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12.4</w:t>
            </w:r>
          </w:p>
        </w:tc>
      </w:tr>
      <w:tr w:rsidR="00634ABA" w:rsidRPr="00986F85" w14:paraId="6FD46D6B" w14:textId="77777777" w:rsidTr="00476987">
        <w:trPr>
          <w:trHeight w:val="285"/>
        </w:trPr>
        <w:tc>
          <w:tcPr>
            <w:tcW w:w="406" w:type="dxa"/>
            <w:vMerge/>
            <w:tcBorders>
              <w:top w:val="nil"/>
              <w:left w:val="nil"/>
              <w:bottom w:val="nil"/>
              <w:right w:val="nil"/>
            </w:tcBorders>
            <w:vAlign w:val="center"/>
            <w:hideMark/>
          </w:tcPr>
          <w:p w14:paraId="70B99A08" w14:textId="77777777" w:rsidR="00634ABA" w:rsidRPr="00986F85" w:rsidRDefault="00634ABA" w:rsidP="00476987">
            <w:pPr>
              <w:spacing w:after="0" w:line="240" w:lineRule="auto"/>
              <w:rPr>
                <w:rFonts w:eastAsia="Times New Roman"/>
                <w:color w:val="000000"/>
                <w:lang w:eastAsia="hu-HU"/>
              </w:rPr>
            </w:pPr>
          </w:p>
        </w:tc>
        <w:tc>
          <w:tcPr>
            <w:tcW w:w="2571" w:type="dxa"/>
            <w:tcBorders>
              <w:top w:val="nil"/>
              <w:left w:val="nil"/>
              <w:bottom w:val="nil"/>
              <w:right w:val="nil"/>
            </w:tcBorders>
            <w:shd w:val="clear" w:color="auto" w:fill="auto"/>
            <w:noWrap/>
            <w:vAlign w:val="bottom"/>
            <w:hideMark/>
          </w:tcPr>
          <w:p w14:paraId="1B5719A6"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Tárgyi eszköz (%)</w:t>
            </w:r>
          </w:p>
        </w:tc>
        <w:tc>
          <w:tcPr>
            <w:tcW w:w="819" w:type="dxa"/>
            <w:tcBorders>
              <w:top w:val="nil"/>
              <w:left w:val="nil"/>
              <w:bottom w:val="nil"/>
              <w:right w:val="nil"/>
            </w:tcBorders>
            <w:shd w:val="clear" w:color="auto" w:fill="auto"/>
            <w:noWrap/>
            <w:vAlign w:val="bottom"/>
            <w:hideMark/>
          </w:tcPr>
          <w:p w14:paraId="777FA8C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32.4</w:t>
            </w:r>
          </w:p>
        </w:tc>
        <w:tc>
          <w:tcPr>
            <w:tcW w:w="819" w:type="dxa"/>
            <w:tcBorders>
              <w:top w:val="nil"/>
              <w:left w:val="nil"/>
              <w:bottom w:val="nil"/>
              <w:right w:val="nil"/>
            </w:tcBorders>
            <w:shd w:val="clear" w:color="auto" w:fill="auto"/>
            <w:noWrap/>
            <w:vAlign w:val="bottom"/>
            <w:hideMark/>
          </w:tcPr>
          <w:p w14:paraId="777AD25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34.5</w:t>
            </w:r>
          </w:p>
        </w:tc>
        <w:tc>
          <w:tcPr>
            <w:tcW w:w="819" w:type="dxa"/>
            <w:tcBorders>
              <w:top w:val="nil"/>
              <w:left w:val="nil"/>
              <w:bottom w:val="nil"/>
              <w:right w:val="nil"/>
            </w:tcBorders>
            <w:shd w:val="clear" w:color="auto" w:fill="auto"/>
            <w:noWrap/>
            <w:vAlign w:val="bottom"/>
            <w:hideMark/>
          </w:tcPr>
          <w:p w14:paraId="3DE3BA0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47.7</w:t>
            </w:r>
          </w:p>
        </w:tc>
        <w:tc>
          <w:tcPr>
            <w:tcW w:w="819" w:type="dxa"/>
            <w:tcBorders>
              <w:top w:val="nil"/>
              <w:left w:val="nil"/>
              <w:bottom w:val="nil"/>
              <w:right w:val="nil"/>
            </w:tcBorders>
            <w:shd w:val="clear" w:color="auto" w:fill="auto"/>
            <w:noWrap/>
            <w:vAlign w:val="bottom"/>
            <w:hideMark/>
          </w:tcPr>
          <w:p w14:paraId="6465875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35.1</w:t>
            </w:r>
          </w:p>
        </w:tc>
        <w:tc>
          <w:tcPr>
            <w:tcW w:w="819" w:type="dxa"/>
            <w:tcBorders>
              <w:top w:val="nil"/>
              <w:left w:val="nil"/>
              <w:bottom w:val="nil"/>
              <w:right w:val="nil"/>
            </w:tcBorders>
            <w:shd w:val="clear" w:color="auto" w:fill="auto"/>
            <w:noWrap/>
            <w:vAlign w:val="bottom"/>
            <w:hideMark/>
          </w:tcPr>
          <w:p w14:paraId="260545A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48.6</w:t>
            </w:r>
          </w:p>
        </w:tc>
        <w:tc>
          <w:tcPr>
            <w:tcW w:w="929" w:type="dxa"/>
            <w:tcBorders>
              <w:top w:val="nil"/>
              <w:left w:val="nil"/>
              <w:bottom w:val="nil"/>
              <w:right w:val="nil"/>
            </w:tcBorders>
            <w:shd w:val="clear" w:color="auto" w:fill="auto"/>
            <w:noWrap/>
            <w:vAlign w:val="bottom"/>
            <w:hideMark/>
          </w:tcPr>
          <w:p w14:paraId="334D207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29.5</w:t>
            </w:r>
          </w:p>
        </w:tc>
        <w:tc>
          <w:tcPr>
            <w:tcW w:w="819" w:type="dxa"/>
            <w:tcBorders>
              <w:top w:val="nil"/>
              <w:left w:val="nil"/>
              <w:bottom w:val="nil"/>
              <w:right w:val="nil"/>
            </w:tcBorders>
            <w:shd w:val="clear" w:color="auto" w:fill="auto"/>
            <w:noWrap/>
            <w:vAlign w:val="bottom"/>
            <w:hideMark/>
          </w:tcPr>
          <w:p w14:paraId="30E302B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21.7</w:t>
            </w:r>
          </w:p>
        </w:tc>
        <w:tc>
          <w:tcPr>
            <w:tcW w:w="819" w:type="dxa"/>
            <w:tcBorders>
              <w:top w:val="nil"/>
              <w:left w:val="nil"/>
              <w:bottom w:val="nil"/>
              <w:right w:val="nil"/>
            </w:tcBorders>
            <w:shd w:val="clear" w:color="auto" w:fill="auto"/>
            <w:noWrap/>
            <w:vAlign w:val="bottom"/>
            <w:hideMark/>
          </w:tcPr>
          <w:p w14:paraId="0FEC1AF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34.5</w:t>
            </w:r>
          </w:p>
        </w:tc>
      </w:tr>
      <w:tr w:rsidR="00634ABA" w:rsidRPr="00986F85" w14:paraId="303A270D" w14:textId="77777777" w:rsidTr="00476987">
        <w:trPr>
          <w:trHeight w:val="285"/>
        </w:trPr>
        <w:tc>
          <w:tcPr>
            <w:tcW w:w="406" w:type="dxa"/>
            <w:vMerge/>
            <w:tcBorders>
              <w:top w:val="nil"/>
              <w:left w:val="nil"/>
              <w:bottom w:val="nil"/>
              <w:right w:val="nil"/>
            </w:tcBorders>
            <w:vAlign w:val="center"/>
            <w:hideMark/>
          </w:tcPr>
          <w:p w14:paraId="43769855" w14:textId="77777777" w:rsidR="00634ABA" w:rsidRPr="00986F85" w:rsidRDefault="00634ABA" w:rsidP="00476987">
            <w:pPr>
              <w:spacing w:after="0" w:line="240" w:lineRule="auto"/>
              <w:rPr>
                <w:rFonts w:eastAsia="Times New Roman"/>
                <w:color w:val="000000"/>
                <w:lang w:eastAsia="hu-HU"/>
              </w:rPr>
            </w:pPr>
          </w:p>
        </w:tc>
        <w:tc>
          <w:tcPr>
            <w:tcW w:w="2571" w:type="dxa"/>
            <w:tcBorders>
              <w:top w:val="nil"/>
              <w:left w:val="nil"/>
              <w:bottom w:val="nil"/>
              <w:right w:val="nil"/>
            </w:tcBorders>
            <w:shd w:val="clear" w:color="auto" w:fill="auto"/>
            <w:noWrap/>
            <w:vAlign w:val="bottom"/>
            <w:hideMark/>
          </w:tcPr>
          <w:p w14:paraId="37BED576"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Tőkeintenzitás (%)</w:t>
            </w:r>
          </w:p>
        </w:tc>
        <w:tc>
          <w:tcPr>
            <w:tcW w:w="819" w:type="dxa"/>
            <w:tcBorders>
              <w:top w:val="nil"/>
              <w:left w:val="nil"/>
              <w:bottom w:val="nil"/>
              <w:right w:val="nil"/>
            </w:tcBorders>
            <w:shd w:val="clear" w:color="auto" w:fill="auto"/>
            <w:noWrap/>
            <w:vAlign w:val="bottom"/>
            <w:hideMark/>
          </w:tcPr>
          <w:p w14:paraId="2F0FEEE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26.2</w:t>
            </w:r>
          </w:p>
        </w:tc>
        <w:tc>
          <w:tcPr>
            <w:tcW w:w="819" w:type="dxa"/>
            <w:tcBorders>
              <w:top w:val="nil"/>
              <w:left w:val="nil"/>
              <w:bottom w:val="nil"/>
              <w:right w:val="nil"/>
            </w:tcBorders>
            <w:shd w:val="clear" w:color="auto" w:fill="auto"/>
            <w:noWrap/>
            <w:vAlign w:val="bottom"/>
            <w:hideMark/>
          </w:tcPr>
          <w:p w14:paraId="114BED8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35.2</w:t>
            </w:r>
          </w:p>
        </w:tc>
        <w:tc>
          <w:tcPr>
            <w:tcW w:w="819" w:type="dxa"/>
            <w:tcBorders>
              <w:top w:val="nil"/>
              <w:left w:val="nil"/>
              <w:bottom w:val="nil"/>
              <w:right w:val="nil"/>
            </w:tcBorders>
            <w:shd w:val="clear" w:color="auto" w:fill="auto"/>
            <w:noWrap/>
            <w:vAlign w:val="bottom"/>
            <w:hideMark/>
          </w:tcPr>
          <w:p w14:paraId="28E3377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43</w:t>
            </w:r>
          </w:p>
        </w:tc>
        <w:tc>
          <w:tcPr>
            <w:tcW w:w="819" w:type="dxa"/>
            <w:tcBorders>
              <w:top w:val="nil"/>
              <w:left w:val="nil"/>
              <w:bottom w:val="nil"/>
              <w:right w:val="nil"/>
            </w:tcBorders>
            <w:shd w:val="clear" w:color="auto" w:fill="auto"/>
            <w:noWrap/>
            <w:vAlign w:val="bottom"/>
            <w:hideMark/>
          </w:tcPr>
          <w:p w14:paraId="2FD2D22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15.1</w:t>
            </w:r>
          </w:p>
        </w:tc>
        <w:tc>
          <w:tcPr>
            <w:tcW w:w="819" w:type="dxa"/>
            <w:tcBorders>
              <w:top w:val="nil"/>
              <w:left w:val="nil"/>
              <w:bottom w:val="nil"/>
              <w:right w:val="nil"/>
            </w:tcBorders>
            <w:shd w:val="clear" w:color="auto" w:fill="auto"/>
            <w:noWrap/>
            <w:vAlign w:val="bottom"/>
            <w:hideMark/>
          </w:tcPr>
          <w:p w14:paraId="45D3FAE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79</w:t>
            </w:r>
          </w:p>
        </w:tc>
        <w:tc>
          <w:tcPr>
            <w:tcW w:w="929" w:type="dxa"/>
            <w:tcBorders>
              <w:top w:val="nil"/>
              <w:left w:val="nil"/>
              <w:bottom w:val="nil"/>
              <w:right w:val="nil"/>
            </w:tcBorders>
            <w:shd w:val="clear" w:color="auto" w:fill="auto"/>
            <w:noWrap/>
            <w:vAlign w:val="bottom"/>
            <w:hideMark/>
          </w:tcPr>
          <w:p w14:paraId="704E461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14.3</w:t>
            </w:r>
          </w:p>
        </w:tc>
        <w:tc>
          <w:tcPr>
            <w:tcW w:w="819" w:type="dxa"/>
            <w:tcBorders>
              <w:top w:val="nil"/>
              <w:left w:val="nil"/>
              <w:bottom w:val="nil"/>
              <w:right w:val="nil"/>
            </w:tcBorders>
            <w:shd w:val="clear" w:color="auto" w:fill="auto"/>
            <w:noWrap/>
            <w:vAlign w:val="bottom"/>
            <w:hideMark/>
          </w:tcPr>
          <w:p w14:paraId="05E4B59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11</w:t>
            </w:r>
          </w:p>
        </w:tc>
        <w:tc>
          <w:tcPr>
            <w:tcW w:w="819" w:type="dxa"/>
            <w:tcBorders>
              <w:top w:val="nil"/>
              <w:left w:val="nil"/>
              <w:bottom w:val="nil"/>
              <w:right w:val="nil"/>
            </w:tcBorders>
            <w:shd w:val="clear" w:color="auto" w:fill="auto"/>
            <w:noWrap/>
            <w:vAlign w:val="bottom"/>
            <w:hideMark/>
          </w:tcPr>
          <w:p w14:paraId="3216D01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27.3</w:t>
            </w:r>
          </w:p>
        </w:tc>
      </w:tr>
      <w:tr w:rsidR="00634ABA" w:rsidRPr="00986F85" w14:paraId="1F93CA3F" w14:textId="77777777" w:rsidTr="00476987">
        <w:trPr>
          <w:trHeight w:val="285"/>
        </w:trPr>
        <w:tc>
          <w:tcPr>
            <w:tcW w:w="406" w:type="dxa"/>
            <w:vMerge/>
            <w:tcBorders>
              <w:top w:val="nil"/>
              <w:left w:val="nil"/>
              <w:bottom w:val="nil"/>
              <w:right w:val="nil"/>
            </w:tcBorders>
            <w:vAlign w:val="center"/>
            <w:hideMark/>
          </w:tcPr>
          <w:p w14:paraId="41F8DAA4" w14:textId="77777777" w:rsidR="00634ABA" w:rsidRPr="00986F85" w:rsidRDefault="00634ABA" w:rsidP="00476987">
            <w:pPr>
              <w:spacing w:after="0" w:line="240" w:lineRule="auto"/>
              <w:rPr>
                <w:rFonts w:eastAsia="Times New Roman"/>
                <w:color w:val="000000"/>
                <w:lang w:eastAsia="hu-HU"/>
              </w:rPr>
            </w:pPr>
          </w:p>
        </w:tc>
        <w:tc>
          <w:tcPr>
            <w:tcW w:w="2571" w:type="dxa"/>
            <w:tcBorders>
              <w:top w:val="nil"/>
              <w:left w:val="nil"/>
              <w:bottom w:val="nil"/>
              <w:right w:val="nil"/>
            </w:tcBorders>
            <w:shd w:val="clear" w:color="auto" w:fill="auto"/>
            <w:noWrap/>
            <w:vAlign w:val="bottom"/>
            <w:hideMark/>
          </w:tcPr>
          <w:p w14:paraId="02E892E8"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Jegyzett tőke</w:t>
            </w:r>
          </w:p>
        </w:tc>
        <w:tc>
          <w:tcPr>
            <w:tcW w:w="819" w:type="dxa"/>
            <w:tcBorders>
              <w:top w:val="nil"/>
              <w:left w:val="nil"/>
              <w:bottom w:val="nil"/>
              <w:right w:val="nil"/>
            </w:tcBorders>
            <w:shd w:val="clear" w:color="auto" w:fill="auto"/>
            <w:noWrap/>
            <w:vAlign w:val="bottom"/>
            <w:hideMark/>
          </w:tcPr>
          <w:p w14:paraId="2F58932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19" w:type="dxa"/>
            <w:tcBorders>
              <w:top w:val="nil"/>
              <w:left w:val="nil"/>
              <w:bottom w:val="nil"/>
              <w:right w:val="nil"/>
            </w:tcBorders>
            <w:shd w:val="clear" w:color="auto" w:fill="auto"/>
            <w:noWrap/>
            <w:vAlign w:val="bottom"/>
            <w:hideMark/>
          </w:tcPr>
          <w:p w14:paraId="7411A32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19" w:type="dxa"/>
            <w:tcBorders>
              <w:top w:val="nil"/>
              <w:left w:val="nil"/>
              <w:bottom w:val="nil"/>
              <w:right w:val="nil"/>
            </w:tcBorders>
            <w:shd w:val="clear" w:color="auto" w:fill="auto"/>
            <w:noWrap/>
            <w:vAlign w:val="bottom"/>
            <w:hideMark/>
          </w:tcPr>
          <w:p w14:paraId="63ACB5D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19" w:type="dxa"/>
            <w:tcBorders>
              <w:top w:val="nil"/>
              <w:left w:val="nil"/>
              <w:bottom w:val="nil"/>
              <w:right w:val="nil"/>
            </w:tcBorders>
            <w:shd w:val="clear" w:color="auto" w:fill="auto"/>
            <w:noWrap/>
            <w:vAlign w:val="bottom"/>
            <w:hideMark/>
          </w:tcPr>
          <w:p w14:paraId="73C87BB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19" w:type="dxa"/>
            <w:tcBorders>
              <w:top w:val="nil"/>
              <w:left w:val="nil"/>
              <w:bottom w:val="nil"/>
              <w:right w:val="nil"/>
            </w:tcBorders>
            <w:shd w:val="clear" w:color="auto" w:fill="auto"/>
            <w:noWrap/>
            <w:vAlign w:val="bottom"/>
            <w:hideMark/>
          </w:tcPr>
          <w:p w14:paraId="6D3F761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929" w:type="dxa"/>
            <w:tcBorders>
              <w:top w:val="nil"/>
              <w:left w:val="nil"/>
              <w:bottom w:val="nil"/>
              <w:right w:val="nil"/>
            </w:tcBorders>
            <w:shd w:val="clear" w:color="auto" w:fill="auto"/>
            <w:noWrap/>
            <w:vAlign w:val="bottom"/>
            <w:hideMark/>
          </w:tcPr>
          <w:p w14:paraId="36A35E4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19" w:type="dxa"/>
            <w:tcBorders>
              <w:top w:val="nil"/>
              <w:left w:val="nil"/>
              <w:bottom w:val="nil"/>
              <w:right w:val="nil"/>
            </w:tcBorders>
            <w:shd w:val="clear" w:color="auto" w:fill="auto"/>
            <w:noWrap/>
            <w:vAlign w:val="bottom"/>
            <w:hideMark/>
          </w:tcPr>
          <w:p w14:paraId="34657E2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19" w:type="dxa"/>
            <w:tcBorders>
              <w:top w:val="nil"/>
              <w:left w:val="nil"/>
              <w:bottom w:val="nil"/>
              <w:right w:val="nil"/>
            </w:tcBorders>
            <w:shd w:val="clear" w:color="auto" w:fill="auto"/>
            <w:noWrap/>
            <w:vAlign w:val="bottom"/>
            <w:hideMark/>
          </w:tcPr>
          <w:p w14:paraId="34A4566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r>
      <w:tr w:rsidR="00634ABA" w:rsidRPr="00986F85" w14:paraId="76A976E5" w14:textId="77777777" w:rsidTr="00476987">
        <w:trPr>
          <w:trHeight w:val="285"/>
        </w:trPr>
        <w:tc>
          <w:tcPr>
            <w:tcW w:w="406" w:type="dxa"/>
            <w:vMerge/>
            <w:tcBorders>
              <w:top w:val="nil"/>
              <w:left w:val="nil"/>
              <w:bottom w:val="nil"/>
              <w:right w:val="nil"/>
            </w:tcBorders>
            <w:vAlign w:val="center"/>
            <w:hideMark/>
          </w:tcPr>
          <w:p w14:paraId="03C28D09" w14:textId="77777777" w:rsidR="00634ABA" w:rsidRPr="00986F85" w:rsidRDefault="00634ABA" w:rsidP="00476987">
            <w:pPr>
              <w:spacing w:after="0" w:line="240" w:lineRule="auto"/>
              <w:rPr>
                <w:rFonts w:eastAsia="Times New Roman"/>
                <w:color w:val="000000"/>
                <w:lang w:eastAsia="hu-HU"/>
              </w:rPr>
            </w:pPr>
          </w:p>
        </w:tc>
        <w:tc>
          <w:tcPr>
            <w:tcW w:w="2571" w:type="dxa"/>
            <w:tcBorders>
              <w:top w:val="nil"/>
              <w:left w:val="nil"/>
              <w:bottom w:val="nil"/>
              <w:right w:val="nil"/>
            </w:tcBorders>
            <w:shd w:val="clear" w:color="auto" w:fill="auto"/>
            <w:noWrap/>
            <w:vAlign w:val="bottom"/>
            <w:hideMark/>
          </w:tcPr>
          <w:p w14:paraId="59A943F2"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Egy foglalkoztatottra eső jegyzett tőke (%)</w:t>
            </w:r>
          </w:p>
        </w:tc>
        <w:tc>
          <w:tcPr>
            <w:tcW w:w="819" w:type="dxa"/>
            <w:tcBorders>
              <w:top w:val="nil"/>
              <w:left w:val="nil"/>
              <w:bottom w:val="nil"/>
              <w:right w:val="nil"/>
            </w:tcBorders>
            <w:shd w:val="clear" w:color="auto" w:fill="auto"/>
            <w:noWrap/>
            <w:vAlign w:val="bottom"/>
            <w:hideMark/>
          </w:tcPr>
          <w:p w14:paraId="4DA0852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-1.3</w:t>
            </w:r>
          </w:p>
        </w:tc>
        <w:tc>
          <w:tcPr>
            <w:tcW w:w="819" w:type="dxa"/>
            <w:tcBorders>
              <w:top w:val="nil"/>
              <w:left w:val="nil"/>
              <w:bottom w:val="nil"/>
              <w:right w:val="nil"/>
            </w:tcBorders>
            <w:shd w:val="clear" w:color="auto" w:fill="auto"/>
            <w:noWrap/>
            <w:vAlign w:val="bottom"/>
            <w:hideMark/>
          </w:tcPr>
          <w:p w14:paraId="2221657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-10</w:t>
            </w:r>
          </w:p>
        </w:tc>
        <w:tc>
          <w:tcPr>
            <w:tcW w:w="819" w:type="dxa"/>
            <w:tcBorders>
              <w:top w:val="nil"/>
              <w:left w:val="nil"/>
              <w:bottom w:val="nil"/>
              <w:right w:val="nil"/>
            </w:tcBorders>
            <w:shd w:val="clear" w:color="auto" w:fill="auto"/>
            <w:noWrap/>
            <w:vAlign w:val="bottom"/>
            <w:hideMark/>
          </w:tcPr>
          <w:p w14:paraId="763E4B7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19" w:type="dxa"/>
            <w:tcBorders>
              <w:top w:val="nil"/>
              <w:left w:val="nil"/>
              <w:bottom w:val="nil"/>
              <w:right w:val="nil"/>
            </w:tcBorders>
            <w:shd w:val="clear" w:color="auto" w:fill="auto"/>
            <w:noWrap/>
            <w:vAlign w:val="bottom"/>
            <w:hideMark/>
          </w:tcPr>
          <w:p w14:paraId="4EE1E7C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19" w:type="dxa"/>
            <w:tcBorders>
              <w:top w:val="nil"/>
              <w:left w:val="nil"/>
              <w:bottom w:val="nil"/>
              <w:right w:val="nil"/>
            </w:tcBorders>
            <w:shd w:val="clear" w:color="auto" w:fill="auto"/>
            <w:noWrap/>
            <w:vAlign w:val="bottom"/>
            <w:hideMark/>
          </w:tcPr>
          <w:p w14:paraId="4B85852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929" w:type="dxa"/>
            <w:tcBorders>
              <w:top w:val="nil"/>
              <w:left w:val="nil"/>
              <w:bottom w:val="nil"/>
              <w:right w:val="nil"/>
            </w:tcBorders>
            <w:shd w:val="clear" w:color="auto" w:fill="auto"/>
            <w:noWrap/>
            <w:vAlign w:val="bottom"/>
            <w:hideMark/>
          </w:tcPr>
          <w:p w14:paraId="5C51E40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-11.1</w:t>
            </w:r>
          </w:p>
        </w:tc>
        <w:tc>
          <w:tcPr>
            <w:tcW w:w="819" w:type="dxa"/>
            <w:tcBorders>
              <w:top w:val="nil"/>
              <w:left w:val="nil"/>
              <w:bottom w:val="nil"/>
              <w:right w:val="nil"/>
            </w:tcBorders>
            <w:shd w:val="clear" w:color="auto" w:fill="auto"/>
            <w:noWrap/>
            <w:vAlign w:val="bottom"/>
            <w:hideMark/>
          </w:tcPr>
          <w:p w14:paraId="4CA70AC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-9.8</w:t>
            </w:r>
          </w:p>
        </w:tc>
        <w:tc>
          <w:tcPr>
            <w:tcW w:w="819" w:type="dxa"/>
            <w:tcBorders>
              <w:top w:val="nil"/>
              <w:left w:val="nil"/>
              <w:bottom w:val="nil"/>
              <w:right w:val="nil"/>
            </w:tcBorders>
            <w:shd w:val="clear" w:color="auto" w:fill="auto"/>
            <w:noWrap/>
            <w:vAlign w:val="bottom"/>
            <w:hideMark/>
          </w:tcPr>
          <w:p w14:paraId="3F568E9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-5.7</w:t>
            </w:r>
          </w:p>
        </w:tc>
      </w:tr>
      <w:tr w:rsidR="00634ABA" w:rsidRPr="00986F85" w14:paraId="43BAD130" w14:textId="77777777" w:rsidTr="00476987">
        <w:trPr>
          <w:trHeight w:val="285"/>
        </w:trPr>
        <w:tc>
          <w:tcPr>
            <w:tcW w:w="406" w:type="dxa"/>
            <w:vMerge/>
            <w:tcBorders>
              <w:top w:val="nil"/>
              <w:left w:val="nil"/>
              <w:bottom w:val="nil"/>
              <w:right w:val="nil"/>
            </w:tcBorders>
            <w:vAlign w:val="center"/>
            <w:hideMark/>
          </w:tcPr>
          <w:p w14:paraId="5E431DEF" w14:textId="77777777" w:rsidR="00634ABA" w:rsidRPr="00986F85" w:rsidRDefault="00634ABA" w:rsidP="00476987">
            <w:pPr>
              <w:spacing w:after="0" w:line="240" w:lineRule="auto"/>
              <w:rPr>
                <w:rFonts w:eastAsia="Times New Roman"/>
                <w:color w:val="000000"/>
                <w:lang w:eastAsia="hu-HU"/>
              </w:rPr>
            </w:pPr>
          </w:p>
        </w:tc>
        <w:tc>
          <w:tcPr>
            <w:tcW w:w="2571" w:type="dxa"/>
            <w:tcBorders>
              <w:top w:val="nil"/>
              <w:left w:val="nil"/>
              <w:bottom w:val="nil"/>
              <w:right w:val="nil"/>
            </w:tcBorders>
            <w:shd w:val="clear" w:color="auto" w:fill="auto"/>
            <w:noWrap/>
            <w:vAlign w:val="bottom"/>
            <w:hideMark/>
          </w:tcPr>
          <w:p w14:paraId="4FE045A5"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Likviditás</w:t>
            </w:r>
          </w:p>
        </w:tc>
        <w:tc>
          <w:tcPr>
            <w:tcW w:w="819" w:type="dxa"/>
            <w:tcBorders>
              <w:top w:val="nil"/>
              <w:left w:val="nil"/>
              <w:bottom w:val="nil"/>
              <w:right w:val="nil"/>
            </w:tcBorders>
            <w:shd w:val="clear" w:color="auto" w:fill="auto"/>
            <w:noWrap/>
            <w:vAlign w:val="bottom"/>
            <w:hideMark/>
          </w:tcPr>
          <w:p w14:paraId="69DCB36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5.7</w:t>
            </w:r>
          </w:p>
        </w:tc>
        <w:tc>
          <w:tcPr>
            <w:tcW w:w="819" w:type="dxa"/>
            <w:tcBorders>
              <w:top w:val="nil"/>
              <w:left w:val="nil"/>
              <w:bottom w:val="nil"/>
              <w:right w:val="nil"/>
            </w:tcBorders>
            <w:shd w:val="clear" w:color="auto" w:fill="auto"/>
            <w:noWrap/>
            <w:vAlign w:val="bottom"/>
            <w:hideMark/>
          </w:tcPr>
          <w:p w14:paraId="52DAE51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-3.9</w:t>
            </w:r>
          </w:p>
        </w:tc>
        <w:tc>
          <w:tcPr>
            <w:tcW w:w="819" w:type="dxa"/>
            <w:tcBorders>
              <w:top w:val="nil"/>
              <w:left w:val="nil"/>
              <w:bottom w:val="nil"/>
              <w:right w:val="nil"/>
            </w:tcBorders>
            <w:shd w:val="clear" w:color="auto" w:fill="auto"/>
            <w:noWrap/>
            <w:vAlign w:val="bottom"/>
            <w:hideMark/>
          </w:tcPr>
          <w:p w14:paraId="32943E9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9.8</w:t>
            </w:r>
          </w:p>
        </w:tc>
        <w:tc>
          <w:tcPr>
            <w:tcW w:w="819" w:type="dxa"/>
            <w:tcBorders>
              <w:top w:val="nil"/>
              <w:left w:val="nil"/>
              <w:bottom w:val="nil"/>
              <w:right w:val="nil"/>
            </w:tcBorders>
            <w:shd w:val="clear" w:color="auto" w:fill="auto"/>
            <w:noWrap/>
            <w:vAlign w:val="bottom"/>
            <w:hideMark/>
          </w:tcPr>
          <w:p w14:paraId="7C31CB0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-0.7</w:t>
            </w:r>
          </w:p>
        </w:tc>
        <w:tc>
          <w:tcPr>
            <w:tcW w:w="819" w:type="dxa"/>
            <w:tcBorders>
              <w:top w:val="nil"/>
              <w:left w:val="nil"/>
              <w:bottom w:val="nil"/>
              <w:right w:val="nil"/>
            </w:tcBorders>
            <w:shd w:val="clear" w:color="auto" w:fill="auto"/>
            <w:noWrap/>
            <w:vAlign w:val="bottom"/>
            <w:hideMark/>
          </w:tcPr>
          <w:p w14:paraId="1D475AF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6.9</w:t>
            </w:r>
          </w:p>
        </w:tc>
        <w:tc>
          <w:tcPr>
            <w:tcW w:w="929" w:type="dxa"/>
            <w:tcBorders>
              <w:top w:val="nil"/>
              <w:left w:val="nil"/>
              <w:bottom w:val="nil"/>
              <w:right w:val="nil"/>
            </w:tcBorders>
            <w:shd w:val="clear" w:color="auto" w:fill="auto"/>
            <w:noWrap/>
            <w:vAlign w:val="bottom"/>
            <w:hideMark/>
          </w:tcPr>
          <w:p w14:paraId="5578591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w:t>
            </w:r>
          </w:p>
        </w:tc>
        <w:tc>
          <w:tcPr>
            <w:tcW w:w="819" w:type="dxa"/>
            <w:tcBorders>
              <w:top w:val="nil"/>
              <w:left w:val="nil"/>
              <w:bottom w:val="nil"/>
              <w:right w:val="nil"/>
            </w:tcBorders>
            <w:shd w:val="clear" w:color="auto" w:fill="auto"/>
            <w:noWrap/>
            <w:vAlign w:val="bottom"/>
            <w:hideMark/>
          </w:tcPr>
          <w:p w14:paraId="04FDBDA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22.2</w:t>
            </w:r>
          </w:p>
        </w:tc>
        <w:tc>
          <w:tcPr>
            <w:tcW w:w="819" w:type="dxa"/>
            <w:tcBorders>
              <w:top w:val="nil"/>
              <w:left w:val="nil"/>
              <w:bottom w:val="nil"/>
              <w:right w:val="nil"/>
            </w:tcBorders>
            <w:shd w:val="clear" w:color="auto" w:fill="auto"/>
            <w:noWrap/>
            <w:vAlign w:val="bottom"/>
            <w:hideMark/>
          </w:tcPr>
          <w:p w14:paraId="1560F59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4.3</w:t>
            </w:r>
          </w:p>
        </w:tc>
      </w:tr>
      <w:tr w:rsidR="00634ABA" w:rsidRPr="00986F85" w14:paraId="4FA66194" w14:textId="77777777" w:rsidTr="00476987">
        <w:trPr>
          <w:trHeight w:val="285"/>
        </w:trPr>
        <w:tc>
          <w:tcPr>
            <w:tcW w:w="406" w:type="dxa"/>
            <w:vMerge/>
            <w:tcBorders>
              <w:top w:val="nil"/>
              <w:left w:val="nil"/>
              <w:bottom w:val="nil"/>
              <w:right w:val="nil"/>
            </w:tcBorders>
            <w:vAlign w:val="center"/>
            <w:hideMark/>
          </w:tcPr>
          <w:p w14:paraId="70F7F9C6" w14:textId="77777777" w:rsidR="00634ABA" w:rsidRPr="00986F85" w:rsidRDefault="00634ABA" w:rsidP="00476987">
            <w:pPr>
              <w:spacing w:after="0" w:line="240" w:lineRule="auto"/>
              <w:rPr>
                <w:rFonts w:eastAsia="Times New Roman"/>
                <w:color w:val="000000"/>
                <w:lang w:eastAsia="hu-HU"/>
              </w:rPr>
            </w:pPr>
          </w:p>
        </w:tc>
        <w:tc>
          <w:tcPr>
            <w:tcW w:w="2571" w:type="dxa"/>
            <w:tcBorders>
              <w:top w:val="nil"/>
              <w:left w:val="nil"/>
              <w:bottom w:val="nil"/>
              <w:right w:val="nil"/>
            </w:tcBorders>
            <w:shd w:val="clear" w:color="auto" w:fill="auto"/>
            <w:noWrap/>
            <w:vAlign w:val="bottom"/>
            <w:hideMark/>
          </w:tcPr>
          <w:p w14:paraId="74360AE0"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Üzemi eredmény</w:t>
            </w:r>
          </w:p>
        </w:tc>
        <w:tc>
          <w:tcPr>
            <w:tcW w:w="819" w:type="dxa"/>
            <w:tcBorders>
              <w:top w:val="nil"/>
              <w:left w:val="nil"/>
              <w:bottom w:val="nil"/>
              <w:right w:val="nil"/>
            </w:tcBorders>
            <w:shd w:val="clear" w:color="auto" w:fill="auto"/>
            <w:noWrap/>
            <w:vAlign w:val="bottom"/>
            <w:hideMark/>
          </w:tcPr>
          <w:p w14:paraId="584C2D9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2511</w:t>
            </w:r>
          </w:p>
        </w:tc>
        <w:tc>
          <w:tcPr>
            <w:tcW w:w="819" w:type="dxa"/>
            <w:tcBorders>
              <w:top w:val="nil"/>
              <w:left w:val="nil"/>
              <w:bottom w:val="nil"/>
              <w:right w:val="nil"/>
            </w:tcBorders>
            <w:shd w:val="clear" w:color="auto" w:fill="auto"/>
            <w:noWrap/>
            <w:vAlign w:val="bottom"/>
            <w:hideMark/>
          </w:tcPr>
          <w:p w14:paraId="7D7D90D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1301</w:t>
            </w:r>
          </w:p>
        </w:tc>
        <w:tc>
          <w:tcPr>
            <w:tcW w:w="819" w:type="dxa"/>
            <w:tcBorders>
              <w:top w:val="nil"/>
              <w:left w:val="nil"/>
              <w:bottom w:val="nil"/>
              <w:right w:val="nil"/>
            </w:tcBorders>
            <w:shd w:val="clear" w:color="auto" w:fill="auto"/>
            <w:noWrap/>
            <w:vAlign w:val="bottom"/>
            <w:hideMark/>
          </w:tcPr>
          <w:p w14:paraId="552B18B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-3394</w:t>
            </w:r>
          </w:p>
        </w:tc>
        <w:tc>
          <w:tcPr>
            <w:tcW w:w="819" w:type="dxa"/>
            <w:tcBorders>
              <w:top w:val="nil"/>
              <w:left w:val="nil"/>
              <w:bottom w:val="nil"/>
              <w:right w:val="nil"/>
            </w:tcBorders>
            <w:shd w:val="clear" w:color="auto" w:fill="auto"/>
            <w:noWrap/>
            <w:vAlign w:val="bottom"/>
            <w:hideMark/>
          </w:tcPr>
          <w:p w14:paraId="715F374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-5343</w:t>
            </w:r>
          </w:p>
        </w:tc>
        <w:tc>
          <w:tcPr>
            <w:tcW w:w="819" w:type="dxa"/>
            <w:tcBorders>
              <w:top w:val="nil"/>
              <w:left w:val="nil"/>
              <w:bottom w:val="nil"/>
              <w:right w:val="nil"/>
            </w:tcBorders>
            <w:shd w:val="clear" w:color="auto" w:fill="auto"/>
            <w:noWrap/>
            <w:vAlign w:val="bottom"/>
            <w:hideMark/>
          </w:tcPr>
          <w:p w14:paraId="6CD9B8F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1765</w:t>
            </w:r>
          </w:p>
        </w:tc>
        <w:tc>
          <w:tcPr>
            <w:tcW w:w="929" w:type="dxa"/>
            <w:tcBorders>
              <w:top w:val="nil"/>
              <w:left w:val="nil"/>
              <w:bottom w:val="nil"/>
              <w:right w:val="nil"/>
            </w:tcBorders>
            <w:shd w:val="clear" w:color="auto" w:fill="auto"/>
            <w:noWrap/>
            <w:vAlign w:val="bottom"/>
            <w:hideMark/>
          </w:tcPr>
          <w:p w14:paraId="779927C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-314</w:t>
            </w:r>
          </w:p>
        </w:tc>
        <w:tc>
          <w:tcPr>
            <w:tcW w:w="819" w:type="dxa"/>
            <w:tcBorders>
              <w:top w:val="nil"/>
              <w:left w:val="nil"/>
              <w:bottom w:val="nil"/>
              <w:right w:val="nil"/>
            </w:tcBorders>
            <w:shd w:val="clear" w:color="auto" w:fill="auto"/>
            <w:noWrap/>
            <w:vAlign w:val="bottom"/>
            <w:hideMark/>
          </w:tcPr>
          <w:p w14:paraId="4998E87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-906</w:t>
            </w:r>
          </w:p>
        </w:tc>
        <w:tc>
          <w:tcPr>
            <w:tcW w:w="819" w:type="dxa"/>
            <w:tcBorders>
              <w:top w:val="nil"/>
              <w:left w:val="nil"/>
              <w:bottom w:val="nil"/>
              <w:right w:val="nil"/>
            </w:tcBorders>
            <w:shd w:val="clear" w:color="auto" w:fill="auto"/>
            <w:noWrap/>
            <w:vAlign w:val="bottom"/>
            <w:hideMark/>
          </w:tcPr>
          <w:p w14:paraId="0A1B2D5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347.5</w:t>
            </w:r>
          </w:p>
        </w:tc>
      </w:tr>
      <w:tr w:rsidR="00634ABA" w:rsidRPr="00986F85" w14:paraId="4F83ADF5" w14:textId="77777777" w:rsidTr="00476987">
        <w:trPr>
          <w:trHeight w:val="285"/>
        </w:trPr>
        <w:tc>
          <w:tcPr>
            <w:tcW w:w="406" w:type="dxa"/>
            <w:vMerge/>
            <w:tcBorders>
              <w:top w:val="nil"/>
              <w:left w:val="nil"/>
              <w:bottom w:val="nil"/>
              <w:right w:val="nil"/>
            </w:tcBorders>
            <w:vAlign w:val="center"/>
            <w:hideMark/>
          </w:tcPr>
          <w:p w14:paraId="3CFA4CD9" w14:textId="77777777" w:rsidR="00634ABA" w:rsidRPr="00986F85" w:rsidRDefault="00634ABA" w:rsidP="00476987">
            <w:pPr>
              <w:spacing w:after="0" w:line="240" w:lineRule="auto"/>
              <w:rPr>
                <w:rFonts w:eastAsia="Times New Roman"/>
                <w:color w:val="000000"/>
                <w:lang w:eastAsia="hu-HU"/>
              </w:rPr>
            </w:pPr>
          </w:p>
        </w:tc>
        <w:tc>
          <w:tcPr>
            <w:tcW w:w="2571" w:type="dxa"/>
            <w:tcBorders>
              <w:top w:val="nil"/>
              <w:left w:val="nil"/>
              <w:bottom w:val="nil"/>
              <w:right w:val="nil"/>
            </w:tcBorders>
            <w:shd w:val="clear" w:color="auto" w:fill="auto"/>
            <w:noWrap/>
            <w:vAlign w:val="bottom"/>
            <w:hideMark/>
          </w:tcPr>
          <w:p w14:paraId="6962F1C1"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Egy foglalkoztatottra eső üzemi eredmény</w:t>
            </w:r>
          </w:p>
        </w:tc>
        <w:tc>
          <w:tcPr>
            <w:tcW w:w="819" w:type="dxa"/>
            <w:tcBorders>
              <w:top w:val="nil"/>
              <w:left w:val="nil"/>
              <w:bottom w:val="nil"/>
              <w:right w:val="nil"/>
            </w:tcBorders>
            <w:shd w:val="clear" w:color="auto" w:fill="auto"/>
            <w:noWrap/>
            <w:vAlign w:val="bottom"/>
            <w:hideMark/>
          </w:tcPr>
          <w:p w14:paraId="13E1598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70.8</w:t>
            </w:r>
          </w:p>
        </w:tc>
        <w:tc>
          <w:tcPr>
            <w:tcW w:w="819" w:type="dxa"/>
            <w:tcBorders>
              <w:top w:val="nil"/>
              <w:left w:val="nil"/>
              <w:bottom w:val="nil"/>
              <w:right w:val="nil"/>
            </w:tcBorders>
            <w:shd w:val="clear" w:color="auto" w:fill="auto"/>
            <w:noWrap/>
            <w:vAlign w:val="bottom"/>
            <w:hideMark/>
          </w:tcPr>
          <w:p w14:paraId="473520EF"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21.1</w:t>
            </w:r>
          </w:p>
        </w:tc>
        <w:tc>
          <w:tcPr>
            <w:tcW w:w="819" w:type="dxa"/>
            <w:tcBorders>
              <w:top w:val="nil"/>
              <w:left w:val="nil"/>
              <w:bottom w:val="nil"/>
              <w:right w:val="nil"/>
            </w:tcBorders>
            <w:shd w:val="clear" w:color="auto" w:fill="auto"/>
            <w:noWrap/>
            <w:vAlign w:val="bottom"/>
            <w:hideMark/>
          </w:tcPr>
          <w:p w14:paraId="5C3D38D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-293.5</w:t>
            </w:r>
          </w:p>
        </w:tc>
        <w:tc>
          <w:tcPr>
            <w:tcW w:w="819" w:type="dxa"/>
            <w:tcBorders>
              <w:top w:val="nil"/>
              <w:left w:val="nil"/>
              <w:bottom w:val="nil"/>
              <w:right w:val="nil"/>
            </w:tcBorders>
            <w:shd w:val="clear" w:color="auto" w:fill="auto"/>
            <w:noWrap/>
            <w:vAlign w:val="bottom"/>
            <w:hideMark/>
          </w:tcPr>
          <w:p w14:paraId="33BA0C3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-529.5</w:t>
            </w:r>
          </w:p>
        </w:tc>
        <w:tc>
          <w:tcPr>
            <w:tcW w:w="819" w:type="dxa"/>
            <w:tcBorders>
              <w:top w:val="nil"/>
              <w:left w:val="nil"/>
              <w:bottom w:val="nil"/>
              <w:right w:val="nil"/>
            </w:tcBorders>
            <w:shd w:val="clear" w:color="auto" w:fill="auto"/>
            <w:noWrap/>
            <w:vAlign w:val="bottom"/>
            <w:hideMark/>
          </w:tcPr>
          <w:p w14:paraId="03733C6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90.1</w:t>
            </w:r>
          </w:p>
        </w:tc>
        <w:tc>
          <w:tcPr>
            <w:tcW w:w="929" w:type="dxa"/>
            <w:tcBorders>
              <w:top w:val="nil"/>
              <w:left w:val="nil"/>
              <w:bottom w:val="nil"/>
              <w:right w:val="nil"/>
            </w:tcBorders>
            <w:shd w:val="clear" w:color="auto" w:fill="auto"/>
            <w:noWrap/>
            <w:vAlign w:val="bottom"/>
            <w:hideMark/>
          </w:tcPr>
          <w:p w14:paraId="76DFF0A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-143.3</w:t>
            </w:r>
          </w:p>
        </w:tc>
        <w:tc>
          <w:tcPr>
            <w:tcW w:w="819" w:type="dxa"/>
            <w:tcBorders>
              <w:top w:val="nil"/>
              <w:left w:val="nil"/>
              <w:bottom w:val="nil"/>
              <w:right w:val="nil"/>
            </w:tcBorders>
            <w:shd w:val="clear" w:color="auto" w:fill="auto"/>
            <w:noWrap/>
            <w:vAlign w:val="bottom"/>
            <w:hideMark/>
          </w:tcPr>
          <w:p w14:paraId="08206FAB"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-87.6</w:t>
            </w:r>
          </w:p>
        </w:tc>
        <w:tc>
          <w:tcPr>
            <w:tcW w:w="819" w:type="dxa"/>
            <w:tcBorders>
              <w:top w:val="nil"/>
              <w:left w:val="nil"/>
              <w:bottom w:val="nil"/>
              <w:right w:val="nil"/>
            </w:tcBorders>
            <w:shd w:val="clear" w:color="auto" w:fill="auto"/>
            <w:noWrap/>
            <w:vAlign w:val="bottom"/>
            <w:hideMark/>
          </w:tcPr>
          <w:p w14:paraId="5F68B8B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-69.8</w:t>
            </w:r>
          </w:p>
        </w:tc>
      </w:tr>
      <w:tr w:rsidR="00634ABA" w:rsidRPr="00986F85" w14:paraId="2EF93847" w14:textId="77777777" w:rsidTr="00476987">
        <w:trPr>
          <w:trHeight w:val="285"/>
        </w:trPr>
        <w:tc>
          <w:tcPr>
            <w:tcW w:w="406" w:type="dxa"/>
            <w:vMerge/>
            <w:tcBorders>
              <w:top w:val="nil"/>
              <w:left w:val="nil"/>
              <w:bottom w:val="nil"/>
              <w:right w:val="nil"/>
            </w:tcBorders>
            <w:vAlign w:val="center"/>
            <w:hideMark/>
          </w:tcPr>
          <w:p w14:paraId="09B5698C" w14:textId="77777777" w:rsidR="00634ABA" w:rsidRPr="00986F85" w:rsidRDefault="00634ABA" w:rsidP="00476987">
            <w:pPr>
              <w:spacing w:after="0" w:line="240" w:lineRule="auto"/>
              <w:rPr>
                <w:rFonts w:eastAsia="Times New Roman"/>
                <w:color w:val="000000"/>
                <w:lang w:eastAsia="hu-HU"/>
              </w:rPr>
            </w:pPr>
          </w:p>
        </w:tc>
        <w:tc>
          <w:tcPr>
            <w:tcW w:w="2571" w:type="dxa"/>
            <w:tcBorders>
              <w:top w:val="nil"/>
              <w:left w:val="nil"/>
              <w:bottom w:val="nil"/>
              <w:right w:val="nil"/>
            </w:tcBorders>
            <w:shd w:val="clear" w:color="auto" w:fill="auto"/>
            <w:noWrap/>
            <w:vAlign w:val="bottom"/>
            <w:hideMark/>
          </w:tcPr>
          <w:p w14:paraId="0F9ED5A9"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Hozzáadott érték</w:t>
            </w:r>
          </w:p>
        </w:tc>
        <w:tc>
          <w:tcPr>
            <w:tcW w:w="819" w:type="dxa"/>
            <w:tcBorders>
              <w:top w:val="nil"/>
              <w:left w:val="nil"/>
              <w:bottom w:val="nil"/>
              <w:right w:val="nil"/>
            </w:tcBorders>
            <w:shd w:val="clear" w:color="auto" w:fill="auto"/>
            <w:noWrap/>
            <w:vAlign w:val="bottom"/>
            <w:hideMark/>
          </w:tcPr>
          <w:p w14:paraId="5B7777E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11506</w:t>
            </w:r>
          </w:p>
        </w:tc>
        <w:tc>
          <w:tcPr>
            <w:tcW w:w="819" w:type="dxa"/>
            <w:tcBorders>
              <w:top w:val="nil"/>
              <w:left w:val="nil"/>
              <w:bottom w:val="nil"/>
              <w:right w:val="nil"/>
            </w:tcBorders>
            <w:shd w:val="clear" w:color="auto" w:fill="auto"/>
            <w:noWrap/>
            <w:vAlign w:val="bottom"/>
            <w:hideMark/>
          </w:tcPr>
          <w:p w14:paraId="113FCC0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11625</w:t>
            </w:r>
          </w:p>
        </w:tc>
        <w:tc>
          <w:tcPr>
            <w:tcW w:w="819" w:type="dxa"/>
            <w:tcBorders>
              <w:top w:val="nil"/>
              <w:left w:val="nil"/>
              <w:bottom w:val="nil"/>
              <w:right w:val="nil"/>
            </w:tcBorders>
            <w:shd w:val="clear" w:color="auto" w:fill="auto"/>
            <w:noWrap/>
            <w:vAlign w:val="bottom"/>
            <w:hideMark/>
          </w:tcPr>
          <w:p w14:paraId="57824291"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5871</w:t>
            </w:r>
          </w:p>
        </w:tc>
        <w:tc>
          <w:tcPr>
            <w:tcW w:w="819" w:type="dxa"/>
            <w:tcBorders>
              <w:top w:val="nil"/>
              <w:left w:val="nil"/>
              <w:bottom w:val="nil"/>
              <w:right w:val="nil"/>
            </w:tcBorders>
            <w:shd w:val="clear" w:color="auto" w:fill="auto"/>
            <w:noWrap/>
            <w:vAlign w:val="bottom"/>
            <w:hideMark/>
          </w:tcPr>
          <w:p w14:paraId="3B40865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4183</w:t>
            </w:r>
          </w:p>
        </w:tc>
        <w:tc>
          <w:tcPr>
            <w:tcW w:w="819" w:type="dxa"/>
            <w:tcBorders>
              <w:top w:val="nil"/>
              <w:left w:val="nil"/>
              <w:bottom w:val="nil"/>
              <w:right w:val="nil"/>
            </w:tcBorders>
            <w:shd w:val="clear" w:color="auto" w:fill="auto"/>
            <w:noWrap/>
            <w:vAlign w:val="bottom"/>
            <w:hideMark/>
          </w:tcPr>
          <w:p w14:paraId="356EDDB9"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3833</w:t>
            </w:r>
          </w:p>
        </w:tc>
        <w:tc>
          <w:tcPr>
            <w:tcW w:w="929" w:type="dxa"/>
            <w:tcBorders>
              <w:top w:val="nil"/>
              <w:left w:val="nil"/>
              <w:bottom w:val="nil"/>
              <w:right w:val="nil"/>
            </w:tcBorders>
            <w:shd w:val="clear" w:color="auto" w:fill="auto"/>
            <w:noWrap/>
            <w:vAlign w:val="bottom"/>
            <w:hideMark/>
          </w:tcPr>
          <w:p w14:paraId="793CD06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8940</w:t>
            </w:r>
          </w:p>
        </w:tc>
        <w:tc>
          <w:tcPr>
            <w:tcW w:w="819" w:type="dxa"/>
            <w:tcBorders>
              <w:top w:val="nil"/>
              <w:left w:val="nil"/>
              <w:bottom w:val="nil"/>
              <w:right w:val="nil"/>
            </w:tcBorders>
            <w:shd w:val="clear" w:color="auto" w:fill="auto"/>
            <w:noWrap/>
            <w:vAlign w:val="bottom"/>
            <w:hideMark/>
          </w:tcPr>
          <w:p w14:paraId="2D14FE1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14250</w:t>
            </w:r>
          </w:p>
        </w:tc>
        <w:tc>
          <w:tcPr>
            <w:tcW w:w="819" w:type="dxa"/>
            <w:tcBorders>
              <w:top w:val="nil"/>
              <w:left w:val="nil"/>
              <w:bottom w:val="nil"/>
              <w:right w:val="nil"/>
            </w:tcBorders>
            <w:shd w:val="clear" w:color="auto" w:fill="auto"/>
            <w:noWrap/>
            <w:vAlign w:val="bottom"/>
            <w:hideMark/>
          </w:tcPr>
          <w:p w14:paraId="1964115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9277</w:t>
            </w:r>
          </w:p>
        </w:tc>
      </w:tr>
      <w:tr w:rsidR="00634ABA" w:rsidRPr="00986F85" w14:paraId="62AD9529" w14:textId="77777777" w:rsidTr="00476987">
        <w:trPr>
          <w:trHeight w:val="285"/>
        </w:trPr>
        <w:tc>
          <w:tcPr>
            <w:tcW w:w="406" w:type="dxa"/>
            <w:vMerge/>
            <w:tcBorders>
              <w:top w:val="nil"/>
              <w:left w:val="nil"/>
              <w:bottom w:val="nil"/>
              <w:right w:val="nil"/>
            </w:tcBorders>
            <w:vAlign w:val="center"/>
            <w:hideMark/>
          </w:tcPr>
          <w:p w14:paraId="29F0CC31" w14:textId="77777777" w:rsidR="00634ABA" w:rsidRPr="00986F85" w:rsidRDefault="00634ABA" w:rsidP="00476987">
            <w:pPr>
              <w:spacing w:after="0" w:line="240" w:lineRule="auto"/>
              <w:rPr>
                <w:rFonts w:eastAsia="Times New Roman"/>
                <w:color w:val="000000"/>
                <w:lang w:eastAsia="hu-HU"/>
              </w:rPr>
            </w:pPr>
          </w:p>
        </w:tc>
        <w:tc>
          <w:tcPr>
            <w:tcW w:w="2571" w:type="dxa"/>
            <w:tcBorders>
              <w:top w:val="nil"/>
              <w:left w:val="nil"/>
              <w:bottom w:val="nil"/>
              <w:right w:val="nil"/>
            </w:tcBorders>
            <w:shd w:val="clear" w:color="auto" w:fill="auto"/>
            <w:noWrap/>
            <w:vAlign w:val="bottom"/>
            <w:hideMark/>
          </w:tcPr>
          <w:p w14:paraId="15D649D2"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Egy foglalkoztatottra eső hozzáadott érték</w:t>
            </w:r>
          </w:p>
        </w:tc>
        <w:tc>
          <w:tcPr>
            <w:tcW w:w="819" w:type="dxa"/>
            <w:tcBorders>
              <w:top w:val="nil"/>
              <w:left w:val="nil"/>
              <w:bottom w:val="nil"/>
              <w:right w:val="nil"/>
            </w:tcBorders>
            <w:shd w:val="clear" w:color="auto" w:fill="auto"/>
            <w:noWrap/>
            <w:vAlign w:val="bottom"/>
            <w:hideMark/>
          </w:tcPr>
          <w:p w14:paraId="58DAC4D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535.8</w:t>
            </w:r>
          </w:p>
        </w:tc>
        <w:tc>
          <w:tcPr>
            <w:tcW w:w="819" w:type="dxa"/>
            <w:tcBorders>
              <w:top w:val="nil"/>
              <w:left w:val="nil"/>
              <w:bottom w:val="nil"/>
              <w:right w:val="nil"/>
            </w:tcBorders>
            <w:shd w:val="clear" w:color="auto" w:fill="auto"/>
            <w:noWrap/>
            <w:vAlign w:val="bottom"/>
            <w:hideMark/>
          </w:tcPr>
          <w:p w14:paraId="5BBE7E3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489.5</w:t>
            </w:r>
          </w:p>
        </w:tc>
        <w:tc>
          <w:tcPr>
            <w:tcW w:w="819" w:type="dxa"/>
            <w:tcBorders>
              <w:top w:val="nil"/>
              <w:left w:val="nil"/>
              <w:bottom w:val="nil"/>
              <w:right w:val="nil"/>
            </w:tcBorders>
            <w:shd w:val="clear" w:color="auto" w:fill="auto"/>
            <w:noWrap/>
            <w:vAlign w:val="bottom"/>
            <w:hideMark/>
          </w:tcPr>
          <w:p w14:paraId="35FCE577"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196.6</w:t>
            </w:r>
          </w:p>
        </w:tc>
        <w:tc>
          <w:tcPr>
            <w:tcW w:w="819" w:type="dxa"/>
            <w:tcBorders>
              <w:top w:val="nil"/>
              <w:left w:val="nil"/>
              <w:bottom w:val="nil"/>
              <w:right w:val="nil"/>
            </w:tcBorders>
            <w:shd w:val="clear" w:color="auto" w:fill="auto"/>
            <w:noWrap/>
            <w:vAlign w:val="bottom"/>
            <w:hideMark/>
          </w:tcPr>
          <w:p w14:paraId="41FBC5C5"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-93.7</w:t>
            </w:r>
          </w:p>
        </w:tc>
        <w:tc>
          <w:tcPr>
            <w:tcW w:w="819" w:type="dxa"/>
            <w:tcBorders>
              <w:top w:val="nil"/>
              <w:left w:val="nil"/>
              <w:bottom w:val="nil"/>
              <w:right w:val="nil"/>
            </w:tcBorders>
            <w:shd w:val="clear" w:color="auto" w:fill="auto"/>
            <w:noWrap/>
            <w:vAlign w:val="bottom"/>
            <w:hideMark/>
          </w:tcPr>
          <w:p w14:paraId="72DEF19A"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650.7</w:t>
            </w:r>
          </w:p>
        </w:tc>
        <w:tc>
          <w:tcPr>
            <w:tcW w:w="929" w:type="dxa"/>
            <w:tcBorders>
              <w:top w:val="nil"/>
              <w:left w:val="nil"/>
              <w:bottom w:val="nil"/>
              <w:right w:val="nil"/>
            </w:tcBorders>
            <w:shd w:val="clear" w:color="auto" w:fill="auto"/>
            <w:noWrap/>
            <w:vAlign w:val="bottom"/>
            <w:hideMark/>
          </w:tcPr>
          <w:p w14:paraId="6DE79562"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241.5</w:t>
            </w:r>
          </w:p>
        </w:tc>
        <w:tc>
          <w:tcPr>
            <w:tcW w:w="819" w:type="dxa"/>
            <w:tcBorders>
              <w:top w:val="nil"/>
              <w:left w:val="nil"/>
              <w:bottom w:val="nil"/>
              <w:right w:val="nil"/>
            </w:tcBorders>
            <w:shd w:val="clear" w:color="auto" w:fill="auto"/>
            <w:noWrap/>
            <w:vAlign w:val="bottom"/>
            <w:hideMark/>
          </w:tcPr>
          <w:p w14:paraId="685AB4EE"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481.1</w:t>
            </w:r>
          </w:p>
        </w:tc>
        <w:tc>
          <w:tcPr>
            <w:tcW w:w="819" w:type="dxa"/>
            <w:tcBorders>
              <w:top w:val="nil"/>
              <w:left w:val="nil"/>
              <w:bottom w:val="nil"/>
              <w:right w:val="nil"/>
            </w:tcBorders>
            <w:shd w:val="clear" w:color="auto" w:fill="auto"/>
            <w:noWrap/>
            <w:vAlign w:val="bottom"/>
            <w:hideMark/>
          </w:tcPr>
          <w:p w14:paraId="7ADBF0B0"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421.2</w:t>
            </w:r>
          </w:p>
        </w:tc>
      </w:tr>
      <w:tr w:rsidR="00634ABA" w:rsidRPr="00986F85" w14:paraId="78ACCED2" w14:textId="77777777" w:rsidTr="00476987">
        <w:trPr>
          <w:trHeight w:val="285"/>
        </w:trPr>
        <w:tc>
          <w:tcPr>
            <w:tcW w:w="406" w:type="dxa"/>
            <w:vMerge/>
            <w:tcBorders>
              <w:top w:val="nil"/>
              <w:left w:val="nil"/>
              <w:bottom w:val="nil"/>
              <w:right w:val="nil"/>
            </w:tcBorders>
            <w:vAlign w:val="center"/>
            <w:hideMark/>
          </w:tcPr>
          <w:p w14:paraId="38401E3C" w14:textId="77777777" w:rsidR="00634ABA" w:rsidRPr="00986F85" w:rsidRDefault="00634ABA" w:rsidP="00476987">
            <w:pPr>
              <w:spacing w:after="0" w:line="240" w:lineRule="auto"/>
              <w:rPr>
                <w:rFonts w:eastAsia="Times New Roman"/>
                <w:color w:val="000000"/>
                <w:lang w:eastAsia="hu-HU"/>
              </w:rPr>
            </w:pPr>
          </w:p>
        </w:tc>
        <w:tc>
          <w:tcPr>
            <w:tcW w:w="2571" w:type="dxa"/>
            <w:tcBorders>
              <w:top w:val="nil"/>
              <w:left w:val="nil"/>
              <w:bottom w:val="nil"/>
              <w:right w:val="nil"/>
            </w:tcBorders>
            <w:shd w:val="clear" w:color="auto" w:fill="auto"/>
            <w:noWrap/>
            <w:vAlign w:val="bottom"/>
            <w:hideMark/>
          </w:tcPr>
          <w:p w14:paraId="0ED4C38F"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ROA</w:t>
            </w:r>
          </w:p>
        </w:tc>
        <w:tc>
          <w:tcPr>
            <w:tcW w:w="819" w:type="dxa"/>
            <w:tcBorders>
              <w:top w:val="nil"/>
              <w:left w:val="nil"/>
              <w:bottom w:val="nil"/>
              <w:right w:val="nil"/>
            </w:tcBorders>
            <w:shd w:val="clear" w:color="auto" w:fill="auto"/>
            <w:noWrap/>
            <w:vAlign w:val="bottom"/>
            <w:hideMark/>
          </w:tcPr>
          <w:p w14:paraId="135EFDAC"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-0.017</w:t>
            </w:r>
          </w:p>
        </w:tc>
        <w:tc>
          <w:tcPr>
            <w:tcW w:w="819" w:type="dxa"/>
            <w:tcBorders>
              <w:top w:val="nil"/>
              <w:left w:val="nil"/>
              <w:bottom w:val="nil"/>
              <w:right w:val="nil"/>
            </w:tcBorders>
            <w:shd w:val="clear" w:color="auto" w:fill="auto"/>
            <w:noWrap/>
            <w:vAlign w:val="bottom"/>
            <w:hideMark/>
          </w:tcPr>
          <w:p w14:paraId="3E367638"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-0.019</w:t>
            </w:r>
          </w:p>
        </w:tc>
        <w:tc>
          <w:tcPr>
            <w:tcW w:w="819" w:type="dxa"/>
            <w:tcBorders>
              <w:top w:val="nil"/>
              <w:left w:val="nil"/>
              <w:bottom w:val="nil"/>
              <w:right w:val="nil"/>
            </w:tcBorders>
            <w:shd w:val="clear" w:color="auto" w:fill="auto"/>
            <w:noWrap/>
            <w:vAlign w:val="bottom"/>
            <w:hideMark/>
          </w:tcPr>
          <w:p w14:paraId="4A6207C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-0.051</w:t>
            </w:r>
          </w:p>
        </w:tc>
        <w:tc>
          <w:tcPr>
            <w:tcW w:w="819" w:type="dxa"/>
            <w:tcBorders>
              <w:top w:val="nil"/>
              <w:left w:val="nil"/>
              <w:bottom w:val="nil"/>
              <w:right w:val="nil"/>
            </w:tcBorders>
            <w:shd w:val="clear" w:color="auto" w:fill="auto"/>
            <w:noWrap/>
            <w:vAlign w:val="bottom"/>
            <w:hideMark/>
          </w:tcPr>
          <w:p w14:paraId="2DD22BE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-0.065</w:t>
            </w:r>
          </w:p>
        </w:tc>
        <w:tc>
          <w:tcPr>
            <w:tcW w:w="819" w:type="dxa"/>
            <w:tcBorders>
              <w:top w:val="nil"/>
              <w:left w:val="nil"/>
              <w:bottom w:val="nil"/>
              <w:right w:val="nil"/>
            </w:tcBorders>
            <w:shd w:val="clear" w:color="auto" w:fill="auto"/>
            <w:noWrap/>
            <w:vAlign w:val="bottom"/>
            <w:hideMark/>
          </w:tcPr>
          <w:p w14:paraId="72EBDE83"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-0.009</w:t>
            </w:r>
          </w:p>
        </w:tc>
        <w:tc>
          <w:tcPr>
            <w:tcW w:w="929" w:type="dxa"/>
            <w:tcBorders>
              <w:top w:val="nil"/>
              <w:left w:val="nil"/>
              <w:bottom w:val="nil"/>
              <w:right w:val="nil"/>
            </w:tcBorders>
            <w:shd w:val="clear" w:color="auto" w:fill="auto"/>
            <w:noWrap/>
            <w:vAlign w:val="bottom"/>
            <w:hideMark/>
          </w:tcPr>
          <w:p w14:paraId="5DC4495D"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-0.012</w:t>
            </w:r>
          </w:p>
        </w:tc>
        <w:tc>
          <w:tcPr>
            <w:tcW w:w="819" w:type="dxa"/>
            <w:tcBorders>
              <w:top w:val="nil"/>
              <w:left w:val="nil"/>
              <w:bottom w:val="nil"/>
              <w:right w:val="nil"/>
            </w:tcBorders>
            <w:shd w:val="clear" w:color="auto" w:fill="auto"/>
            <w:noWrap/>
            <w:vAlign w:val="bottom"/>
            <w:hideMark/>
          </w:tcPr>
          <w:p w14:paraId="4E3F65B4"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-0.029</w:t>
            </w:r>
          </w:p>
        </w:tc>
        <w:tc>
          <w:tcPr>
            <w:tcW w:w="819" w:type="dxa"/>
            <w:tcBorders>
              <w:top w:val="nil"/>
              <w:left w:val="nil"/>
              <w:bottom w:val="nil"/>
              <w:right w:val="nil"/>
            </w:tcBorders>
            <w:shd w:val="clear" w:color="auto" w:fill="auto"/>
            <w:noWrap/>
            <w:vAlign w:val="bottom"/>
            <w:hideMark/>
          </w:tcPr>
          <w:p w14:paraId="712D79F6" w14:textId="77777777" w:rsidR="00634ABA" w:rsidRPr="00986F85" w:rsidRDefault="00634ABA" w:rsidP="00476987">
            <w:pPr>
              <w:spacing w:after="0" w:line="240" w:lineRule="auto"/>
              <w:jc w:val="right"/>
              <w:rPr>
                <w:rFonts w:eastAsia="Times New Roman"/>
                <w:color w:val="000000"/>
                <w:lang w:eastAsia="hu-HU"/>
              </w:rPr>
            </w:pPr>
            <w:r w:rsidRPr="00986F85">
              <w:rPr>
                <w:rFonts w:eastAsia="Times New Roman"/>
                <w:color w:val="000000"/>
                <w:lang w:eastAsia="hu-HU"/>
              </w:rPr>
              <w:t>-0.027</w:t>
            </w:r>
          </w:p>
        </w:tc>
      </w:tr>
    </w:tbl>
    <w:p w14:paraId="18874341" w14:textId="77777777" w:rsidR="00634ABA" w:rsidRPr="00986F85" w:rsidRDefault="00634ABA" w:rsidP="00634ABA"/>
    <w:p w14:paraId="182BDCEC" w14:textId="77777777" w:rsidR="00EC6291" w:rsidRPr="00986F85" w:rsidRDefault="001671C7" w:rsidP="001671C7">
      <w:pPr>
        <w:pStyle w:val="Cmsor2"/>
        <w:spacing w:before="0" w:after="0" w:line="360" w:lineRule="auto"/>
        <w:jc w:val="both"/>
        <w:rPr>
          <w:rFonts w:ascii="Myriad Pro" w:hAnsi="Myriad Pro"/>
          <w:szCs w:val="24"/>
        </w:rPr>
      </w:pPr>
      <w:bookmarkStart w:id="66" w:name="_Toc230854332"/>
      <w:r w:rsidRPr="00986F85">
        <w:rPr>
          <w:rFonts w:ascii="Myriad Pro" w:hAnsi="Myriad Pro"/>
          <w:szCs w:val="24"/>
        </w:rPr>
        <w:lastRenderedPageBreak/>
        <w:t xml:space="preserve">III. </w:t>
      </w:r>
      <w:r w:rsidR="00D019C5" w:rsidRPr="00986F85">
        <w:rPr>
          <w:rFonts w:ascii="Myriad Pro" w:hAnsi="Myriad Pro"/>
          <w:szCs w:val="24"/>
        </w:rPr>
        <w:t>ROBUSZTUSSÁG VIZSGÁLATOK</w:t>
      </w:r>
      <w:bookmarkEnd w:id="66"/>
      <w:r w:rsidR="00EC6291" w:rsidRPr="00986F85">
        <w:rPr>
          <w:rFonts w:ascii="Myriad Pro" w:hAnsi="Myriad Pro"/>
          <w:szCs w:val="24"/>
        </w:rPr>
        <w:t xml:space="preserve"> </w:t>
      </w:r>
    </w:p>
    <w:p w14:paraId="65C70813" w14:textId="77777777" w:rsidR="00EC6291" w:rsidRPr="00986F85" w:rsidRDefault="00EC6291" w:rsidP="00EC6291">
      <w:pPr>
        <w:jc w:val="both"/>
        <w:rPr>
          <w:rFonts w:cs="Times New Roman"/>
          <w:b/>
        </w:rPr>
      </w:pPr>
      <w:r w:rsidRPr="00986F85">
        <w:rPr>
          <w:rFonts w:cs="Times New Roman"/>
          <w:b/>
        </w:rPr>
        <w:t>A becslési eredmények robusztussága</w:t>
      </w:r>
    </w:p>
    <w:p w14:paraId="1F8D9F8A" w14:textId="77777777" w:rsidR="00EC6291" w:rsidRPr="00986F85" w:rsidRDefault="00EC6291" w:rsidP="00EC6291">
      <w:pPr>
        <w:jc w:val="both"/>
        <w:rPr>
          <w:rFonts w:cs="Times New Roman"/>
        </w:rPr>
      </w:pPr>
      <w:r w:rsidRPr="00986F85">
        <w:rPr>
          <w:rFonts w:cs="Times New Roman"/>
        </w:rPr>
        <w:t xml:space="preserve">A becslési eredményeink robusztusságát több megközelítéssel is teszteltük. Minden függő változónkat több modellel – párosítás, különbségek különbsége, fix-hatás panel –   is megbecsültük. Mindhárom előbb említett modellen belül két almintára is elvégeztük a becsléseket. A párosításos modellen belül mindkét almintára két eljárással </w:t>
      </w:r>
      <w:r w:rsidRPr="00986F85">
        <w:rPr>
          <w:rFonts w:cs="Times New Roman"/>
          <w:i/>
        </w:rPr>
        <w:t>– propensity score</w:t>
      </w:r>
      <w:r w:rsidRPr="00986F85">
        <w:rPr>
          <w:rFonts w:cs="Times New Roman"/>
        </w:rPr>
        <w:t>, illetve</w:t>
      </w:r>
      <w:r w:rsidRPr="00986F85">
        <w:rPr>
          <w:rFonts w:cs="Times New Roman"/>
          <w:i/>
        </w:rPr>
        <w:t xml:space="preserve"> kernel</w:t>
      </w:r>
      <w:r w:rsidRPr="00986F85">
        <w:rPr>
          <w:rFonts w:cs="Times New Roman"/>
        </w:rPr>
        <w:t xml:space="preserve"> – is elkészítettük a becsléseket. Továbá a párosításos modelleket bootstrap eljárssal is megbecsültük. Robusztusnak akkor tekintünk egy eredményt, ha mindhárom modellben, mindkét almintára, különböző kontroll-csoport képző módszerek (</w:t>
      </w:r>
      <w:r w:rsidRPr="00986F85">
        <w:rPr>
          <w:rFonts w:cs="Times New Roman"/>
          <w:i/>
        </w:rPr>
        <w:t>propensity score, kernel</w:t>
      </w:r>
      <w:r w:rsidRPr="00986F85">
        <w:rPr>
          <w:rFonts w:cs="Times New Roman"/>
        </w:rPr>
        <w:t>) mellett azonos irányban szignifikáns.</w:t>
      </w:r>
    </w:p>
    <w:p w14:paraId="172E346C" w14:textId="77777777" w:rsidR="00EC6291" w:rsidRPr="00986F85" w:rsidRDefault="00EC6291" w:rsidP="00634ABA">
      <w:pPr>
        <w:rPr>
          <w:rFonts w:cs="Times New Roman"/>
          <w:b/>
        </w:rPr>
      </w:pPr>
      <w:r w:rsidRPr="00986F85">
        <w:rPr>
          <w:rFonts w:cs="Times New Roman"/>
          <w:b/>
        </w:rPr>
        <w:t xml:space="preserve">1. táblázat: </w:t>
      </w:r>
      <w:r w:rsidRPr="00986F85">
        <w:rPr>
          <w:rFonts w:cs="Times New Roman"/>
          <w:b/>
          <w:i/>
        </w:rPr>
        <w:t>Propensity score</w:t>
      </w:r>
      <w:r w:rsidRPr="00986F85">
        <w:rPr>
          <w:rFonts w:cs="Times New Roman"/>
          <w:b/>
        </w:rPr>
        <w:t xml:space="preserve"> eloszlások</w:t>
      </w:r>
    </w:p>
    <w:tbl>
      <w:tblPr>
        <w:tblW w:w="7697" w:type="dxa"/>
        <w:tblInd w:w="70" w:type="dxa"/>
        <w:tblCellMar>
          <w:left w:w="70" w:type="dxa"/>
          <w:right w:w="70" w:type="dxa"/>
        </w:tblCellMar>
        <w:tblLook w:val="04A0" w:firstRow="1" w:lastRow="0" w:firstColumn="1" w:lastColumn="0" w:noHBand="0" w:noVBand="1"/>
      </w:tblPr>
      <w:tblGrid>
        <w:gridCol w:w="1960"/>
        <w:gridCol w:w="1460"/>
        <w:gridCol w:w="1460"/>
        <w:gridCol w:w="1641"/>
        <w:gridCol w:w="1176"/>
      </w:tblGrid>
      <w:tr w:rsidR="00634ABA" w:rsidRPr="00986F85" w14:paraId="15CC78EB" w14:textId="77777777" w:rsidTr="00EC6291">
        <w:trPr>
          <w:trHeight w:val="300"/>
        </w:trPr>
        <w:tc>
          <w:tcPr>
            <w:tcW w:w="1960" w:type="dxa"/>
            <w:tcBorders>
              <w:top w:val="nil"/>
              <w:left w:val="nil"/>
              <w:bottom w:val="nil"/>
              <w:right w:val="nil"/>
            </w:tcBorders>
            <w:shd w:val="clear" w:color="auto" w:fill="B10000"/>
            <w:noWrap/>
            <w:vAlign w:val="bottom"/>
            <w:hideMark/>
          </w:tcPr>
          <w:p w14:paraId="629DCB0E" w14:textId="77777777" w:rsidR="00634ABA" w:rsidRPr="00986F85" w:rsidRDefault="00634ABA" w:rsidP="00476987">
            <w:pPr>
              <w:spacing w:after="0" w:line="240" w:lineRule="auto"/>
              <w:rPr>
                <w:rFonts w:eastAsia="Times New Roman"/>
                <w:b/>
                <w:color w:val="FFFFFF" w:themeColor="background1"/>
                <w:lang w:eastAsia="hu-HU"/>
              </w:rPr>
            </w:pPr>
          </w:p>
        </w:tc>
        <w:tc>
          <w:tcPr>
            <w:tcW w:w="2920" w:type="dxa"/>
            <w:gridSpan w:val="2"/>
            <w:tcBorders>
              <w:top w:val="nil"/>
              <w:left w:val="nil"/>
              <w:bottom w:val="nil"/>
              <w:right w:val="nil"/>
            </w:tcBorders>
            <w:shd w:val="clear" w:color="auto" w:fill="B10000"/>
            <w:noWrap/>
            <w:vAlign w:val="bottom"/>
            <w:hideMark/>
          </w:tcPr>
          <w:p w14:paraId="5A83BE49" w14:textId="77777777" w:rsidR="00634ABA" w:rsidRPr="00986F85" w:rsidRDefault="00634ABA" w:rsidP="00476987">
            <w:pPr>
              <w:spacing w:after="0" w:line="240" w:lineRule="auto"/>
              <w:jc w:val="center"/>
              <w:rPr>
                <w:rFonts w:eastAsia="Times New Roman"/>
                <w:b/>
                <w:color w:val="FFFFFF" w:themeColor="background1"/>
                <w:lang w:eastAsia="hu-HU"/>
              </w:rPr>
            </w:pPr>
            <w:r w:rsidRPr="00986F85">
              <w:rPr>
                <w:rFonts w:eastAsia="Times New Roman"/>
                <w:b/>
                <w:color w:val="FFFFFF" w:themeColor="background1"/>
                <w:lang w:eastAsia="hu-HU"/>
              </w:rPr>
              <w:t>GOP A</w:t>
            </w:r>
          </w:p>
        </w:tc>
        <w:tc>
          <w:tcPr>
            <w:tcW w:w="2817" w:type="dxa"/>
            <w:gridSpan w:val="2"/>
            <w:tcBorders>
              <w:top w:val="nil"/>
              <w:left w:val="nil"/>
              <w:bottom w:val="nil"/>
              <w:right w:val="nil"/>
            </w:tcBorders>
            <w:shd w:val="clear" w:color="auto" w:fill="B10000"/>
            <w:noWrap/>
            <w:vAlign w:val="bottom"/>
            <w:hideMark/>
          </w:tcPr>
          <w:p w14:paraId="0B27ED6F" w14:textId="77777777" w:rsidR="00634ABA" w:rsidRPr="00986F85" w:rsidRDefault="00634ABA" w:rsidP="00476987">
            <w:pPr>
              <w:spacing w:after="0" w:line="240" w:lineRule="auto"/>
              <w:jc w:val="center"/>
              <w:rPr>
                <w:rFonts w:eastAsia="Times New Roman"/>
                <w:b/>
                <w:color w:val="FFFFFF" w:themeColor="background1"/>
                <w:lang w:eastAsia="hu-HU"/>
              </w:rPr>
            </w:pPr>
            <w:r w:rsidRPr="00986F85">
              <w:rPr>
                <w:rFonts w:eastAsia="Times New Roman"/>
                <w:b/>
                <w:color w:val="FFFFFF" w:themeColor="background1"/>
                <w:lang w:eastAsia="hu-HU"/>
              </w:rPr>
              <w:t>GOP A vagy hasonló KMOP</w:t>
            </w:r>
          </w:p>
        </w:tc>
      </w:tr>
      <w:tr w:rsidR="00634ABA" w:rsidRPr="00986F85" w14:paraId="3B42BF1E" w14:textId="77777777" w:rsidTr="00EC6291">
        <w:trPr>
          <w:trHeight w:val="300"/>
        </w:trPr>
        <w:tc>
          <w:tcPr>
            <w:tcW w:w="1960" w:type="dxa"/>
            <w:tcBorders>
              <w:top w:val="nil"/>
              <w:left w:val="nil"/>
              <w:bottom w:val="nil"/>
              <w:right w:val="nil"/>
            </w:tcBorders>
            <w:shd w:val="clear" w:color="auto" w:fill="auto"/>
            <w:noWrap/>
            <w:vAlign w:val="bottom"/>
            <w:hideMark/>
          </w:tcPr>
          <w:p w14:paraId="60478EAF" w14:textId="77777777" w:rsidR="00634ABA" w:rsidRPr="00986F85" w:rsidRDefault="00634ABA" w:rsidP="00476987">
            <w:pPr>
              <w:spacing w:after="0" w:line="240" w:lineRule="auto"/>
              <w:rPr>
                <w:rFonts w:eastAsia="Times New Roman"/>
                <w:b/>
                <w:color w:val="000000"/>
                <w:lang w:eastAsia="hu-HU"/>
              </w:rPr>
            </w:pPr>
            <w:r w:rsidRPr="00986F85">
              <w:rPr>
                <w:rFonts w:eastAsia="Times New Roman"/>
                <w:b/>
                <w:color w:val="000000"/>
                <w:lang w:eastAsia="hu-HU"/>
              </w:rPr>
              <w:t>Percentilis</w:t>
            </w:r>
          </w:p>
        </w:tc>
        <w:tc>
          <w:tcPr>
            <w:tcW w:w="1460" w:type="dxa"/>
            <w:tcBorders>
              <w:top w:val="nil"/>
              <w:left w:val="nil"/>
              <w:bottom w:val="nil"/>
              <w:right w:val="nil"/>
            </w:tcBorders>
            <w:shd w:val="clear" w:color="auto" w:fill="auto"/>
            <w:noWrap/>
            <w:vAlign w:val="bottom"/>
            <w:hideMark/>
          </w:tcPr>
          <w:p w14:paraId="3439BC12" w14:textId="77777777" w:rsidR="00634ABA" w:rsidRPr="00986F85" w:rsidRDefault="00634ABA" w:rsidP="00476987">
            <w:pPr>
              <w:spacing w:after="0" w:line="240" w:lineRule="auto"/>
              <w:rPr>
                <w:rFonts w:eastAsia="Times New Roman"/>
                <w:b/>
                <w:color w:val="000000"/>
                <w:lang w:eastAsia="hu-HU"/>
              </w:rPr>
            </w:pPr>
            <w:r w:rsidRPr="00986F85">
              <w:rPr>
                <w:rFonts w:eastAsia="Times New Roman"/>
                <w:b/>
                <w:color w:val="000000"/>
                <w:lang w:eastAsia="hu-HU"/>
              </w:rPr>
              <w:t>3 fő felett</w:t>
            </w:r>
          </w:p>
        </w:tc>
        <w:tc>
          <w:tcPr>
            <w:tcW w:w="1460" w:type="dxa"/>
            <w:tcBorders>
              <w:top w:val="nil"/>
              <w:left w:val="nil"/>
              <w:bottom w:val="nil"/>
              <w:right w:val="nil"/>
            </w:tcBorders>
            <w:shd w:val="clear" w:color="auto" w:fill="auto"/>
            <w:noWrap/>
            <w:vAlign w:val="bottom"/>
            <w:hideMark/>
          </w:tcPr>
          <w:p w14:paraId="25F0D8FB" w14:textId="77777777" w:rsidR="00634ABA" w:rsidRPr="00986F85" w:rsidRDefault="00634ABA" w:rsidP="00476987">
            <w:pPr>
              <w:spacing w:after="0" w:line="240" w:lineRule="auto"/>
              <w:rPr>
                <w:rFonts w:eastAsia="Times New Roman"/>
                <w:b/>
                <w:color w:val="000000"/>
                <w:lang w:eastAsia="hu-HU"/>
              </w:rPr>
            </w:pPr>
            <w:r w:rsidRPr="00986F85">
              <w:rPr>
                <w:rFonts w:eastAsia="Times New Roman"/>
                <w:b/>
                <w:color w:val="000000"/>
                <w:lang w:eastAsia="hu-HU"/>
              </w:rPr>
              <w:t>5 fő felett</w:t>
            </w:r>
          </w:p>
        </w:tc>
        <w:tc>
          <w:tcPr>
            <w:tcW w:w="1641" w:type="dxa"/>
            <w:tcBorders>
              <w:top w:val="nil"/>
              <w:left w:val="nil"/>
              <w:bottom w:val="nil"/>
              <w:right w:val="nil"/>
            </w:tcBorders>
            <w:shd w:val="clear" w:color="auto" w:fill="auto"/>
            <w:noWrap/>
            <w:vAlign w:val="bottom"/>
            <w:hideMark/>
          </w:tcPr>
          <w:p w14:paraId="23C0D1E1" w14:textId="77777777" w:rsidR="00634ABA" w:rsidRPr="00986F85" w:rsidRDefault="00634ABA" w:rsidP="00476987">
            <w:pPr>
              <w:spacing w:after="0" w:line="240" w:lineRule="auto"/>
              <w:rPr>
                <w:rFonts w:eastAsia="Times New Roman"/>
                <w:b/>
                <w:color w:val="000000"/>
                <w:lang w:eastAsia="hu-HU"/>
              </w:rPr>
            </w:pPr>
            <w:r w:rsidRPr="00986F85">
              <w:rPr>
                <w:rFonts w:eastAsia="Times New Roman"/>
                <w:b/>
                <w:color w:val="000000"/>
                <w:lang w:eastAsia="hu-HU"/>
              </w:rPr>
              <w:t>3 fő felett</w:t>
            </w:r>
          </w:p>
        </w:tc>
        <w:tc>
          <w:tcPr>
            <w:tcW w:w="1176" w:type="dxa"/>
            <w:tcBorders>
              <w:top w:val="nil"/>
              <w:left w:val="nil"/>
              <w:bottom w:val="nil"/>
              <w:right w:val="nil"/>
            </w:tcBorders>
            <w:shd w:val="clear" w:color="auto" w:fill="auto"/>
            <w:noWrap/>
            <w:vAlign w:val="bottom"/>
            <w:hideMark/>
          </w:tcPr>
          <w:p w14:paraId="37405D29" w14:textId="77777777" w:rsidR="00634ABA" w:rsidRPr="00986F85" w:rsidRDefault="00634ABA" w:rsidP="00476987">
            <w:pPr>
              <w:spacing w:after="0" w:line="240" w:lineRule="auto"/>
              <w:rPr>
                <w:rFonts w:eastAsia="Times New Roman"/>
                <w:b/>
                <w:color w:val="000000"/>
                <w:lang w:eastAsia="hu-HU"/>
              </w:rPr>
            </w:pPr>
            <w:r w:rsidRPr="00986F85">
              <w:rPr>
                <w:rFonts w:eastAsia="Times New Roman"/>
                <w:b/>
                <w:color w:val="000000"/>
                <w:lang w:eastAsia="hu-HU"/>
              </w:rPr>
              <w:t>5 fő felett</w:t>
            </w:r>
          </w:p>
        </w:tc>
      </w:tr>
      <w:tr w:rsidR="00634ABA" w:rsidRPr="00986F85" w14:paraId="01FAF7D9" w14:textId="77777777" w:rsidTr="00EC6291">
        <w:trPr>
          <w:trHeight w:val="300"/>
        </w:trPr>
        <w:tc>
          <w:tcPr>
            <w:tcW w:w="1960" w:type="dxa"/>
            <w:tcBorders>
              <w:top w:val="nil"/>
              <w:left w:val="nil"/>
              <w:bottom w:val="nil"/>
              <w:right w:val="nil"/>
            </w:tcBorders>
            <w:shd w:val="clear" w:color="auto" w:fill="auto"/>
            <w:noWrap/>
            <w:vAlign w:val="bottom"/>
            <w:hideMark/>
          </w:tcPr>
          <w:p w14:paraId="0AAAB7D8"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1%</w:t>
            </w:r>
          </w:p>
        </w:tc>
        <w:tc>
          <w:tcPr>
            <w:tcW w:w="1460" w:type="dxa"/>
            <w:tcBorders>
              <w:top w:val="nil"/>
              <w:left w:val="nil"/>
              <w:bottom w:val="nil"/>
              <w:right w:val="nil"/>
            </w:tcBorders>
            <w:shd w:val="clear" w:color="auto" w:fill="auto"/>
            <w:noWrap/>
            <w:vAlign w:val="bottom"/>
            <w:hideMark/>
          </w:tcPr>
          <w:p w14:paraId="525B9A0E"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0.006</w:t>
            </w:r>
          </w:p>
        </w:tc>
        <w:tc>
          <w:tcPr>
            <w:tcW w:w="1460" w:type="dxa"/>
            <w:tcBorders>
              <w:top w:val="nil"/>
              <w:left w:val="nil"/>
              <w:bottom w:val="nil"/>
              <w:right w:val="nil"/>
            </w:tcBorders>
            <w:shd w:val="clear" w:color="auto" w:fill="auto"/>
            <w:noWrap/>
            <w:vAlign w:val="bottom"/>
            <w:hideMark/>
          </w:tcPr>
          <w:p w14:paraId="1F31FAF5"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0.005</w:t>
            </w:r>
          </w:p>
        </w:tc>
        <w:tc>
          <w:tcPr>
            <w:tcW w:w="1641" w:type="dxa"/>
            <w:tcBorders>
              <w:top w:val="nil"/>
              <w:left w:val="nil"/>
              <w:bottom w:val="nil"/>
              <w:right w:val="nil"/>
            </w:tcBorders>
            <w:shd w:val="clear" w:color="auto" w:fill="auto"/>
            <w:noWrap/>
            <w:vAlign w:val="bottom"/>
            <w:hideMark/>
          </w:tcPr>
          <w:p w14:paraId="5B7543BF"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0.010</w:t>
            </w:r>
          </w:p>
        </w:tc>
        <w:tc>
          <w:tcPr>
            <w:tcW w:w="1176" w:type="dxa"/>
            <w:tcBorders>
              <w:top w:val="nil"/>
              <w:left w:val="nil"/>
              <w:bottom w:val="nil"/>
              <w:right w:val="nil"/>
            </w:tcBorders>
            <w:shd w:val="clear" w:color="auto" w:fill="auto"/>
            <w:noWrap/>
            <w:vAlign w:val="bottom"/>
            <w:hideMark/>
          </w:tcPr>
          <w:p w14:paraId="3CB4DFD0"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0.009</w:t>
            </w:r>
          </w:p>
        </w:tc>
      </w:tr>
      <w:tr w:rsidR="00634ABA" w:rsidRPr="00986F85" w14:paraId="7947D66A" w14:textId="77777777" w:rsidTr="00EC6291">
        <w:trPr>
          <w:trHeight w:val="300"/>
        </w:trPr>
        <w:tc>
          <w:tcPr>
            <w:tcW w:w="1960" w:type="dxa"/>
            <w:tcBorders>
              <w:top w:val="nil"/>
              <w:left w:val="nil"/>
              <w:bottom w:val="nil"/>
              <w:right w:val="nil"/>
            </w:tcBorders>
            <w:shd w:val="clear" w:color="auto" w:fill="auto"/>
            <w:noWrap/>
            <w:vAlign w:val="bottom"/>
            <w:hideMark/>
          </w:tcPr>
          <w:p w14:paraId="1402E5AD"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5%</w:t>
            </w:r>
          </w:p>
        </w:tc>
        <w:tc>
          <w:tcPr>
            <w:tcW w:w="1460" w:type="dxa"/>
            <w:tcBorders>
              <w:top w:val="nil"/>
              <w:left w:val="nil"/>
              <w:bottom w:val="nil"/>
              <w:right w:val="nil"/>
            </w:tcBorders>
            <w:shd w:val="clear" w:color="auto" w:fill="auto"/>
            <w:noWrap/>
            <w:vAlign w:val="bottom"/>
            <w:hideMark/>
          </w:tcPr>
          <w:p w14:paraId="4E31C6E9"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0.011</w:t>
            </w:r>
          </w:p>
        </w:tc>
        <w:tc>
          <w:tcPr>
            <w:tcW w:w="1460" w:type="dxa"/>
            <w:tcBorders>
              <w:top w:val="nil"/>
              <w:left w:val="nil"/>
              <w:bottom w:val="nil"/>
              <w:right w:val="nil"/>
            </w:tcBorders>
            <w:shd w:val="clear" w:color="auto" w:fill="auto"/>
            <w:noWrap/>
            <w:vAlign w:val="bottom"/>
            <w:hideMark/>
          </w:tcPr>
          <w:p w14:paraId="66A8B7CD"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0.010</w:t>
            </w:r>
          </w:p>
        </w:tc>
        <w:tc>
          <w:tcPr>
            <w:tcW w:w="1641" w:type="dxa"/>
            <w:tcBorders>
              <w:top w:val="nil"/>
              <w:left w:val="nil"/>
              <w:bottom w:val="nil"/>
              <w:right w:val="nil"/>
            </w:tcBorders>
            <w:shd w:val="clear" w:color="auto" w:fill="auto"/>
            <w:noWrap/>
            <w:vAlign w:val="bottom"/>
            <w:hideMark/>
          </w:tcPr>
          <w:p w14:paraId="71A02789"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0.020</w:t>
            </w:r>
          </w:p>
        </w:tc>
        <w:tc>
          <w:tcPr>
            <w:tcW w:w="1176" w:type="dxa"/>
            <w:tcBorders>
              <w:top w:val="nil"/>
              <w:left w:val="nil"/>
              <w:bottom w:val="nil"/>
              <w:right w:val="nil"/>
            </w:tcBorders>
            <w:shd w:val="clear" w:color="auto" w:fill="auto"/>
            <w:noWrap/>
            <w:vAlign w:val="bottom"/>
            <w:hideMark/>
          </w:tcPr>
          <w:p w14:paraId="28199A79"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0.019</w:t>
            </w:r>
          </w:p>
        </w:tc>
      </w:tr>
      <w:tr w:rsidR="00634ABA" w:rsidRPr="00986F85" w14:paraId="1C055F97" w14:textId="77777777" w:rsidTr="00EC6291">
        <w:trPr>
          <w:trHeight w:val="300"/>
        </w:trPr>
        <w:tc>
          <w:tcPr>
            <w:tcW w:w="1960" w:type="dxa"/>
            <w:tcBorders>
              <w:top w:val="nil"/>
              <w:left w:val="nil"/>
              <w:bottom w:val="nil"/>
              <w:right w:val="nil"/>
            </w:tcBorders>
            <w:shd w:val="clear" w:color="auto" w:fill="auto"/>
            <w:noWrap/>
            <w:vAlign w:val="bottom"/>
            <w:hideMark/>
          </w:tcPr>
          <w:p w14:paraId="53F9A521"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10%</w:t>
            </w:r>
          </w:p>
        </w:tc>
        <w:tc>
          <w:tcPr>
            <w:tcW w:w="1460" w:type="dxa"/>
            <w:tcBorders>
              <w:top w:val="nil"/>
              <w:left w:val="nil"/>
              <w:bottom w:val="nil"/>
              <w:right w:val="nil"/>
            </w:tcBorders>
            <w:shd w:val="clear" w:color="auto" w:fill="auto"/>
            <w:noWrap/>
            <w:vAlign w:val="bottom"/>
            <w:hideMark/>
          </w:tcPr>
          <w:p w14:paraId="2B40D04F"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0.015</w:t>
            </w:r>
          </w:p>
        </w:tc>
        <w:tc>
          <w:tcPr>
            <w:tcW w:w="1460" w:type="dxa"/>
            <w:tcBorders>
              <w:top w:val="nil"/>
              <w:left w:val="nil"/>
              <w:bottom w:val="nil"/>
              <w:right w:val="nil"/>
            </w:tcBorders>
            <w:shd w:val="clear" w:color="auto" w:fill="auto"/>
            <w:noWrap/>
            <w:vAlign w:val="bottom"/>
            <w:hideMark/>
          </w:tcPr>
          <w:p w14:paraId="7084410F"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0.014</w:t>
            </w:r>
          </w:p>
        </w:tc>
        <w:tc>
          <w:tcPr>
            <w:tcW w:w="1641" w:type="dxa"/>
            <w:tcBorders>
              <w:top w:val="nil"/>
              <w:left w:val="nil"/>
              <w:bottom w:val="nil"/>
              <w:right w:val="nil"/>
            </w:tcBorders>
            <w:shd w:val="clear" w:color="auto" w:fill="auto"/>
            <w:noWrap/>
            <w:vAlign w:val="bottom"/>
            <w:hideMark/>
          </w:tcPr>
          <w:p w14:paraId="1CC0DEE7"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0.026</w:t>
            </w:r>
          </w:p>
        </w:tc>
        <w:tc>
          <w:tcPr>
            <w:tcW w:w="1176" w:type="dxa"/>
            <w:tcBorders>
              <w:top w:val="nil"/>
              <w:left w:val="nil"/>
              <w:bottom w:val="nil"/>
              <w:right w:val="nil"/>
            </w:tcBorders>
            <w:shd w:val="clear" w:color="auto" w:fill="auto"/>
            <w:noWrap/>
            <w:vAlign w:val="bottom"/>
            <w:hideMark/>
          </w:tcPr>
          <w:p w14:paraId="2E340089"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0.025</w:t>
            </w:r>
          </w:p>
        </w:tc>
      </w:tr>
      <w:tr w:rsidR="00634ABA" w:rsidRPr="00986F85" w14:paraId="528417CF" w14:textId="77777777" w:rsidTr="00EC6291">
        <w:trPr>
          <w:trHeight w:val="300"/>
        </w:trPr>
        <w:tc>
          <w:tcPr>
            <w:tcW w:w="1960" w:type="dxa"/>
            <w:tcBorders>
              <w:top w:val="nil"/>
              <w:left w:val="nil"/>
              <w:bottom w:val="nil"/>
              <w:right w:val="nil"/>
            </w:tcBorders>
            <w:shd w:val="clear" w:color="auto" w:fill="auto"/>
            <w:noWrap/>
            <w:vAlign w:val="bottom"/>
            <w:hideMark/>
          </w:tcPr>
          <w:p w14:paraId="1530D2D7"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25%</w:t>
            </w:r>
          </w:p>
        </w:tc>
        <w:tc>
          <w:tcPr>
            <w:tcW w:w="1460" w:type="dxa"/>
            <w:tcBorders>
              <w:top w:val="nil"/>
              <w:left w:val="nil"/>
              <w:bottom w:val="nil"/>
              <w:right w:val="nil"/>
            </w:tcBorders>
            <w:shd w:val="clear" w:color="auto" w:fill="auto"/>
            <w:noWrap/>
            <w:vAlign w:val="bottom"/>
            <w:hideMark/>
          </w:tcPr>
          <w:p w14:paraId="0D153150"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0.025</w:t>
            </w:r>
          </w:p>
        </w:tc>
        <w:tc>
          <w:tcPr>
            <w:tcW w:w="1460" w:type="dxa"/>
            <w:tcBorders>
              <w:top w:val="nil"/>
              <w:left w:val="nil"/>
              <w:bottom w:val="nil"/>
              <w:right w:val="nil"/>
            </w:tcBorders>
            <w:shd w:val="clear" w:color="auto" w:fill="auto"/>
            <w:noWrap/>
            <w:vAlign w:val="bottom"/>
            <w:hideMark/>
          </w:tcPr>
          <w:p w14:paraId="01118E2D"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0.025</w:t>
            </w:r>
          </w:p>
        </w:tc>
        <w:tc>
          <w:tcPr>
            <w:tcW w:w="1641" w:type="dxa"/>
            <w:tcBorders>
              <w:top w:val="nil"/>
              <w:left w:val="nil"/>
              <w:bottom w:val="nil"/>
              <w:right w:val="nil"/>
            </w:tcBorders>
            <w:shd w:val="clear" w:color="auto" w:fill="auto"/>
            <w:noWrap/>
            <w:vAlign w:val="bottom"/>
            <w:hideMark/>
          </w:tcPr>
          <w:p w14:paraId="19880C19"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0.041</w:t>
            </w:r>
          </w:p>
        </w:tc>
        <w:tc>
          <w:tcPr>
            <w:tcW w:w="1176" w:type="dxa"/>
            <w:tcBorders>
              <w:top w:val="nil"/>
              <w:left w:val="nil"/>
              <w:bottom w:val="nil"/>
              <w:right w:val="nil"/>
            </w:tcBorders>
            <w:shd w:val="clear" w:color="auto" w:fill="auto"/>
            <w:noWrap/>
            <w:vAlign w:val="bottom"/>
            <w:hideMark/>
          </w:tcPr>
          <w:p w14:paraId="1344D3F5"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0.041</w:t>
            </w:r>
          </w:p>
        </w:tc>
      </w:tr>
      <w:tr w:rsidR="00634ABA" w:rsidRPr="00986F85" w14:paraId="33C3EFE3" w14:textId="77777777" w:rsidTr="00EC6291">
        <w:trPr>
          <w:trHeight w:val="300"/>
        </w:trPr>
        <w:tc>
          <w:tcPr>
            <w:tcW w:w="1960" w:type="dxa"/>
            <w:tcBorders>
              <w:top w:val="nil"/>
              <w:left w:val="nil"/>
              <w:bottom w:val="nil"/>
              <w:right w:val="nil"/>
            </w:tcBorders>
            <w:shd w:val="clear" w:color="auto" w:fill="auto"/>
            <w:noWrap/>
            <w:vAlign w:val="bottom"/>
            <w:hideMark/>
          </w:tcPr>
          <w:p w14:paraId="3092526E"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50%</w:t>
            </w:r>
          </w:p>
        </w:tc>
        <w:tc>
          <w:tcPr>
            <w:tcW w:w="1460" w:type="dxa"/>
            <w:tcBorders>
              <w:top w:val="nil"/>
              <w:left w:val="nil"/>
              <w:bottom w:val="nil"/>
              <w:right w:val="nil"/>
            </w:tcBorders>
            <w:shd w:val="clear" w:color="auto" w:fill="auto"/>
            <w:noWrap/>
            <w:vAlign w:val="bottom"/>
            <w:hideMark/>
          </w:tcPr>
          <w:p w14:paraId="7871093E"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0.046</w:t>
            </w:r>
          </w:p>
        </w:tc>
        <w:tc>
          <w:tcPr>
            <w:tcW w:w="1460" w:type="dxa"/>
            <w:tcBorders>
              <w:top w:val="nil"/>
              <w:left w:val="nil"/>
              <w:bottom w:val="nil"/>
              <w:right w:val="nil"/>
            </w:tcBorders>
            <w:shd w:val="clear" w:color="auto" w:fill="auto"/>
            <w:noWrap/>
            <w:vAlign w:val="bottom"/>
            <w:hideMark/>
          </w:tcPr>
          <w:p w14:paraId="237C9413"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0.045</w:t>
            </w:r>
          </w:p>
        </w:tc>
        <w:tc>
          <w:tcPr>
            <w:tcW w:w="1641" w:type="dxa"/>
            <w:tcBorders>
              <w:top w:val="nil"/>
              <w:left w:val="nil"/>
              <w:bottom w:val="nil"/>
              <w:right w:val="nil"/>
            </w:tcBorders>
            <w:shd w:val="clear" w:color="auto" w:fill="auto"/>
            <w:noWrap/>
            <w:vAlign w:val="bottom"/>
            <w:hideMark/>
          </w:tcPr>
          <w:p w14:paraId="7D495CD0"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0.065</w:t>
            </w:r>
          </w:p>
        </w:tc>
        <w:tc>
          <w:tcPr>
            <w:tcW w:w="1176" w:type="dxa"/>
            <w:tcBorders>
              <w:top w:val="nil"/>
              <w:left w:val="nil"/>
              <w:bottom w:val="nil"/>
              <w:right w:val="nil"/>
            </w:tcBorders>
            <w:shd w:val="clear" w:color="auto" w:fill="auto"/>
            <w:noWrap/>
            <w:vAlign w:val="bottom"/>
            <w:hideMark/>
          </w:tcPr>
          <w:p w14:paraId="027A9572"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0.066</w:t>
            </w:r>
          </w:p>
        </w:tc>
      </w:tr>
      <w:tr w:rsidR="00634ABA" w:rsidRPr="00986F85" w14:paraId="04D07227" w14:textId="77777777" w:rsidTr="00EC6291">
        <w:trPr>
          <w:trHeight w:val="300"/>
        </w:trPr>
        <w:tc>
          <w:tcPr>
            <w:tcW w:w="1960" w:type="dxa"/>
            <w:tcBorders>
              <w:top w:val="nil"/>
              <w:left w:val="nil"/>
              <w:bottom w:val="nil"/>
              <w:right w:val="nil"/>
            </w:tcBorders>
            <w:shd w:val="clear" w:color="auto" w:fill="auto"/>
            <w:noWrap/>
            <w:vAlign w:val="bottom"/>
            <w:hideMark/>
          </w:tcPr>
          <w:p w14:paraId="7ED69727"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75%</w:t>
            </w:r>
          </w:p>
        </w:tc>
        <w:tc>
          <w:tcPr>
            <w:tcW w:w="1460" w:type="dxa"/>
            <w:tcBorders>
              <w:top w:val="nil"/>
              <w:left w:val="nil"/>
              <w:bottom w:val="nil"/>
              <w:right w:val="nil"/>
            </w:tcBorders>
            <w:shd w:val="clear" w:color="auto" w:fill="auto"/>
            <w:noWrap/>
            <w:vAlign w:val="bottom"/>
            <w:hideMark/>
          </w:tcPr>
          <w:p w14:paraId="0971B326"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0.082</w:t>
            </w:r>
          </w:p>
        </w:tc>
        <w:tc>
          <w:tcPr>
            <w:tcW w:w="1460" w:type="dxa"/>
            <w:tcBorders>
              <w:top w:val="nil"/>
              <w:left w:val="nil"/>
              <w:bottom w:val="nil"/>
              <w:right w:val="nil"/>
            </w:tcBorders>
            <w:shd w:val="clear" w:color="auto" w:fill="auto"/>
            <w:noWrap/>
            <w:vAlign w:val="bottom"/>
            <w:hideMark/>
          </w:tcPr>
          <w:p w14:paraId="69F27592"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0.084</w:t>
            </w:r>
          </w:p>
        </w:tc>
        <w:tc>
          <w:tcPr>
            <w:tcW w:w="1641" w:type="dxa"/>
            <w:tcBorders>
              <w:top w:val="nil"/>
              <w:left w:val="nil"/>
              <w:bottom w:val="nil"/>
              <w:right w:val="nil"/>
            </w:tcBorders>
            <w:shd w:val="clear" w:color="auto" w:fill="auto"/>
            <w:noWrap/>
            <w:vAlign w:val="bottom"/>
            <w:hideMark/>
          </w:tcPr>
          <w:p w14:paraId="159547CB"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0.097</w:t>
            </w:r>
          </w:p>
        </w:tc>
        <w:tc>
          <w:tcPr>
            <w:tcW w:w="1176" w:type="dxa"/>
            <w:tcBorders>
              <w:top w:val="nil"/>
              <w:left w:val="nil"/>
              <w:bottom w:val="nil"/>
              <w:right w:val="nil"/>
            </w:tcBorders>
            <w:shd w:val="clear" w:color="auto" w:fill="auto"/>
            <w:noWrap/>
            <w:vAlign w:val="bottom"/>
            <w:hideMark/>
          </w:tcPr>
          <w:p w14:paraId="1AF003DA"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0.100</w:t>
            </w:r>
          </w:p>
        </w:tc>
      </w:tr>
      <w:tr w:rsidR="00634ABA" w:rsidRPr="00986F85" w14:paraId="0B9D68AD" w14:textId="77777777" w:rsidTr="00EC6291">
        <w:trPr>
          <w:trHeight w:val="300"/>
        </w:trPr>
        <w:tc>
          <w:tcPr>
            <w:tcW w:w="1960" w:type="dxa"/>
            <w:tcBorders>
              <w:top w:val="nil"/>
              <w:left w:val="nil"/>
              <w:bottom w:val="nil"/>
              <w:right w:val="nil"/>
            </w:tcBorders>
            <w:shd w:val="clear" w:color="auto" w:fill="auto"/>
            <w:noWrap/>
            <w:vAlign w:val="bottom"/>
            <w:hideMark/>
          </w:tcPr>
          <w:p w14:paraId="4BB7FF3C"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90%</w:t>
            </w:r>
          </w:p>
        </w:tc>
        <w:tc>
          <w:tcPr>
            <w:tcW w:w="1460" w:type="dxa"/>
            <w:tcBorders>
              <w:top w:val="nil"/>
              <w:left w:val="nil"/>
              <w:bottom w:val="nil"/>
              <w:right w:val="nil"/>
            </w:tcBorders>
            <w:shd w:val="clear" w:color="auto" w:fill="auto"/>
            <w:noWrap/>
            <w:vAlign w:val="bottom"/>
            <w:hideMark/>
          </w:tcPr>
          <w:p w14:paraId="6CC77C0F"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0.127</w:t>
            </w:r>
          </w:p>
        </w:tc>
        <w:tc>
          <w:tcPr>
            <w:tcW w:w="1460" w:type="dxa"/>
            <w:tcBorders>
              <w:top w:val="nil"/>
              <w:left w:val="nil"/>
              <w:bottom w:val="nil"/>
              <w:right w:val="nil"/>
            </w:tcBorders>
            <w:shd w:val="clear" w:color="auto" w:fill="auto"/>
            <w:noWrap/>
            <w:vAlign w:val="bottom"/>
            <w:hideMark/>
          </w:tcPr>
          <w:p w14:paraId="3BEF2E6E"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0.130</w:t>
            </w:r>
          </w:p>
        </w:tc>
        <w:tc>
          <w:tcPr>
            <w:tcW w:w="1641" w:type="dxa"/>
            <w:tcBorders>
              <w:top w:val="nil"/>
              <w:left w:val="nil"/>
              <w:bottom w:val="nil"/>
              <w:right w:val="nil"/>
            </w:tcBorders>
            <w:shd w:val="clear" w:color="auto" w:fill="auto"/>
            <w:noWrap/>
            <w:vAlign w:val="bottom"/>
            <w:hideMark/>
          </w:tcPr>
          <w:p w14:paraId="61D509DA"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0.141</w:t>
            </w:r>
          </w:p>
        </w:tc>
        <w:tc>
          <w:tcPr>
            <w:tcW w:w="1176" w:type="dxa"/>
            <w:tcBorders>
              <w:top w:val="nil"/>
              <w:left w:val="nil"/>
              <w:bottom w:val="nil"/>
              <w:right w:val="nil"/>
            </w:tcBorders>
            <w:shd w:val="clear" w:color="auto" w:fill="auto"/>
            <w:noWrap/>
            <w:vAlign w:val="bottom"/>
            <w:hideMark/>
          </w:tcPr>
          <w:p w14:paraId="44E7CC82"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0.144</w:t>
            </w:r>
          </w:p>
        </w:tc>
      </w:tr>
      <w:tr w:rsidR="00634ABA" w:rsidRPr="00986F85" w14:paraId="2AD1D19C" w14:textId="77777777" w:rsidTr="00EC6291">
        <w:trPr>
          <w:trHeight w:val="300"/>
        </w:trPr>
        <w:tc>
          <w:tcPr>
            <w:tcW w:w="1960" w:type="dxa"/>
            <w:tcBorders>
              <w:top w:val="nil"/>
              <w:left w:val="nil"/>
              <w:bottom w:val="nil"/>
              <w:right w:val="nil"/>
            </w:tcBorders>
            <w:shd w:val="clear" w:color="auto" w:fill="auto"/>
            <w:noWrap/>
            <w:vAlign w:val="bottom"/>
            <w:hideMark/>
          </w:tcPr>
          <w:p w14:paraId="30C57955"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95%</w:t>
            </w:r>
          </w:p>
        </w:tc>
        <w:tc>
          <w:tcPr>
            <w:tcW w:w="1460" w:type="dxa"/>
            <w:tcBorders>
              <w:top w:val="nil"/>
              <w:left w:val="nil"/>
              <w:bottom w:val="nil"/>
              <w:right w:val="nil"/>
            </w:tcBorders>
            <w:shd w:val="clear" w:color="auto" w:fill="auto"/>
            <w:noWrap/>
            <w:vAlign w:val="bottom"/>
            <w:hideMark/>
          </w:tcPr>
          <w:p w14:paraId="22CC8C78"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0.165</w:t>
            </w:r>
          </w:p>
        </w:tc>
        <w:tc>
          <w:tcPr>
            <w:tcW w:w="1460" w:type="dxa"/>
            <w:tcBorders>
              <w:top w:val="nil"/>
              <w:left w:val="nil"/>
              <w:bottom w:val="nil"/>
              <w:right w:val="nil"/>
            </w:tcBorders>
            <w:shd w:val="clear" w:color="auto" w:fill="auto"/>
            <w:noWrap/>
            <w:vAlign w:val="bottom"/>
            <w:hideMark/>
          </w:tcPr>
          <w:p w14:paraId="1C35A23A"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0.168</w:t>
            </w:r>
          </w:p>
        </w:tc>
        <w:tc>
          <w:tcPr>
            <w:tcW w:w="1641" w:type="dxa"/>
            <w:tcBorders>
              <w:top w:val="nil"/>
              <w:left w:val="nil"/>
              <w:bottom w:val="nil"/>
              <w:right w:val="nil"/>
            </w:tcBorders>
            <w:shd w:val="clear" w:color="auto" w:fill="auto"/>
            <w:noWrap/>
            <w:vAlign w:val="bottom"/>
            <w:hideMark/>
          </w:tcPr>
          <w:p w14:paraId="509D3B40"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0.176</w:t>
            </w:r>
          </w:p>
        </w:tc>
        <w:tc>
          <w:tcPr>
            <w:tcW w:w="1176" w:type="dxa"/>
            <w:tcBorders>
              <w:top w:val="nil"/>
              <w:left w:val="nil"/>
              <w:bottom w:val="nil"/>
              <w:right w:val="nil"/>
            </w:tcBorders>
            <w:shd w:val="clear" w:color="auto" w:fill="auto"/>
            <w:noWrap/>
            <w:vAlign w:val="bottom"/>
            <w:hideMark/>
          </w:tcPr>
          <w:p w14:paraId="3AF6D839"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0.179</w:t>
            </w:r>
          </w:p>
        </w:tc>
      </w:tr>
      <w:tr w:rsidR="00634ABA" w:rsidRPr="00986F85" w14:paraId="5069BB5E" w14:textId="77777777" w:rsidTr="00EC6291">
        <w:trPr>
          <w:trHeight w:val="300"/>
        </w:trPr>
        <w:tc>
          <w:tcPr>
            <w:tcW w:w="1960" w:type="dxa"/>
            <w:tcBorders>
              <w:top w:val="nil"/>
              <w:left w:val="nil"/>
              <w:bottom w:val="nil"/>
              <w:right w:val="nil"/>
            </w:tcBorders>
            <w:shd w:val="clear" w:color="auto" w:fill="auto"/>
            <w:noWrap/>
            <w:vAlign w:val="bottom"/>
            <w:hideMark/>
          </w:tcPr>
          <w:p w14:paraId="4E630B6A"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99%</w:t>
            </w:r>
          </w:p>
        </w:tc>
        <w:tc>
          <w:tcPr>
            <w:tcW w:w="1460" w:type="dxa"/>
            <w:tcBorders>
              <w:top w:val="nil"/>
              <w:left w:val="nil"/>
              <w:bottom w:val="nil"/>
              <w:right w:val="nil"/>
            </w:tcBorders>
            <w:shd w:val="clear" w:color="auto" w:fill="auto"/>
            <w:noWrap/>
            <w:vAlign w:val="bottom"/>
            <w:hideMark/>
          </w:tcPr>
          <w:p w14:paraId="48B9AEC2"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0.256</w:t>
            </w:r>
          </w:p>
        </w:tc>
        <w:tc>
          <w:tcPr>
            <w:tcW w:w="1460" w:type="dxa"/>
            <w:tcBorders>
              <w:top w:val="nil"/>
              <w:left w:val="nil"/>
              <w:bottom w:val="nil"/>
              <w:right w:val="nil"/>
            </w:tcBorders>
            <w:shd w:val="clear" w:color="auto" w:fill="auto"/>
            <w:noWrap/>
            <w:vAlign w:val="bottom"/>
            <w:hideMark/>
          </w:tcPr>
          <w:p w14:paraId="16722CBC"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0.260</w:t>
            </w:r>
          </w:p>
        </w:tc>
        <w:tc>
          <w:tcPr>
            <w:tcW w:w="1641" w:type="dxa"/>
            <w:tcBorders>
              <w:top w:val="nil"/>
              <w:left w:val="nil"/>
              <w:bottom w:val="nil"/>
              <w:right w:val="nil"/>
            </w:tcBorders>
            <w:shd w:val="clear" w:color="auto" w:fill="auto"/>
            <w:noWrap/>
            <w:vAlign w:val="bottom"/>
            <w:hideMark/>
          </w:tcPr>
          <w:p w14:paraId="352ADD1F"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0.258</w:t>
            </w:r>
          </w:p>
        </w:tc>
        <w:tc>
          <w:tcPr>
            <w:tcW w:w="1176" w:type="dxa"/>
            <w:tcBorders>
              <w:top w:val="nil"/>
              <w:left w:val="nil"/>
              <w:bottom w:val="nil"/>
              <w:right w:val="nil"/>
            </w:tcBorders>
            <w:shd w:val="clear" w:color="auto" w:fill="auto"/>
            <w:noWrap/>
            <w:vAlign w:val="bottom"/>
            <w:hideMark/>
          </w:tcPr>
          <w:p w14:paraId="4871CA46"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0.262</w:t>
            </w:r>
          </w:p>
        </w:tc>
      </w:tr>
      <w:tr w:rsidR="00634ABA" w:rsidRPr="00986F85" w14:paraId="6C83C329" w14:textId="77777777" w:rsidTr="00EC6291">
        <w:trPr>
          <w:trHeight w:val="300"/>
        </w:trPr>
        <w:tc>
          <w:tcPr>
            <w:tcW w:w="1960" w:type="dxa"/>
            <w:tcBorders>
              <w:top w:val="nil"/>
              <w:left w:val="nil"/>
              <w:bottom w:val="nil"/>
              <w:right w:val="nil"/>
            </w:tcBorders>
            <w:shd w:val="clear" w:color="auto" w:fill="auto"/>
            <w:noWrap/>
            <w:vAlign w:val="bottom"/>
            <w:hideMark/>
          </w:tcPr>
          <w:p w14:paraId="0345DA1F" w14:textId="77777777" w:rsidR="00634ABA" w:rsidRPr="00986F85" w:rsidRDefault="00634ABA" w:rsidP="00476987">
            <w:pPr>
              <w:spacing w:after="0" w:line="240" w:lineRule="auto"/>
              <w:rPr>
                <w:rFonts w:eastAsia="Times New Roman"/>
                <w:color w:val="000000"/>
                <w:lang w:eastAsia="hu-HU"/>
              </w:rPr>
            </w:pPr>
          </w:p>
          <w:p w14:paraId="29CD89FD"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Legkisebb</w:t>
            </w:r>
          </w:p>
        </w:tc>
        <w:tc>
          <w:tcPr>
            <w:tcW w:w="1460" w:type="dxa"/>
            <w:tcBorders>
              <w:top w:val="nil"/>
              <w:left w:val="nil"/>
              <w:bottom w:val="nil"/>
              <w:right w:val="nil"/>
            </w:tcBorders>
            <w:shd w:val="clear" w:color="auto" w:fill="auto"/>
            <w:noWrap/>
            <w:vAlign w:val="bottom"/>
            <w:hideMark/>
          </w:tcPr>
          <w:p w14:paraId="4D3387A1"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0.000</w:t>
            </w:r>
          </w:p>
        </w:tc>
        <w:tc>
          <w:tcPr>
            <w:tcW w:w="1460" w:type="dxa"/>
            <w:tcBorders>
              <w:top w:val="nil"/>
              <w:left w:val="nil"/>
              <w:bottom w:val="nil"/>
              <w:right w:val="nil"/>
            </w:tcBorders>
            <w:shd w:val="clear" w:color="auto" w:fill="auto"/>
            <w:noWrap/>
            <w:vAlign w:val="bottom"/>
            <w:hideMark/>
          </w:tcPr>
          <w:p w14:paraId="4CE6F85D"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0.000</w:t>
            </w:r>
          </w:p>
        </w:tc>
        <w:tc>
          <w:tcPr>
            <w:tcW w:w="1641" w:type="dxa"/>
            <w:tcBorders>
              <w:top w:val="nil"/>
              <w:left w:val="nil"/>
              <w:bottom w:val="nil"/>
              <w:right w:val="nil"/>
            </w:tcBorders>
            <w:shd w:val="clear" w:color="auto" w:fill="auto"/>
            <w:noWrap/>
            <w:vAlign w:val="bottom"/>
            <w:hideMark/>
          </w:tcPr>
          <w:p w14:paraId="53D2EF8F"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0.000</w:t>
            </w:r>
          </w:p>
        </w:tc>
        <w:tc>
          <w:tcPr>
            <w:tcW w:w="1176" w:type="dxa"/>
            <w:tcBorders>
              <w:top w:val="nil"/>
              <w:left w:val="nil"/>
              <w:bottom w:val="nil"/>
              <w:right w:val="nil"/>
            </w:tcBorders>
            <w:shd w:val="clear" w:color="auto" w:fill="auto"/>
            <w:noWrap/>
            <w:vAlign w:val="bottom"/>
            <w:hideMark/>
          </w:tcPr>
          <w:p w14:paraId="5E3D30BE"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0.000</w:t>
            </w:r>
          </w:p>
        </w:tc>
      </w:tr>
      <w:tr w:rsidR="00634ABA" w:rsidRPr="00986F85" w14:paraId="256A4F2F" w14:textId="77777777" w:rsidTr="00EC6291">
        <w:trPr>
          <w:trHeight w:val="300"/>
        </w:trPr>
        <w:tc>
          <w:tcPr>
            <w:tcW w:w="1960" w:type="dxa"/>
            <w:tcBorders>
              <w:top w:val="nil"/>
              <w:left w:val="nil"/>
              <w:bottom w:val="nil"/>
              <w:right w:val="nil"/>
            </w:tcBorders>
            <w:shd w:val="clear" w:color="auto" w:fill="auto"/>
            <w:noWrap/>
            <w:vAlign w:val="bottom"/>
            <w:hideMark/>
          </w:tcPr>
          <w:p w14:paraId="15E2E971"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Legnagyobb</w:t>
            </w:r>
          </w:p>
        </w:tc>
        <w:tc>
          <w:tcPr>
            <w:tcW w:w="1460" w:type="dxa"/>
            <w:tcBorders>
              <w:top w:val="nil"/>
              <w:left w:val="nil"/>
              <w:bottom w:val="nil"/>
              <w:right w:val="nil"/>
            </w:tcBorders>
            <w:shd w:val="clear" w:color="auto" w:fill="auto"/>
            <w:noWrap/>
            <w:vAlign w:val="bottom"/>
            <w:hideMark/>
          </w:tcPr>
          <w:p w14:paraId="3D225D1B"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0.557</w:t>
            </w:r>
          </w:p>
        </w:tc>
        <w:tc>
          <w:tcPr>
            <w:tcW w:w="1460" w:type="dxa"/>
            <w:tcBorders>
              <w:top w:val="nil"/>
              <w:left w:val="nil"/>
              <w:bottom w:val="nil"/>
              <w:right w:val="nil"/>
            </w:tcBorders>
            <w:shd w:val="clear" w:color="auto" w:fill="auto"/>
            <w:noWrap/>
            <w:vAlign w:val="bottom"/>
            <w:hideMark/>
          </w:tcPr>
          <w:p w14:paraId="6A5AB277"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0.503</w:t>
            </w:r>
          </w:p>
        </w:tc>
        <w:tc>
          <w:tcPr>
            <w:tcW w:w="1641" w:type="dxa"/>
            <w:tcBorders>
              <w:top w:val="nil"/>
              <w:left w:val="nil"/>
              <w:bottom w:val="nil"/>
              <w:right w:val="nil"/>
            </w:tcBorders>
            <w:shd w:val="clear" w:color="auto" w:fill="auto"/>
            <w:noWrap/>
            <w:vAlign w:val="bottom"/>
            <w:hideMark/>
          </w:tcPr>
          <w:p w14:paraId="347D8162"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0.537</w:t>
            </w:r>
          </w:p>
        </w:tc>
        <w:tc>
          <w:tcPr>
            <w:tcW w:w="1176" w:type="dxa"/>
            <w:tcBorders>
              <w:top w:val="nil"/>
              <w:left w:val="nil"/>
              <w:bottom w:val="nil"/>
              <w:right w:val="nil"/>
            </w:tcBorders>
            <w:shd w:val="clear" w:color="auto" w:fill="auto"/>
            <w:noWrap/>
            <w:vAlign w:val="bottom"/>
            <w:hideMark/>
          </w:tcPr>
          <w:p w14:paraId="4DD953A2"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0.508</w:t>
            </w:r>
          </w:p>
        </w:tc>
      </w:tr>
      <w:tr w:rsidR="00634ABA" w:rsidRPr="00986F85" w14:paraId="0FD03842" w14:textId="77777777" w:rsidTr="00EC6291">
        <w:trPr>
          <w:trHeight w:val="300"/>
        </w:trPr>
        <w:tc>
          <w:tcPr>
            <w:tcW w:w="1960" w:type="dxa"/>
            <w:tcBorders>
              <w:top w:val="nil"/>
              <w:left w:val="nil"/>
              <w:bottom w:val="nil"/>
              <w:right w:val="nil"/>
            </w:tcBorders>
            <w:shd w:val="clear" w:color="auto" w:fill="auto"/>
            <w:noWrap/>
            <w:vAlign w:val="bottom"/>
            <w:hideMark/>
          </w:tcPr>
          <w:p w14:paraId="7A6C9609"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Átlag</w:t>
            </w:r>
          </w:p>
        </w:tc>
        <w:tc>
          <w:tcPr>
            <w:tcW w:w="1460" w:type="dxa"/>
            <w:tcBorders>
              <w:top w:val="nil"/>
              <w:left w:val="nil"/>
              <w:bottom w:val="nil"/>
              <w:right w:val="nil"/>
            </w:tcBorders>
            <w:shd w:val="clear" w:color="auto" w:fill="auto"/>
            <w:noWrap/>
            <w:vAlign w:val="bottom"/>
            <w:hideMark/>
          </w:tcPr>
          <w:p w14:paraId="32C4E0EA"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0.062</w:t>
            </w:r>
          </w:p>
        </w:tc>
        <w:tc>
          <w:tcPr>
            <w:tcW w:w="1460" w:type="dxa"/>
            <w:tcBorders>
              <w:top w:val="nil"/>
              <w:left w:val="nil"/>
              <w:bottom w:val="nil"/>
              <w:right w:val="nil"/>
            </w:tcBorders>
            <w:shd w:val="clear" w:color="auto" w:fill="auto"/>
            <w:noWrap/>
            <w:vAlign w:val="bottom"/>
            <w:hideMark/>
          </w:tcPr>
          <w:p w14:paraId="45F53E69"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0.062</w:t>
            </w:r>
          </w:p>
        </w:tc>
        <w:tc>
          <w:tcPr>
            <w:tcW w:w="1641" w:type="dxa"/>
            <w:tcBorders>
              <w:top w:val="nil"/>
              <w:left w:val="nil"/>
              <w:bottom w:val="nil"/>
              <w:right w:val="nil"/>
            </w:tcBorders>
            <w:shd w:val="clear" w:color="auto" w:fill="auto"/>
            <w:noWrap/>
            <w:vAlign w:val="bottom"/>
            <w:hideMark/>
          </w:tcPr>
          <w:p w14:paraId="6C680DF8"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0.076</w:t>
            </w:r>
          </w:p>
        </w:tc>
        <w:tc>
          <w:tcPr>
            <w:tcW w:w="1176" w:type="dxa"/>
            <w:tcBorders>
              <w:top w:val="nil"/>
              <w:left w:val="nil"/>
              <w:bottom w:val="nil"/>
              <w:right w:val="nil"/>
            </w:tcBorders>
            <w:shd w:val="clear" w:color="auto" w:fill="auto"/>
            <w:noWrap/>
            <w:vAlign w:val="bottom"/>
            <w:hideMark/>
          </w:tcPr>
          <w:p w14:paraId="6EECDC66"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0.078</w:t>
            </w:r>
          </w:p>
        </w:tc>
      </w:tr>
      <w:tr w:rsidR="00634ABA" w:rsidRPr="00986F85" w14:paraId="295C24C7" w14:textId="77777777" w:rsidTr="00EC6291">
        <w:trPr>
          <w:trHeight w:val="300"/>
        </w:trPr>
        <w:tc>
          <w:tcPr>
            <w:tcW w:w="1960" w:type="dxa"/>
            <w:tcBorders>
              <w:top w:val="nil"/>
              <w:left w:val="nil"/>
              <w:bottom w:val="nil"/>
              <w:right w:val="nil"/>
            </w:tcBorders>
            <w:shd w:val="clear" w:color="auto" w:fill="auto"/>
            <w:noWrap/>
            <w:vAlign w:val="bottom"/>
            <w:hideMark/>
          </w:tcPr>
          <w:p w14:paraId="420AF18D"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Szórás</w:t>
            </w:r>
          </w:p>
        </w:tc>
        <w:tc>
          <w:tcPr>
            <w:tcW w:w="1460" w:type="dxa"/>
            <w:tcBorders>
              <w:top w:val="nil"/>
              <w:left w:val="nil"/>
              <w:bottom w:val="nil"/>
              <w:right w:val="nil"/>
            </w:tcBorders>
            <w:shd w:val="clear" w:color="auto" w:fill="auto"/>
            <w:noWrap/>
            <w:vAlign w:val="bottom"/>
            <w:hideMark/>
          </w:tcPr>
          <w:p w14:paraId="38E18331"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0.052</w:t>
            </w:r>
          </w:p>
        </w:tc>
        <w:tc>
          <w:tcPr>
            <w:tcW w:w="1460" w:type="dxa"/>
            <w:tcBorders>
              <w:top w:val="nil"/>
              <w:left w:val="nil"/>
              <w:bottom w:val="nil"/>
              <w:right w:val="nil"/>
            </w:tcBorders>
            <w:shd w:val="clear" w:color="auto" w:fill="auto"/>
            <w:noWrap/>
            <w:vAlign w:val="bottom"/>
            <w:hideMark/>
          </w:tcPr>
          <w:p w14:paraId="3E72C7E4"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0.054</w:t>
            </w:r>
          </w:p>
        </w:tc>
        <w:tc>
          <w:tcPr>
            <w:tcW w:w="1641" w:type="dxa"/>
            <w:tcBorders>
              <w:top w:val="nil"/>
              <w:left w:val="nil"/>
              <w:bottom w:val="nil"/>
              <w:right w:val="nil"/>
            </w:tcBorders>
            <w:shd w:val="clear" w:color="auto" w:fill="auto"/>
            <w:noWrap/>
            <w:vAlign w:val="bottom"/>
            <w:hideMark/>
          </w:tcPr>
          <w:p w14:paraId="546B4E8B"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0.051</w:t>
            </w:r>
          </w:p>
        </w:tc>
        <w:tc>
          <w:tcPr>
            <w:tcW w:w="1176" w:type="dxa"/>
            <w:tcBorders>
              <w:top w:val="nil"/>
              <w:left w:val="nil"/>
              <w:bottom w:val="nil"/>
              <w:right w:val="nil"/>
            </w:tcBorders>
            <w:shd w:val="clear" w:color="auto" w:fill="auto"/>
            <w:noWrap/>
            <w:vAlign w:val="bottom"/>
            <w:hideMark/>
          </w:tcPr>
          <w:p w14:paraId="33B106BC"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0.052</w:t>
            </w:r>
          </w:p>
        </w:tc>
      </w:tr>
      <w:tr w:rsidR="00634ABA" w:rsidRPr="00986F85" w14:paraId="0AC1B001" w14:textId="77777777" w:rsidTr="00EC6291">
        <w:trPr>
          <w:trHeight w:val="300"/>
        </w:trPr>
        <w:tc>
          <w:tcPr>
            <w:tcW w:w="1960" w:type="dxa"/>
            <w:tcBorders>
              <w:top w:val="nil"/>
              <w:left w:val="nil"/>
              <w:bottom w:val="nil"/>
              <w:right w:val="nil"/>
            </w:tcBorders>
            <w:shd w:val="clear" w:color="auto" w:fill="auto"/>
            <w:noWrap/>
            <w:vAlign w:val="bottom"/>
            <w:hideMark/>
          </w:tcPr>
          <w:p w14:paraId="4EFBAEE6"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Megfigyelés</w:t>
            </w:r>
          </w:p>
        </w:tc>
        <w:tc>
          <w:tcPr>
            <w:tcW w:w="1460" w:type="dxa"/>
            <w:tcBorders>
              <w:top w:val="nil"/>
              <w:left w:val="nil"/>
              <w:bottom w:val="nil"/>
              <w:right w:val="nil"/>
            </w:tcBorders>
            <w:shd w:val="clear" w:color="auto" w:fill="auto"/>
            <w:noWrap/>
            <w:vAlign w:val="bottom"/>
            <w:hideMark/>
          </w:tcPr>
          <w:p w14:paraId="287187C5"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588876</w:t>
            </w:r>
          </w:p>
        </w:tc>
        <w:tc>
          <w:tcPr>
            <w:tcW w:w="1460" w:type="dxa"/>
            <w:tcBorders>
              <w:top w:val="nil"/>
              <w:left w:val="nil"/>
              <w:bottom w:val="nil"/>
              <w:right w:val="nil"/>
            </w:tcBorders>
            <w:shd w:val="clear" w:color="auto" w:fill="auto"/>
            <w:noWrap/>
            <w:vAlign w:val="bottom"/>
            <w:hideMark/>
          </w:tcPr>
          <w:p w14:paraId="26725EB8"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588876</w:t>
            </w:r>
          </w:p>
        </w:tc>
        <w:tc>
          <w:tcPr>
            <w:tcW w:w="1641" w:type="dxa"/>
            <w:tcBorders>
              <w:top w:val="nil"/>
              <w:left w:val="nil"/>
              <w:bottom w:val="nil"/>
              <w:right w:val="nil"/>
            </w:tcBorders>
            <w:shd w:val="clear" w:color="auto" w:fill="auto"/>
            <w:noWrap/>
            <w:vAlign w:val="bottom"/>
            <w:hideMark/>
          </w:tcPr>
          <w:p w14:paraId="0CA87DA2"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601614</w:t>
            </w:r>
          </w:p>
        </w:tc>
        <w:tc>
          <w:tcPr>
            <w:tcW w:w="1176" w:type="dxa"/>
            <w:tcBorders>
              <w:top w:val="nil"/>
              <w:left w:val="nil"/>
              <w:bottom w:val="nil"/>
              <w:right w:val="nil"/>
            </w:tcBorders>
            <w:shd w:val="clear" w:color="auto" w:fill="auto"/>
            <w:noWrap/>
            <w:vAlign w:val="bottom"/>
            <w:hideMark/>
          </w:tcPr>
          <w:p w14:paraId="36E85996" w14:textId="77777777" w:rsidR="00634ABA" w:rsidRPr="00986F85" w:rsidRDefault="00634ABA" w:rsidP="00476987">
            <w:pPr>
              <w:spacing w:after="0" w:line="240" w:lineRule="auto"/>
              <w:rPr>
                <w:rFonts w:eastAsia="Times New Roman"/>
                <w:color w:val="000000"/>
                <w:lang w:eastAsia="hu-HU"/>
              </w:rPr>
            </w:pPr>
            <w:r w:rsidRPr="00986F85">
              <w:rPr>
                <w:rFonts w:eastAsia="Times New Roman"/>
                <w:color w:val="000000"/>
                <w:lang w:eastAsia="hu-HU"/>
              </w:rPr>
              <w:t>601614</w:t>
            </w:r>
          </w:p>
        </w:tc>
      </w:tr>
    </w:tbl>
    <w:p w14:paraId="4389C80A" w14:textId="77777777" w:rsidR="00634ABA" w:rsidRPr="00986F85" w:rsidRDefault="00634ABA" w:rsidP="00634ABA">
      <w:pPr>
        <w:spacing w:after="0" w:line="240" w:lineRule="auto"/>
        <w:rPr>
          <w:rFonts w:eastAsia="Times New Roman"/>
          <w:color w:val="000000"/>
          <w:lang w:eastAsia="hu-HU"/>
        </w:rPr>
      </w:pPr>
    </w:p>
    <w:p w14:paraId="17CC11E2" w14:textId="77777777" w:rsidR="00650B7E" w:rsidRPr="00986F85" w:rsidRDefault="00EC6291" w:rsidP="00D019C5">
      <w:pPr>
        <w:spacing w:after="0" w:line="360" w:lineRule="auto"/>
        <w:jc w:val="both"/>
        <w:outlineLvl w:val="0"/>
        <w:rPr>
          <w:rFonts w:cs="Times New Roman"/>
          <w:szCs w:val="24"/>
        </w:rPr>
      </w:pPr>
      <w:r w:rsidRPr="00986F85">
        <w:rPr>
          <w:rFonts w:cs="Times New Roman"/>
          <w:bCs/>
          <w:i/>
          <w:szCs w:val="24"/>
        </w:rPr>
        <w:t>Forrás: saját számítás</w:t>
      </w:r>
    </w:p>
    <w:sectPr w:rsidR="00650B7E" w:rsidRPr="00986F85" w:rsidSect="00586687">
      <w:pgSz w:w="11906" w:h="16838"/>
      <w:pgMar w:top="1417" w:right="1417" w:bottom="1417" w:left="1417"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6" w:author="BI" w:date="2013-05-26T23:32:00Z" w:initials="B">
    <w:p w14:paraId="427585B1" w14:textId="77777777" w:rsidR="00E433FC" w:rsidRDefault="00E433FC">
      <w:pPr>
        <w:pStyle w:val="Jegyzetszveg"/>
      </w:pPr>
      <w:r>
        <w:rPr>
          <w:rStyle w:val="Jegyzethivatkozs"/>
        </w:rPr>
        <w:annotationRef/>
      </w:r>
      <w:r>
        <w:t>Ezzel és a másik csoportra vonatkozó táblázattal mi történt? csomó négyzetben 7-8 tizedesjegy van, értelmetlenül. És nem úgy volt, hogy kivesszük a 3 fő felettie becslést, és itt csak az 5 fő feletti közöljük?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7585B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AB442" w14:textId="77777777" w:rsidR="00E3414B" w:rsidRDefault="00E3414B">
      <w:pPr>
        <w:spacing w:after="0" w:line="240" w:lineRule="auto"/>
      </w:pPr>
      <w:r>
        <w:separator/>
      </w:r>
    </w:p>
  </w:endnote>
  <w:endnote w:type="continuationSeparator" w:id="0">
    <w:p w14:paraId="7BF799D0" w14:textId="77777777" w:rsidR="00E3414B" w:rsidRDefault="00E34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E1000AEF" w:usb1="5000A1FF" w:usb2="00000000" w:usb3="00000000" w:csb0="000001BF" w:csb1="00000000"/>
  </w:font>
  <w:font w:name="Liberation Sans">
    <w:altName w:val="Arial Unicode MS"/>
    <w:charset w:val="80"/>
    <w:family w:val="swiss"/>
    <w:pitch w:val="variable"/>
  </w:font>
  <w:font w:name="WenQuanYi Micro Hei">
    <w:altName w:val="Times New Roman"/>
    <w:charset w:val="80"/>
    <w:family w:val="auto"/>
    <w:pitch w:val="variable"/>
  </w:font>
  <w:font w:name="Lohit Hindi">
    <w:altName w:val="MS Mincho"/>
    <w:charset w:val="80"/>
    <w:family w:val="auto"/>
    <w:pitch w:val="variable"/>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Century">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serif">
    <w:altName w:val="Times New Roman"/>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Menlo Regular">
    <w:altName w:val="Arial"/>
    <w:charset w:val="00"/>
    <w:family w:val="auto"/>
    <w:pitch w:val="variable"/>
    <w:sig w:usb0="00000000" w:usb1="D200F9FB" w:usb2="02000028" w:usb3="00000000" w:csb0="000001DF" w:csb1="00000000"/>
  </w:font>
  <w:font w:name="Liberation Serif">
    <w:altName w:val="ＭＳ Ｐ明朝"/>
    <w:charset w:val="80"/>
    <w:family w:val="roman"/>
    <w:pitch w:val="variable"/>
  </w:font>
  <w:font w:name="Cambria Math">
    <w:panose1 w:val="02040503050406030204"/>
    <w:charset w:val="EE"/>
    <w:family w:val="roman"/>
    <w:pitch w:val="variable"/>
    <w:sig w:usb0="E00002FF" w:usb1="420024FF" w:usb2="00000000" w:usb3="00000000" w:csb0="0000019F" w:csb1="00000000"/>
  </w:font>
  <w:font w:name="Menlo Bold">
    <w:charset w:val="00"/>
    <w:family w:val="auto"/>
    <w:pitch w:val="variable"/>
    <w:sig w:usb0="E60022FF" w:usb1="D000F1FB" w:usb2="00000028"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1C3FC" w14:textId="77777777" w:rsidR="00E433FC" w:rsidRDefault="00E433FC" w:rsidP="00DA6BD1">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108871B1" w14:textId="77777777" w:rsidR="00E433FC" w:rsidRDefault="00E433FC" w:rsidP="00F308C3">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B218A" w14:textId="77777777" w:rsidR="00E433FC" w:rsidRDefault="00E433FC" w:rsidP="00DA6BD1">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1D27C6">
      <w:rPr>
        <w:rStyle w:val="Oldalszm"/>
        <w:noProof/>
      </w:rPr>
      <w:t>2</w:t>
    </w:r>
    <w:r>
      <w:rPr>
        <w:rStyle w:val="Oldalszm"/>
      </w:rPr>
      <w:fldChar w:fldCharType="end"/>
    </w:r>
  </w:p>
  <w:p w14:paraId="5EA2923C" w14:textId="77777777" w:rsidR="00E433FC" w:rsidRDefault="00E433FC" w:rsidP="00F308C3">
    <w:pPr>
      <w:pStyle w:val="llb"/>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80713" w14:textId="77777777" w:rsidR="00E433FC" w:rsidRDefault="00E433FC" w:rsidP="00A13AAE">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6B84344C" w14:textId="77777777" w:rsidR="00E433FC" w:rsidRDefault="00E433FC" w:rsidP="00586687">
    <w:pP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82ED4" w14:textId="77777777" w:rsidR="00E433FC" w:rsidRDefault="00E433FC" w:rsidP="00A13AAE">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1D27C6">
      <w:rPr>
        <w:rStyle w:val="Oldalszm"/>
        <w:noProof/>
      </w:rPr>
      <w:t>87</w:t>
    </w:r>
    <w:r>
      <w:rPr>
        <w:rStyle w:val="Oldalszm"/>
      </w:rPr>
      <w:fldChar w:fldCharType="end"/>
    </w:r>
  </w:p>
  <w:p w14:paraId="6C0966C3" w14:textId="77777777" w:rsidR="00E433FC" w:rsidRDefault="00E433FC" w:rsidP="00586687">
    <w:pPr>
      <w:pStyle w:val="llb"/>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62D92" w14:textId="77777777" w:rsidR="00E433FC" w:rsidRDefault="00E433F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AD7E0" w14:textId="77777777" w:rsidR="00E433FC" w:rsidRDefault="00E433F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38FF7" w14:textId="77777777" w:rsidR="00E433FC" w:rsidRDefault="00E433F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EEF77" w14:textId="77777777" w:rsidR="00E433FC" w:rsidRDefault="00E433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57DE7" w14:textId="77777777" w:rsidR="00E3414B" w:rsidRDefault="00E3414B">
      <w:pPr>
        <w:spacing w:after="0" w:line="240" w:lineRule="auto"/>
      </w:pPr>
      <w:r>
        <w:separator/>
      </w:r>
    </w:p>
  </w:footnote>
  <w:footnote w:type="continuationSeparator" w:id="0">
    <w:p w14:paraId="7D82E9E8" w14:textId="77777777" w:rsidR="00E3414B" w:rsidRDefault="00E3414B">
      <w:pPr>
        <w:spacing w:after="0" w:line="240" w:lineRule="auto"/>
      </w:pPr>
      <w:r>
        <w:continuationSeparator/>
      </w:r>
    </w:p>
  </w:footnote>
  <w:footnote w:id="1">
    <w:p w14:paraId="37429868" w14:textId="77777777" w:rsidR="00E433FC" w:rsidRPr="00324637" w:rsidRDefault="00E433FC" w:rsidP="0081651F">
      <w:pPr>
        <w:pStyle w:val="Lbjegyzetszveg"/>
        <w:rPr>
          <w:rFonts w:cs="Times New Roman"/>
          <w:sz w:val="20"/>
          <w:szCs w:val="20"/>
        </w:rPr>
      </w:pPr>
      <w:r w:rsidRPr="00324637">
        <w:rPr>
          <w:rStyle w:val="FootnoteCharacters"/>
          <w:rFonts w:cs="Times New Roman"/>
          <w:sz w:val="20"/>
          <w:szCs w:val="20"/>
        </w:rPr>
        <w:footnoteRef/>
      </w:r>
      <w:r w:rsidRPr="00324637">
        <w:rPr>
          <w:rFonts w:cs="Times New Roman"/>
          <w:sz w:val="20"/>
          <w:szCs w:val="20"/>
        </w:rPr>
        <w:t xml:space="preserve"> A kormányzati döntés időpontjában érvényes, 2009. június</w:t>
      </w:r>
      <w:r w:rsidRPr="00324637">
        <w:rPr>
          <w:rFonts w:eastAsia="Times New Roman" w:cs="Times New Roman"/>
          <w:sz w:val="20"/>
          <w:szCs w:val="20"/>
        </w:rPr>
        <w:t xml:space="preserve"> </w:t>
      </w:r>
      <w:r w:rsidRPr="00324637">
        <w:rPr>
          <w:rFonts w:cs="Times New Roman"/>
          <w:sz w:val="20"/>
          <w:szCs w:val="20"/>
        </w:rPr>
        <w:t>végi</w:t>
      </w:r>
      <w:r w:rsidRPr="00324637">
        <w:rPr>
          <w:rFonts w:eastAsia="Times New Roman" w:cs="Times New Roman"/>
          <w:sz w:val="20"/>
          <w:szCs w:val="20"/>
        </w:rPr>
        <w:t xml:space="preserve"> </w:t>
      </w:r>
      <w:r w:rsidRPr="00324637">
        <w:rPr>
          <w:rFonts w:cs="Times New Roman"/>
          <w:sz w:val="20"/>
          <w:szCs w:val="20"/>
        </w:rPr>
        <w:t>árfolyamon</w:t>
      </w:r>
      <w:r w:rsidRPr="00324637">
        <w:rPr>
          <w:rFonts w:eastAsia="Times New Roman" w:cs="Times New Roman"/>
          <w:sz w:val="20"/>
          <w:szCs w:val="20"/>
        </w:rPr>
        <w:t xml:space="preserve"> </w:t>
      </w:r>
      <w:r w:rsidRPr="00324637">
        <w:rPr>
          <w:rFonts w:cs="Times New Roman"/>
          <w:sz w:val="20"/>
          <w:szCs w:val="20"/>
        </w:rPr>
        <w:t>számolva.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275A3" w14:textId="77777777" w:rsidR="00E433FC" w:rsidRDefault="00E433FC">
    <w:pPr>
      <w:pStyle w:val="lfej"/>
      <w:rPr>
        <w:lang w:eastAsia="hu-HU"/>
      </w:rPr>
    </w:pPr>
    <w:r>
      <w:rPr>
        <w:noProof/>
        <w:lang w:eastAsia="hu-HU"/>
      </w:rPr>
      <w:drawing>
        <wp:anchor distT="288290" distB="0" distL="114300" distR="114300" simplePos="0" relativeHeight="251653632" behindDoc="0" locked="0" layoutInCell="1" allowOverlap="1" wp14:anchorId="42440611" wp14:editId="46A97F56">
          <wp:simplePos x="0" y="0"/>
          <wp:positionH relativeFrom="column">
            <wp:posOffset>-183515</wp:posOffset>
          </wp:positionH>
          <wp:positionV relativeFrom="paragraph">
            <wp:posOffset>-220345</wp:posOffset>
          </wp:positionV>
          <wp:extent cx="647065" cy="936625"/>
          <wp:effectExtent l="19050" t="0" r="635" b="0"/>
          <wp:wrapThrough wrapText="bothSides">
            <wp:wrapPolygon edited="0">
              <wp:start x="-636" y="0"/>
              <wp:lineTo x="-636" y="20648"/>
              <wp:lineTo x="21621" y="20648"/>
              <wp:lineTo x="21621" y="15376"/>
              <wp:lineTo x="19078" y="14058"/>
              <wp:lineTo x="21621" y="12301"/>
              <wp:lineTo x="21621" y="0"/>
              <wp:lineTo x="-636" y="0"/>
            </wp:wrapPolygon>
          </wp:wrapThrough>
          <wp:docPr id="2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srcRect/>
                  <a:stretch>
                    <a:fillRect/>
                  </a:stretch>
                </pic:blipFill>
                <pic:spPr bwMode="auto">
                  <a:xfrm>
                    <a:off x="0" y="0"/>
                    <a:ext cx="647065" cy="936625"/>
                  </a:xfrm>
                  <a:prstGeom prst="rect">
                    <a:avLst/>
                  </a:prstGeom>
                  <a:noFill/>
                  <a:ln w="9525">
                    <a:noFill/>
                    <a:miter lim="800000"/>
                    <a:headEnd/>
                    <a:tailEnd/>
                  </a:ln>
                </pic:spPr>
              </pic:pic>
            </a:graphicData>
          </a:graphic>
        </wp:anchor>
      </w:drawing>
    </w:r>
    <w:r>
      <w:rPr>
        <w:noProof/>
        <w:lang w:eastAsia="hu-HU"/>
      </w:rPr>
      <mc:AlternateContent>
        <mc:Choice Requires="wps">
          <w:drawing>
            <wp:anchor distT="0" distB="0" distL="114300" distR="114300" simplePos="0" relativeHeight="251657216" behindDoc="1" locked="0" layoutInCell="1" allowOverlap="1" wp14:anchorId="6F86D2D1" wp14:editId="22528E32">
              <wp:simplePos x="0" y="0"/>
              <wp:positionH relativeFrom="column">
                <wp:posOffset>-1173480</wp:posOffset>
              </wp:positionH>
              <wp:positionV relativeFrom="paragraph">
                <wp:posOffset>-219075</wp:posOffset>
              </wp:positionV>
              <wp:extent cx="915670" cy="612140"/>
              <wp:effectExtent l="0" t="0" r="0"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670" cy="612140"/>
                      </a:xfrm>
                      <a:prstGeom prst="rect">
                        <a:avLst/>
                      </a:prstGeom>
                      <a:solidFill>
                        <a:srgbClr val="E6E6E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80808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82D24F" id="Rectangle 12" o:spid="_x0000_s1026" style="position:absolute;margin-left:-92.4pt;margin-top:-17.25pt;width:72.1pt;height:48.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" fillcolor="#e6e6e6" stroked="f"/>
          </w:pict>
        </mc:Fallback>
      </mc:AlternateContent>
    </w:r>
    <w:r>
      <w:rPr>
        <w:noProof/>
        <w:lang w:eastAsia="hu-HU"/>
      </w:rPr>
      <mc:AlternateContent>
        <mc:Choice Requires="wps">
          <w:drawing>
            <wp:anchor distT="0" distB="0" distL="114300" distR="114300" simplePos="0" relativeHeight="251658240" behindDoc="1" locked="0" layoutInCell="1" allowOverlap="1" wp14:anchorId="5425C7CA" wp14:editId="486E6FFE">
              <wp:simplePos x="0" y="0"/>
              <wp:positionH relativeFrom="column">
                <wp:posOffset>533400</wp:posOffset>
              </wp:positionH>
              <wp:positionV relativeFrom="paragraph">
                <wp:posOffset>-219075</wp:posOffset>
              </wp:positionV>
              <wp:extent cx="9253855" cy="612140"/>
              <wp:effectExtent l="0" t="0" r="0" b="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3855" cy="612140"/>
                      </a:xfrm>
                      <a:prstGeom prst="rect">
                        <a:avLst/>
                      </a:prstGeom>
                      <a:solidFill>
                        <a:srgbClr val="E6E6E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80808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0F7C67" id="Rectangle 13" o:spid="_x0000_s1026" style="position:absolute;margin-left:42pt;margin-top:-17.25pt;width:728.65pt;height:48.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" fillcolor="#e6e6e6" stroked="f"/>
          </w:pict>
        </mc:Fallback>
      </mc:AlternateContent>
    </w:r>
  </w:p>
  <w:p w14:paraId="7877D3F7" w14:textId="77777777" w:rsidR="00E433FC" w:rsidRDefault="00E433FC">
    <w:pPr>
      <w:pStyle w:val="lfej"/>
    </w:pPr>
  </w:p>
  <w:p w14:paraId="280B9E32" w14:textId="77777777" w:rsidR="00E433FC" w:rsidRDefault="00E433FC">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10006" w14:textId="77777777" w:rsidR="00E433FC" w:rsidRDefault="00E433FC" w:rsidP="00A45FCA">
    <w:pPr>
      <w:pStyle w:val="lfej"/>
    </w:pPr>
    <w:r>
      <w:rPr>
        <w:noProof/>
        <w:lang w:eastAsia="hu-HU"/>
      </w:rPr>
      <w:drawing>
        <wp:anchor distT="288290" distB="0" distL="114300" distR="114300" simplePos="0" relativeHeight="251662336" behindDoc="0" locked="0" layoutInCell="1" allowOverlap="1" wp14:anchorId="4FCB346C" wp14:editId="41A6E236">
          <wp:simplePos x="0" y="0"/>
          <wp:positionH relativeFrom="column">
            <wp:posOffset>-76200</wp:posOffset>
          </wp:positionH>
          <wp:positionV relativeFrom="paragraph">
            <wp:posOffset>-67945</wp:posOffset>
          </wp:positionV>
          <wp:extent cx="647065" cy="936625"/>
          <wp:effectExtent l="0" t="0" r="0" b="0"/>
          <wp:wrapThrough wrapText="bothSides">
            <wp:wrapPolygon edited="0">
              <wp:start x="0" y="0"/>
              <wp:lineTo x="0" y="21087"/>
              <wp:lineTo x="20349" y="21087"/>
              <wp:lineTo x="20349" y="0"/>
              <wp:lineTo x="0" y="0"/>
            </wp:wrapPolygon>
          </wp:wrapThrough>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srcRect/>
                  <a:stretch>
                    <a:fillRect/>
                  </a:stretch>
                </pic:blipFill>
                <pic:spPr bwMode="auto">
                  <a:xfrm>
                    <a:off x="0" y="0"/>
                    <a:ext cx="647065" cy="936625"/>
                  </a:xfrm>
                  <a:prstGeom prst="rect">
                    <a:avLst/>
                  </a:prstGeom>
                  <a:noFill/>
                  <a:ln w="9525">
                    <a:noFill/>
                    <a:miter lim="800000"/>
                    <a:headEnd/>
                    <a:tailEnd/>
                  </a:ln>
                </pic:spPr>
              </pic:pic>
            </a:graphicData>
          </a:graphic>
        </wp:anchor>
      </w:drawing>
    </w:r>
    <w:r>
      <w:rPr>
        <w:noProof/>
        <w:lang w:eastAsia="hu-HU"/>
      </w:rPr>
      <mc:AlternateContent>
        <mc:Choice Requires="wps">
          <w:drawing>
            <wp:anchor distT="0" distB="0" distL="114300" distR="114300" simplePos="0" relativeHeight="251663360" behindDoc="1" locked="0" layoutInCell="1" allowOverlap="1" wp14:anchorId="3A40F654" wp14:editId="6936BDA5">
              <wp:simplePos x="0" y="0"/>
              <wp:positionH relativeFrom="column">
                <wp:posOffset>-899160</wp:posOffset>
              </wp:positionH>
              <wp:positionV relativeFrom="paragraph">
                <wp:posOffset>-66675</wp:posOffset>
              </wp:positionV>
              <wp:extent cx="746760" cy="612140"/>
              <wp:effectExtent l="0" t="0" r="0" b="0"/>
              <wp:wrapThrough wrapText="bothSides">
                <wp:wrapPolygon edited="0">
                  <wp:start x="0" y="0"/>
                  <wp:lineTo x="0" y="20614"/>
                  <wp:lineTo x="20571" y="20614"/>
                  <wp:lineTo x="20571" y="0"/>
                  <wp:lineTo x="0" y="0"/>
                </wp:wrapPolygon>
              </wp:wrapThrough>
              <wp:docPr id="2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760" cy="612140"/>
                      </a:xfrm>
                      <a:prstGeom prst="rect">
                        <a:avLst/>
                      </a:prstGeom>
                      <a:solidFill>
                        <a:srgbClr val="E6E6E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80808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D5BDAD" id="Rectangle 12" o:spid="_x0000_s1026" style="position:absolute;margin-left:-70.8pt;margin-top:-5.25pt;width:58.8pt;height:48.2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" fillcolor="#e6e6e6" stroked="f">
              <w10:wrap type="through"/>
            </v:rect>
          </w:pict>
        </mc:Fallback>
      </mc:AlternateContent>
    </w:r>
    <w:r>
      <w:rPr>
        <w:noProof/>
        <w:lang w:eastAsia="hu-HU"/>
      </w:rPr>
      <mc:AlternateContent>
        <mc:Choice Requires="wps">
          <w:drawing>
            <wp:anchor distT="0" distB="0" distL="114300" distR="114300" simplePos="0" relativeHeight="251664384" behindDoc="1" locked="0" layoutInCell="1" allowOverlap="1" wp14:anchorId="74164791" wp14:editId="15C483B5">
              <wp:simplePos x="0" y="0"/>
              <wp:positionH relativeFrom="column">
                <wp:posOffset>685800</wp:posOffset>
              </wp:positionH>
              <wp:positionV relativeFrom="paragraph">
                <wp:posOffset>-66675</wp:posOffset>
              </wp:positionV>
              <wp:extent cx="7774305" cy="612140"/>
              <wp:effectExtent l="0" t="0" r="0" b="0"/>
              <wp:wrapThrough wrapText="bothSides">
                <wp:wrapPolygon edited="0">
                  <wp:start x="0" y="0"/>
                  <wp:lineTo x="0" y="20614"/>
                  <wp:lineTo x="21524" y="20614"/>
                  <wp:lineTo x="21524" y="0"/>
                  <wp:lineTo x="0" y="0"/>
                </wp:wrapPolygon>
              </wp:wrapThrough>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4305" cy="612140"/>
                      </a:xfrm>
                      <a:prstGeom prst="rect">
                        <a:avLst/>
                      </a:prstGeom>
                      <a:solidFill>
                        <a:srgbClr val="E6E6E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80808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D0B710" id="Rectangle 13" o:spid="_x0000_s1026" style="position:absolute;margin-left:54pt;margin-top:-5.25pt;width:612.15pt;height:48.2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" fillcolor="#e6e6e6" stroked="f">
              <w10:wrap type="through"/>
            </v:rect>
          </w:pict>
        </mc:Fallback>
      </mc:AlternateConten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7F55F" w14:textId="77777777" w:rsidR="00E433FC" w:rsidRDefault="00E433F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899CA" w14:textId="77777777" w:rsidR="00E433FC" w:rsidRDefault="00E433FC">
    <w:pPr>
      <w:pStyle w:val="lfej"/>
      <w:rPr>
        <w:lang w:eastAsia="hu-HU"/>
      </w:rPr>
    </w:pPr>
    <w:r>
      <w:rPr>
        <w:noProof/>
        <w:lang w:eastAsia="hu-HU"/>
      </w:rPr>
      <w:drawing>
        <wp:anchor distT="288290" distB="0" distL="114300" distR="114300" simplePos="0" relativeHeight="251660288" behindDoc="0" locked="0" layoutInCell="1" allowOverlap="1" wp14:anchorId="2EFD7E50" wp14:editId="4DE38872">
          <wp:simplePos x="0" y="0"/>
          <wp:positionH relativeFrom="column">
            <wp:posOffset>-188595</wp:posOffset>
          </wp:positionH>
          <wp:positionV relativeFrom="paragraph">
            <wp:posOffset>-219075</wp:posOffset>
          </wp:positionV>
          <wp:extent cx="647065" cy="936625"/>
          <wp:effectExtent l="19050" t="0" r="635" b="0"/>
          <wp:wrapThrough wrapText="bothSides">
            <wp:wrapPolygon edited="0">
              <wp:start x="-636" y="0"/>
              <wp:lineTo x="-636" y="20648"/>
              <wp:lineTo x="21621" y="20648"/>
              <wp:lineTo x="21621" y="15376"/>
              <wp:lineTo x="19078" y="14058"/>
              <wp:lineTo x="21621" y="12301"/>
              <wp:lineTo x="21621" y="0"/>
              <wp:lineTo x="-636" y="0"/>
            </wp:wrapPolygon>
          </wp:wrapThrough>
          <wp:docPr id="23"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srcRect/>
                  <a:stretch>
                    <a:fillRect/>
                  </a:stretch>
                </pic:blipFill>
                <pic:spPr bwMode="auto">
                  <a:xfrm>
                    <a:off x="0" y="0"/>
                    <a:ext cx="647065" cy="936625"/>
                  </a:xfrm>
                  <a:prstGeom prst="rect">
                    <a:avLst/>
                  </a:prstGeom>
                  <a:noFill/>
                  <a:ln w="9525">
                    <a:noFill/>
                    <a:miter lim="800000"/>
                    <a:headEnd/>
                    <a:tailEnd/>
                  </a:ln>
                </pic:spPr>
              </pic:pic>
            </a:graphicData>
          </a:graphic>
        </wp:anchor>
      </w:drawing>
    </w:r>
    <w:r>
      <w:rPr>
        <w:noProof/>
        <w:lang w:eastAsia="hu-HU"/>
      </w:rPr>
      <mc:AlternateContent>
        <mc:Choice Requires="wps">
          <w:drawing>
            <wp:anchor distT="0" distB="0" distL="114300" distR="114300" simplePos="0" relativeHeight="251655168" behindDoc="1" locked="0" layoutInCell="1" allowOverlap="1" wp14:anchorId="2CF65EE6" wp14:editId="02A35D19">
              <wp:simplePos x="0" y="0"/>
              <wp:positionH relativeFrom="column">
                <wp:posOffset>-1173480</wp:posOffset>
              </wp:positionH>
              <wp:positionV relativeFrom="paragraph">
                <wp:posOffset>-219075</wp:posOffset>
              </wp:positionV>
              <wp:extent cx="915670" cy="612140"/>
              <wp:effectExtent l="0" t="0" r="0" b="0"/>
              <wp:wrapNone/>
              <wp:docPr id="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670" cy="612140"/>
                      </a:xfrm>
                      <a:prstGeom prst="rect">
                        <a:avLst/>
                      </a:prstGeom>
                      <a:solidFill>
                        <a:srgbClr val="E6E6E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80808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870B02" id="Rectangle 5" o:spid="_x0000_s1026" style="position:absolute;margin-left:-92.4pt;margin-top:-17.25pt;width:72.1pt;height:48.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" fillcolor="#e6e6e6" stroked="f"/>
          </w:pict>
        </mc:Fallback>
      </mc:AlternateContent>
    </w:r>
    <w:r>
      <w:rPr>
        <w:noProof/>
        <w:lang w:eastAsia="hu-HU"/>
      </w:rPr>
      <mc:AlternateContent>
        <mc:Choice Requires="wps">
          <w:drawing>
            <wp:anchor distT="0" distB="0" distL="114300" distR="114300" simplePos="0" relativeHeight="251656192" behindDoc="1" locked="0" layoutInCell="1" allowOverlap="1" wp14:anchorId="50373CC2" wp14:editId="7222AC8D">
              <wp:simplePos x="0" y="0"/>
              <wp:positionH relativeFrom="column">
                <wp:posOffset>533400</wp:posOffset>
              </wp:positionH>
              <wp:positionV relativeFrom="paragraph">
                <wp:posOffset>-219075</wp:posOffset>
              </wp:positionV>
              <wp:extent cx="9253855" cy="612140"/>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3855" cy="612140"/>
                      </a:xfrm>
                      <a:prstGeom prst="rect">
                        <a:avLst/>
                      </a:prstGeom>
                      <a:solidFill>
                        <a:srgbClr val="E6E6E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80808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54E573" id="Rectangle 6" o:spid="_x0000_s1026" style="position:absolute;margin-left:42pt;margin-top:-17.25pt;width:728.65pt;height:48.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" fillcolor="#e6e6e6" stroked="f"/>
          </w:pict>
        </mc:Fallback>
      </mc:AlternateContent>
    </w:r>
  </w:p>
  <w:p w14:paraId="0AF0CC81" w14:textId="77777777" w:rsidR="00E433FC" w:rsidRDefault="00E433FC">
    <w:pPr>
      <w:pStyle w:val="lfej"/>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FB7C5" w14:textId="77777777" w:rsidR="00E433FC" w:rsidRDefault="00E433F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57DEA" w14:textId="77777777" w:rsidR="00E433FC" w:rsidRDefault="00E433F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433FD" w14:textId="77777777" w:rsidR="00E433FC" w:rsidRDefault="00E433FC"/>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1F3CC" w14:textId="77777777" w:rsidR="00E433FC" w:rsidRDefault="00E433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E8E53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0000003"/>
    <w:multiLevelType w:val="multilevel"/>
    <w:tmpl w:val="00000003"/>
    <w:name w:val="WW8Num3"/>
    <w:lvl w:ilvl="0">
      <w:start w:val="1"/>
      <w:numFmt w:val="upperRoman"/>
      <w:lvlText w:val="%1."/>
      <w:lvlJc w:val="left"/>
      <w:pPr>
        <w:tabs>
          <w:tab w:val="num" w:pos="360"/>
        </w:tabs>
        <w:ind w:left="720" w:hanging="360"/>
      </w:pPr>
      <w:rPr>
        <w:rFonts w:ascii="Symbol" w:hAnsi="Symbol" w:cs="OpenSymbol"/>
      </w:r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4">
    <w:nsid w:val="00000004"/>
    <w:multiLevelType w:val="multilevel"/>
    <w:tmpl w:val="00000004"/>
    <w:name w:val="WW8Num4"/>
    <w:lvl w:ilvl="0">
      <w:start w:val="1"/>
      <w:numFmt w:val="upperRoman"/>
      <w:lvlText w:val="%1."/>
      <w:lvlJc w:val="left"/>
      <w:pPr>
        <w:tabs>
          <w:tab w:val="num" w:pos="360"/>
        </w:tabs>
        <w:ind w:left="720" w:hanging="360"/>
      </w:pPr>
      <w:rPr>
        <w:rFonts w:ascii="Symbol" w:hAnsi="Symbol" w:cs="OpenSymbol"/>
      </w:r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5">
    <w:nsid w:val="00000005"/>
    <w:multiLevelType w:val="multilevel"/>
    <w:tmpl w:val="00000005"/>
    <w:name w:val="WW8Num5"/>
    <w:lvl w:ilvl="0">
      <w:start w:val="1"/>
      <w:numFmt w:val="decimal"/>
      <w:lvlText w:val="%1."/>
      <w:lvlJc w:val="left"/>
      <w:pPr>
        <w:tabs>
          <w:tab w:val="num" w:pos="360"/>
        </w:tabs>
        <w:ind w:left="720" w:hanging="360"/>
      </w:pPr>
      <w:rPr>
        <w:rFonts w:ascii="Calibri" w:hAnsi="Calibri" w:cs="Times New Roman"/>
      </w:r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cs="OpenSymbol"/>
      </w:rPr>
    </w:lvl>
  </w:abstractNum>
  <w:abstractNum w:abstractNumId="7">
    <w:nsid w:val="00000007"/>
    <w:multiLevelType w:val="singleLevel"/>
    <w:tmpl w:val="00000007"/>
    <w:name w:val="WW8Num7"/>
    <w:lvl w:ilvl="0">
      <w:start w:val="1"/>
      <w:numFmt w:val="bullet"/>
      <w:lvlText w:val=""/>
      <w:lvlJc w:val="left"/>
      <w:pPr>
        <w:tabs>
          <w:tab w:val="num" w:pos="0"/>
        </w:tabs>
        <w:ind w:left="1778" w:hanging="360"/>
      </w:pPr>
      <w:rPr>
        <w:rFonts w:ascii="Symbol" w:hAnsi="Symbol" w:cs="OpenSymbol"/>
      </w:rPr>
    </w:lvl>
  </w:abstractNum>
  <w:abstractNum w:abstractNumId="8">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1415292"/>
    <w:multiLevelType w:val="multilevel"/>
    <w:tmpl w:val="FDBCC3A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0854217E"/>
    <w:multiLevelType w:val="hybridMultilevel"/>
    <w:tmpl w:val="F9DE7F48"/>
    <w:lvl w:ilvl="0" w:tplc="A106FEA6">
      <w:numFmt w:val="bullet"/>
      <w:lvlText w:val="-"/>
      <w:lvlJc w:val="left"/>
      <w:pPr>
        <w:ind w:left="405" w:hanging="360"/>
      </w:pPr>
      <w:rPr>
        <w:rFonts w:ascii="Myriad Pro" w:eastAsia="Cambria" w:hAnsi="Myriad Pro" w:cs="Times New Roman" w:hint="default"/>
      </w:rPr>
    </w:lvl>
    <w:lvl w:ilvl="1" w:tplc="040E0003" w:tentative="1">
      <w:start w:val="1"/>
      <w:numFmt w:val="bullet"/>
      <w:lvlText w:val="o"/>
      <w:lvlJc w:val="left"/>
      <w:pPr>
        <w:ind w:left="1125" w:hanging="360"/>
      </w:pPr>
      <w:rPr>
        <w:rFonts w:ascii="Courier New" w:hAnsi="Courier New" w:cs="Courier New" w:hint="default"/>
      </w:rPr>
    </w:lvl>
    <w:lvl w:ilvl="2" w:tplc="040E0005" w:tentative="1">
      <w:start w:val="1"/>
      <w:numFmt w:val="bullet"/>
      <w:lvlText w:val=""/>
      <w:lvlJc w:val="left"/>
      <w:pPr>
        <w:ind w:left="1845" w:hanging="360"/>
      </w:pPr>
      <w:rPr>
        <w:rFonts w:ascii="Wingdings" w:hAnsi="Wingdings" w:hint="default"/>
      </w:rPr>
    </w:lvl>
    <w:lvl w:ilvl="3" w:tplc="040E0001" w:tentative="1">
      <w:start w:val="1"/>
      <w:numFmt w:val="bullet"/>
      <w:lvlText w:val=""/>
      <w:lvlJc w:val="left"/>
      <w:pPr>
        <w:ind w:left="2565" w:hanging="360"/>
      </w:pPr>
      <w:rPr>
        <w:rFonts w:ascii="Symbol" w:hAnsi="Symbol" w:hint="default"/>
      </w:rPr>
    </w:lvl>
    <w:lvl w:ilvl="4" w:tplc="040E0003" w:tentative="1">
      <w:start w:val="1"/>
      <w:numFmt w:val="bullet"/>
      <w:lvlText w:val="o"/>
      <w:lvlJc w:val="left"/>
      <w:pPr>
        <w:ind w:left="3285" w:hanging="360"/>
      </w:pPr>
      <w:rPr>
        <w:rFonts w:ascii="Courier New" w:hAnsi="Courier New" w:cs="Courier New" w:hint="default"/>
      </w:rPr>
    </w:lvl>
    <w:lvl w:ilvl="5" w:tplc="040E0005" w:tentative="1">
      <w:start w:val="1"/>
      <w:numFmt w:val="bullet"/>
      <w:lvlText w:val=""/>
      <w:lvlJc w:val="left"/>
      <w:pPr>
        <w:ind w:left="4005" w:hanging="360"/>
      </w:pPr>
      <w:rPr>
        <w:rFonts w:ascii="Wingdings" w:hAnsi="Wingdings" w:hint="default"/>
      </w:rPr>
    </w:lvl>
    <w:lvl w:ilvl="6" w:tplc="040E0001" w:tentative="1">
      <w:start w:val="1"/>
      <w:numFmt w:val="bullet"/>
      <w:lvlText w:val=""/>
      <w:lvlJc w:val="left"/>
      <w:pPr>
        <w:ind w:left="4725" w:hanging="360"/>
      </w:pPr>
      <w:rPr>
        <w:rFonts w:ascii="Symbol" w:hAnsi="Symbol" w:hint="default"/>
      </w:rPr>
    </w:lvl>
    <w:lvl w:ilvl="7" w:tplc="040E0003" w:tentative="1">
      <w:start w:val="1"/>
      <w:numFmt w:val="bullet"/>
      <w:lvlText w:val="o"/>
      <w:lvlJc w:val="left"/>
      <w:pPr>
        <w:ind w:left="5445" w:hanging="360"/>
      </w:pPr>
      <w:rPr>
        <w:rFonts w:ascii="Courier New" w:hAnsi="Courier New" w:cs="Courier New" w:hint="default"/>
      </w:rPr>
    </w:lvl>
    <w:lvl w:ilvl="8" w:tplc="040E0005" w:tentative="1">
      <w:start w:val="1"/>
      <w:numFmt w:val="bullet"/>
      <w:lvlText w:val=""/>
      <w:lvlJc w:val="left"/>
      <w:pPr>
        <w:ind w:left="6165" w:hanging="360"/>
      </w:pPr>
      <w:rPr>
        <w:rFonts w:ascii="Wingdings" w:hAnsi="Wingdings" w:hint="default"/>
      </w:rPr>
    </w:lvl>
  </w:abstractNum>
  <w:abstractNum w:abstractNumId="11">
    <w:nsid w:val="109378E9"/>
    <w:multiLevelType w:val="hybridMultilevel"/>
    <w:tmpl w:val="B992C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28120B"/>
    <w:multiLevelType w:val="hybridMultilevel"/>
    <w:tmpl w:val="A58C85C2"/>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3">
    <w:nsid w:val="1F3C76CD"/>
    <w:multiLevelType w:val="hybridMultilevel"/>
    <w:tmpl w:val="4FDC3488"/>
    <w:lvl w:ilvl="0" w:tplc="B89E31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0B24B8"/>
    <w:multiLevelType w:val="hybridMultilevel"/>
    <w:tmpl w:val="9E547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293D6E"/>
    <w:multiLevelType w:val="multilevel"/>
    <w:tmpl w:val="E5404F42"/>
    <w:lvl w:ilvl="0">
      <w:start w:val="1"/>
      <w:numFmt w:val="upperRoman"/>
      <w:lvlText w:val="%1."/>
      <w:lvlJc w:val="left"/>
      <w:pPr>
        <w:tabs>
          <w:tab w:val="num" w:pos="360"/>
        </w:tabs>
        <w:ind w:left="720" w:hanging="360"/>
      </w:pPr>
      <w:rPr>
        <w:color w:val="B10000"/>
      </w:rPr>
    </w:lvl>
    <w:lvl w:ilvl="1">
      <w:start w:val="1"/>
      <w:numFmt w:val="none"/>
      <w:suff w:val="nothing"/>
      <w:lvlText w:val=""/>
      <w:lvlJc w:val="left"/>
      <w:pPr>
        <w:tabs>
          <w:tab w:val="num" w:pos="360"/>
        </w:tabs>
        <w:ind w:left="936" w:hanging="576"/>
      </w:pPr>
    </w:lvl>
    <w:lvl w:ilvl="2">
      <w:start w:val="1"/>
      <w:numFmt w:val="none"/>
      <w:suff w:val="nothing"/>
      <w:lvlText w:val=""/>
      <w:lvlJc w:val="left"/>
      <w:pPr>
        <w:tabs>
          <w:tab w:val="num" w:pos="360"/>
        </w:tabs>
        <w:ind w:left="1080" w:hanging="720"/>
      </w:pPr>
    </w:lvl>
    <w:lvl w:ilvl="3">
      <w:start w:val="1"/>
      <w:numFmt w:val="none"/>
      <w:suff w:val="nothing"/>
      <w:lvlText w:val=""/>
      <w:lvlJc w:val="left"/>
      <w:pPr>
        <w:tabs>
          <w:tab w:val="num" w:pos="360"/>
        </w:tabs>
        <w:ind w:left="1224" w:hanging="864"/>
      </w:pPr>
    </w:lvl>
    <w:lvl w:ilvl="4">
      <w:start w:val="1"/>
      <w:numFmt w:val="none"/>
      <w:suff w:val="nothing"/>
      <w:lvlText w:val=""/>
      <w:lvlJc w:val="left"/>
      <w:pPr>
        <w:tabs>
          <w:tab w:val="num" w:pos="360"/>
        </w:tabs>
        <w:ind w:left="1368" w:hanging="1008"/>
      </w:pPr>
    </w:lvl>
    <w:lvl w:ilvl="5">
      <w:start w:val="1"/>
      <w:numFmt w:val="none"/>
      <w:suff w:val="nothing"/>
      <w:lvlText w:val=""/>
      <w:lvlJc w:val="left"/>
      <w:pPr>
        <w:tabs>
          <w:tab w:val="num" w:pos="360"/>
        </w:tabs>
        <w:ind w:left="1512" w:hanging="1152"/>
      </w:pPr>
    </w:lvl>
    <w:lvl w:ilvl="6">
      <w:start w:val="1"/>
      <w:numFmt w:val="none"/>
      <w:suff w:val="nothing"/>
      <w:lvlText w:val=""/>
      <w:lvlJc w:val="left"/>
      <w:pPr>
        <w:tabs>
          <w:tab w:val="num" w:pos="360"/>
        </w:tabs>
        <w:ind w:left="1656" w:hanging="1296"/>
      </w:pPr>
    </w:lvl>
    <w:lvl w:ilvl="7">
      <w:start w:val="1"/>
      <w:numFmt w:val="none"/>
      <w:suff w:val="nothing"/>
      <w:lvlText w:val=""/>
      <w:lvlJc w:val="left"/>
      <w:pPr>
        <w:tabs>
          <w:tab w:val="num" w:pos="360"/>
        </w:tabs>
        <w:ind w:left="1800" w:hanging="1440"/>
      </w:pPr>
    </w:lvl>
    <w:lvl w:ilvl="8">
      <w:start w:val="1"/>
      <w:numFmt w:val="none"/>
      <w:suff w:val="nothing"/>
      <w:lvlText w:val=""/>
      <w:lvlJc w:val="left"/>
      <w:pPr>
        <w:tabs>
          <w:tab w:val="num" w:pos="360"/>
        </w:tabs>
        <w:ind w:left="1944" w:hanging="1584"/>
      </w:pPr>
    </w:lvl>
  </w:abstractNum>
  <w:abstractNum w:abstractNumId="16">
    <w:nsid w:val="278D7FE4"/>
    <w:multiLevelType w:val="hybridMultilevel"/>
    <w:tmpl w:val="0C56BEE2"/>
    <w:lvl w:ilvl="0" w:tplc="7C02E4A6">
      <w:start w:val="3"/>
      <w:numFmt w:val="bullet"/>
      <w:lvlText w:val="-"/>
      <w:lvlJc w:val="left"/>
      <w:pPr>
        <w:ind w:left="405" w:hanging="360"/>
      </w:pPr>
      <w:rPr>
        <w:rFonts w:ascii="Times New Roman" w:eastAsia="Cambria" w:hAnsi="Times New Roman" w:cs="Times New Roman" w:hint="default"/>
      </w:rPr>
    </w:lvl>
    <w:lvl w:ilvl="1" w:tplc="040E0003" w:tentative="1">
      <w:start w:val="1"/>
      <w:numFmt w:val="bullet"/>
      <w:lvlText w:val="o"/>
      <w:lvlJc w:val="left"/>
      <w:pPr>
        <w:ind w:left="1125" w:hanging="360"/>
      </w:pPr>
      <w:rPr>
        <w:rFonts w:ascii="Courier New" w:hAnsi="Courier New" w:cs="Courier New" w:hint="default"/>
      </w:rPr>
    </w:lvl>
    <w:lvl w:ilvl="2" w:tplc="040E0005" w:tentative="1">
      <w:start w:val="1"/>
      <w:numFmt w:val="bullet"/>
      <w:lvlText w:val=""/>
      <w:lvlJc w:val="left"/>
      <w:pPr>
        <w:ind w:left="1845" w:hanging="360"/>
      </w:pPr>
      <w:rPr>
        <w:rFonts w:ascii="Wingdings" w:hAnsi="Wingdings" w:hint="default"/>
      </w:rPr>
    </w:lvl>
    <w:lvl w:ilvl="3" w:tplc="040E0001" w:tentative="1">
      <w:start w:val="1"/>
      <w:numFmt w:val="bullet"/>
      <w:lvlText w:val=""/>
      <w:lvlJc w:val="left"/>
      <w:pPr>
        <w:ind w:left="2565" w:hanging="360"/>
      </w:pPr>
      <w:rPr>
        <w:rFonts w:ascii="Symbol" w:hAnsi="Symbol" w:hint="default"/>
      </w:rPr>
    </w:lvl>
    <w:lvl w:ilvl="4" w:tplc="040E0003" w:tentative="1">
      <w:start w:val="1"/>
      <w:numFmt w:val="bullet"/>
      <w:lvlText w:val="o"/>
      <w:lvlJc w:val="left"/>
      <w:pPr>
        <w:ind w:left="3285" w:hanging="360"/>
      </w:pPr>
      <w:rPr>
        <w:rFonts w:ascii="Courier New" w:hAnsi="Courier New" w:cs="Courier New" w:hint="default"/>
      </w:rPr>
    </w:lvl>
    <w:lvl w:ilvl="5" w:tplc="040E0005" w:tentative="1">
      <w:start w:val="1"/>
      <w:numFmt w:val="bullet"/>
      <w:lvlText w:val=""/>
      <w:lvlJc w:val="left"/>
      <w:pPr>
        <w:ind w:left="4005" w:hanging="360"/>
      </w:pPr>
      <w:rPr>
        <w:rFonts w:ascii="Wingdings" w:hAnsi="Wingdings" w:hint="default"/>
      </w:rPr>
    </w:lvl>
    <w:lvl w:ilvl="6" w:tplc="040E0001" w:tentative="1">
      <w:start w:val="1"/>
      <w:numFmt w:val="bullet"/>
      <w:lvlText w:val=""/>
      <w:lvlJc w:val="left"/>
      <w:pPr>
        <w:ind w:left="4725" w:hanging="360"/>
      </w:pPr>
      <w:rPr>
        <w:rFonts w:ascii="Symbol" w:hAnsi="Symbol" w:hint="default"/>
      </w:rPr>
    </w:lvl>
    <w:lvl w:ilvl="7" w:tplc="040E0003" w:tentative="1">
      <w:start w:val="1"/>
      <w:numFmt w:val="bullet"/>
      <w:lvlText w:val="o"/>
      <w:lvlJc w:val="left"/>
      <w:pPr>
        <w:ind w:left="5445" w:hanging="360"/>
      </w:pPr>
      <w:rPr>
        <w:rFonts w:ascii="Courier New" w:hAnsi="Courier New" w:cs="Courier New" w:hint="default"/>
      </w:rPr>
    </w:lvl>
    <w:lvl w:ilvl="8" w:tplc="040E0005" w:tentative="1">
      <w:start w:val="1"/>
      <w:numFmt w:val="bullet"/>
      <w:lvlText w:val=""/>
      <w:lvlJc w:val="left"/>
      <w:pPr>
        <w:ind w:left="6165" w:hanging="360"/>
      </w:pPr>
      <w:rPr>
        <w:rFonts w:ascii="Wingdings" w:hAnsi="Wingdings" w:hint="default"/>
      </w:rPr>
    </w:lvl>
  </w:abstractNum>
  <w:abstractNum w:abstractNumId="17">
    <w:nsid w:val="315F581B"/>
    <w:multiLevelType w:val="hybridMultilevel"/>
    <w:tmpl w:val="8FCAE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296D71"/>
    <w:multiLevelType w:val="hybridMultilevel"/>
    <w:tmpl w:val="7C22A796"/>
    <w:lvl w:ilvl="0" w:tplc="EB967A34">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F21FA5"/>
    <w:multiLevelType w:val="hybridMultilevel"/>
    <w:tmpl w:val="91284E22"/>
    <w:lvl w:ilvl="0" w:tplc="E1261ABA">
      <w:start w:val="1"/>
      <w:numFmt w:val="upperRoman"/>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1A3E44"/>
    <w:multiLevelType w:val="multilevel"/>
    <w:tmpl w:val="02A6FC22"/>
    <w:lvl w:ilvl="0">
      <w:start w:val="1"/>
      <w:numFmt w:val="bullet"/>
      <w:lvlText w:val=""/>
      <w:lvlJc w:val="left"/>
      <w:pPr>
        <w:tabs>
          <w:tab w:val="num" w:pos="720"/>
        </w:tabs>
        <w:ind w:left="720" w:hanging="360"/>
      </w:pPr>
      <w:rPr>
        <w:rFonts w:ascii="Symbol" w:hAnsi="Symbol" w:cs="Symbol" w:hint="default"/>
        <w:color w:val="B1000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nsid w:val="3C8213A9"/>
    <w:multiLevelType w:val="hybridMultilevel"/>
    <w:tmpl w:val="D2F80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C96522"/>
    <w:multiLevelType w:val="hybridMultilevel"/>
    <w:tmpl w:val="0318047A"/>
    <w:lvl w:ilvl="0" w:tplc="3A787C60">
      <w:start w:val="2"/>
      <w:numFmt w:val="upperRoman"/>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657197"/>
    <w:multiLevelType w:val="hybridMultilevel"/>
    <w:tmpl w:val="07DA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D540B7"/>
    <w:multiLevelType w:val="hybridMultilevel"/>
    <w:tmpl w:val="B91AD320"/>
    <w:lvl w:ilvl="0" w:tplc="DBA854C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A06487"/>
    <w:multiLevelType w:val="hybridMultilevel"/>
    <w:tmpl w:val="BB089BDC"/>
    <w:lvl w:ilvl="0" w:tplc="E7D476F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8D6EAF"/>
    <w:multiLevelType w:val="hybridMultilevel"/>
    <w:tmpl w:val="B7525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B37C2D"/>
    <w:multiLevelType w:val="hybridMultilevel"/>
    <w:tmpl w:val="26EEE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F41D17"/>
    <w:multiLevelType w:val="hybridMultilevel"/>
    <w:tmpl w:val="5DEEFF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564E3B"/>
    <w:multiLevelType w:val="hybridMultilevel"/>
    <w:tmpl w:val="F6D293D8"/>
    <w:lvl w:ilvl="0" w:tplc="0409000F">
      <w:start w:val="1"/>
      <w:numFmt w:val="decimal"/>
      <w:lvlText w:val="%1."/>
      <w:lvlJc w:val="left"/>
      <w:pPr>
        <w:ind w:left="405" w:hanging="360"/>
      </w:pPr>
      <w:rPr>
        <w:rFonts w:hint="default"/>
      </w:rPr>
    </w:lvl>
    <w:lvl w:ilvl="1" w:tplc="040E0003" w:tentative="1">
      <w:start w:val="1"/>
      <w:numFmt w:val="bullet"/>
      <w:lvlText w:val="o"/>
      <w:lvlJc w:val="left"/>
      <w:pPr>
        <w:ind w:left="1125" w:hanging="360"/>
      </w:pPr>
      <w:rPr>
        <w:rFonts w:ascii="Courier New" w:hAnsi="Courier New" w:cs="Courier New" w:hint="default"/>
      </w:rPr>
    </w:lvl>
    <w:lvl w:ilvl="2" w:tplc="040E0005" w:tentative="1">
      <w:start w:val="1"/>
      <w:numFmt w:val="bullet"/>
      <w:lvlText w:val=""/>
      <w:lvlJc w:val="left"/>
      <w:pPr>
        <w:ind w:left="1845" w:hanging="360"/>
      </w:pPr>
      <w:rPr>
        <w:rFonts w:ascii="Wingdings" w:hAnsi="Wingdings" w:hint="default"/>
      </w:rPr>
    </w:lvl>
    <w:lvl w:ilvl="3" w:tplc="040E0001" w:tentative="1">
      <w:start w:val="1"/>
      <w:numFmt w:val="bullet"/>
      <w:lvlText w:val=""/>
      <w:lvlJc w:val="left"/>
      <w:pPr>
        <w:ind w:left="2565" w:hanging="360"/>
      </w:pPr>
      <w:rPr>
        <w:rFonts w:ascii="Symbol" w:hAnsi="Symbol" w:hint="default"/>
      </w:rPr>
    </w:lvl>
    <w:lvl w:ilvl="4" w:tplc="040E0003" w:tentative="1">
      <w:start w:val="1"/>
      <w:numFmt w:val="bullet"/>
      <w:lvlText w:val="o"/>
      <w:lvlJc w:val="left"/>
      <w:pPr>
        <w:ind w:left="3285" w:hanging="360"/>
      </w:pPr>
      <w:rPr>
        <w:rFonts w:ascii="Courier New" w:hAnsi="Courier New" w:cs="Courier New" w:hint="default"/>
      </w:rPr>
    </w:lvl>
    <w:lvl w:ilvl="5" w:tplc="040E0005" w:tentative="1">
      <w:start w:val="1"/>
      <w:numFmt w:val="bullet"/>
      <w:lvlText w:val=""/>
      <w:lvlJc w:val="left"/>
      <w:pPr>
        <w:ind w:left="4005" w:hanging="360"/>
      </w:pPr>
      <w:rPr>
        <w:rFonts w:ascii="Wingdings" w:hAnsi="Wingdings" w:hint="default"/>
      </w:rPr>
    </w:lvl>
    <w:lvl w:ilvl="6" w:tplc="040E0001" w:tentative="1">
      <w:start w:val="1"/>
      <w:numFmt w:val="bullet"/>
      <w:lvlText w:val=""/>
      <w:lvlJc w:val="left"/>
      <w:pPr>
        <w:ind w:left="4725" w:hanging="360"/>
      </w:pPr>
      <w:rPr>
        <w:rFonts w:ascii="Symbol" w:hAnsi="Symbol" w:hint="default"/>
      </w:rPr>
    </w:lvl>
    <w:lvl w:ilvl="7" w:tplc="040E0003" w:tentative="1">
      <w:start w:val="1"/>
      <w:numFmt w:val="bullet"/>
      <w:lvlText w:val="o"/>
      <w:lvlJc w:val="left"/>
      <w:pPr>
        <w:ind w:left="5445" w:hanging="360"/>
      </w:pPr>
      <w:rPr>
        <w:rFonts w:ascii="Courier New" w:hAnsi="Courier New" w:cs="Courier New" w:hint="default"/>
      </w:rPr>
    </w:lvl>
    <w:lvl w:ilvl="8" w:tplc="040E0005" w:tentative="1">
      <w:start w:val="1"/>
      <w:numFmt w:val="bullet"/>
      <w:lvlText w:val=""/>
      <w:lvlJc w:val="left"/>
      <w:pPr>
        <w:ind w:left="6165" w:hanging="360"/>
      </w:pPr>
      <w:rPr>
        <w:rFonts w:ascii="Wingdings" w:hAnsi="Wingdings" w:hint="default"/>
      </w:rPr>
    </w:lvl>
  </w:abstractNum>
  <w:abstractNum w:abstractNumId="30">
    <w:nsid w:val="55A71FF9"/>
    <w:multiLevelType w:val="hybridMultilevel"/>
    <w:tmpl w:val="2C54F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FE474C"/>
    <w:multiLevelType w:val="hybridMultilevel"/>
    <w:tmpl w:val="96F49912"/>
    <w:lvl w:ilvl="0" w:tplc="A1B40C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A24FAD"/>
    <w:multiLevelType w:val="hybridMultilevel"/>
    <w:tmpl w:val="B7525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8D6C71"/>
    <w:multiLevelType w:val="hybridMultilevel"/>
    <w:tmpl w:val="D5B2B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2C0FC6"/>
    <w:multiLevelType w:val="hybridMultilevel"/>
    <w:tmpl w:val="C7E89AFC"/>
    <w:lvl w:ilvl="0" w:tplc="F10E69FE">
      <w:start w:val="2"/>
      <w:numFmt w:val="upperRoman"/>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5613B4"/>
    <w:multiLevelType w:val="hybridMultilevel"/>
    <w:tmpl w:val="44CC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6803C5"/>
    <w:multiLevelType w:val="hybridMultilevel"/>
    <w:tmpl w:val="96A82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73052A"/>
    <w:multiLevelType w:val="hybridMultilevel"/>
    <w:tmpl w:val="95CC317E"/>
    <w:lvl w:ilvl="0" w:tplc="0409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125" w:hanging="360"/>
      </w:pPr>
      <w:rPr>
        <w:rFonts w:ascii="Courier New" w:hAnsi="Courier New" w:cs="Courier New" w:hint="default"/>
      </w:rPr>
    </w:lvl>
    <w:lvl w:ilvl="2" w:tplc="040E0005" w:tentative="1">
      <w:start w:val="1"/>
      <w:numFmt w:val="bullet"/>
      <w:lvlText w:val=""/>
      <w:lvlJc w:val="left"/>
      <w:pPr>
        <w:ind w:left="1845" w:hanging="360"/>
      </w:pPr>
      <w:rPr>
        <w:rFonts w:ascii="Wingdings" w:hAnsi="Wingdings" w:hint="default"/>
      </w:rPr>
    </w:lvl>
    <w:lvl w:ilvl="3" w:tplc="040E0001" w:tentative="1">
      <w:start w:val="1"/>
      <w:numFmt w:val="bullet"/>
      <w:lvlText w:val=""/>
      <w:lvlJc w:val="left"/>
      <w:pPr>
        <w:ind w:left="2565" w:hanging="360"/>
      </w:pPr>
      <w:rPr>
        <w:rFonts w:ascii="Symbol" w:hAnsi="Symbol" w:hint="default"/>
      </w:rPr>
    </w:lvl>
    <w:lvl w:ilvl="4" w:tplc="040E0003" w:tentative="1">
      <w:start w:val="1"/>
      <w:numFmt w:val="bullet"/>
      <w:lvlText w:val="o"/>
      <w:lvlJc w:val="left"/>
      <w:pPr>
        <w:ind w:left="3285" w:hanging="360"/>
      </w:pPr>
      <w:rPr>
        <w:rFonts w:ascii="Courier New" w:hAnsi="Courier New" w:cs="Courier New" w:hint="default"/>
      </w:rPr>
    </w:lvl>
    <w:lvl w:ilvl="5" w:tplc="040E0005" w:tentative="1">
      <w:start w:val="1"/>
      <w:numFmt w:val="bullet"/>
      <w:lvlText w:val=""/>
      <w:lvlJc w:val="left"/>
      <w:pPr>
        <w:ind w:left="4005" w:hanging="360"/>
      </w:pPr>
      <w:rPr>
        <w:rFonts w:ascii="Wingdings" w:hAnsi="Wingdings" w:hint="default"/>
      </w:rPr>
    </w:lvl>
    <w:lvl w:ilvl="6" w:tplc="040E0001" w:tentative="1">
      <w:start w:val="1"/>
      <w:numFmt w:val="bullet"/>
      <w:lvlText w:val=""/>
      <w:lvlJc w:val="left"/>
      <w:pPr>
        <w:ind w:left="4725" w:hanging="360"/>
      </w:pPr>
      <w:rPr>
        <w:rFonts w:ascii="Symbol" w:hAnsi="Symbol" w:hint="default"/>
      </w:rPr>
    </w:lvl>
    <w:lvl w:ilvl="7" w:tplc="040E0003" w:tentative="1">
      <w:start w:val="1"/>
      <w:numFmt w:val="bullet"/>
      <w:lvlText w:val="o"/>
      <w:lvlJc w:val="left"/>
      <w:pPr>
        <w:ind w:left="5445" w:hanging="360"/>
      </w:pPr>
      <w:rPr>
        <w:rFonts w:ascii="Courier New" w:hAnsi="Courier New" w:cs="Courier New" w:hint="default"/>
      </w:rPr>
    </w:lvl>
    <w:lvl w:ilvl="8" w:tplc="040E0005" w:tentative="1">
      <w:start w:val="1"/>
      <w:numFmt w:val="bullet"/>
      <w:lvlText w:val=""/>
      <w:lvlJc w:val="left"/>
      <w:pPr>
        <w:ind w:left="6165" w:hanging="360"/>
      </w:pPr>
      <w:rPr>
        <w:rFonts w:ascii="Wingdings" w:hAnsi="Wingdings" w:hint="default"/>
      </w:rPr>
    </w:lvl>
  </w:abstractNum>
  <w:abstractNum w:abstractNumId="38">
    <w:nsid w:val="69B62F94"/>
    <w:multiLevelType w:val="hybridMultilevel"/>
    <w:tmpl w:val="1B2A915E"/>
    <w:lvl w:ilvl="0" w:tplc="0409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125" w:hanging="360"/>
      </w:pPr>
      <w:rPr>
        <w:rFonts w:ascii="Courier New" w:hAnsi="Courier New" w:cs="Courier New" w:hint="default"/>
      </w:rPr>
    </w:lvl>
    <w:lvl w:ilvl="2" w:tplc="040E0005" w:tentative="1">
      <w:start w:val="1"/>
      <w:numFmt w:val="bullet"/>
      <w:lvlText w:val=""/>
      <w:lvlJc w:val="left"/>
      <w:pPr>
        <w:ind w:left="1845" w:hanging="360"/>
      </w:pPr>
      <w:rPr>
        <w:rFonts w:ascii="Wingdings" w:hAnsi="Wingdings" w:hint="default"/>
      </w:rPr>
    </w:lvl>
    <w:lvl w:ilvl="3" w:tplc="040E0001" w:tentative="1">
      <w:start w:val="1"/>
      <w:numFmt w:val="bullet"/>
      <w:lvlText w:val=""/>
      <w:lvlJc w:val="left"/>
      <w:pPr>
        <w:ind w:left="2565" w:hanging="360"/>
      </w:pPr>
      <w:rPr>
        <w:rFonts w:ascii="Symbol" w:hAnsi="Symbol" w:hint="default"/>
      </w:rPr>
    </w:lvl>
    <w:lvl w:ilvl="4" w:tplc="040E0003" w:tentative="1">
      <w:start w:val="1"/>
      <w:numFmt w:val="bullet"/>
      <w:lvlText w:val="o"/>
      <w:lvlJc w:val="left"/>
      <w:pPr>
        <w:ind w:left="3285" w:hanging="360"/>
      </w:pPr>
      <w:rPr>
        <w:rFonts w:ascii="Courier New" w:hAnsi="Courier New" w:cs="Courier New" w:hint="default"/>
      </w:rPr>
    </w:lvl>
    <w:lvl w:ilvl="5" w:tplc="040E0005" w:tentative="1">
      <w:start w:val="1"/>
      <w:numFmt w:val="bullet"/>
      <w:lvlText w:val=""/>
      <w:lvlJc w:val="left"/>
      <w:pPr>
        <w:ind w:left="4005" w:hanging="360"/>
      </w:pPr>
      <w:rPr>
        <w:rFonts w:ascii="Wingdings" w:hAnsi="Wingdings" w:hint="default"/>
      </w:rPr>
    </w:lvl>
    <w:lvl w:ilvl="6" w:tplc="040E0001" w:tentative="1">
      <w:start w:val="1"/>
      <w:numFmt w:val="bullet"/>
      <w:lvlText w:val=""/>
      <w:lvlJc w:val="left"/>
      <w:pPr>
        <w:ind w:left="4725" w:hanging="360"/>
      </w:pPr>
      <w:rPr>
        <w:rFonts w:ascii="Symbol" w:hAnsi="Symbol" w:hint="default"/>
      </w:rPr>
    </w:lvl>
    <w:lvl w:ilvl="7" w:tplc="040E0003" w:tentative="1">
      <w:start w:val="1"/>
      <w:numFmt w:val="bullet"/>
      <w:lvlText w:val="o"/>
      <w:lvlJc w:val="left"/>
      <w:pPr>
        <w:ind w:left="5445" w:hanging="360"/>
      </w:pPr>
      <w:rPr>
        <w:rFonts w:ascii="Courier New" w:hAnsi="Courier New" w:cs="Courier New" w:hint="default"/>
      </w:rPr>
    </w:lvl>
    <w:lvl w:ilvl="8" w:tplc="040E0005" w:tentative="1">
      <w:start w:val="1"/>
      <w:numFmt w:val="bullet"/>
      <w:lvlText w:val=""/>
      <w:lvlJc w:val="left"/>
      <w:pPr>
        <w:ind w:left="6165" w:hanging="360"/>
      </w:pPr>
      <w:rPr>
        <w:rFonts w:ascii="Wingdings" w:hAnsi="Wingdings" w:hint="default"/>
      </w:rPr>
    </w:lvl>
  </w:abstractNum>
  <w:abstractNum w:abstractNumId="39">
    <w:nsid w:val="6AA20C7A"/>
    <w:multiLevelType w:val="hybridMultilevel"/>
    <w:tmpl w:val="86586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E04E50"/>
    <w:multiLevelType w:val="hybridMultilevel"/>
    <w:tmpl w:val="4A8C6C3A"/>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1">
    <w:nsid w:val="70140794"/>
    <w:multiLevelType w:val="hybridMultilevel"/>
    <w:tmpl w:val="EA321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482EE0"/>
    <w:multiLevelType w:val="hybridMultilevel"/>
    <w:tmpl w:val="F282E99C"/>
    <w:lvl w:ilvl="0" w:tplc="DBA854C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BA720E"/>
    <w:multiLevelType w:val="hybridMultilevel"/>
    <w:tmpl w:val="8500B5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A93974"/>
    <w:multiLevelType w:val="hybridMultilevel"/>
    <w:tmpl w:val="CE6488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B97B99"/>
    <w:multiLevelType w:val="hybridMultilevel"/>
    <w:tmpl w:val="03229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1C503B"/>
    <w:multiLevelType w:val="hybridMultilevel"/>
    <w:tmpl w:val="6B4E2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8E3AB5"/>
    <w:multiLevelType w:val="hybridMultilevel"/>
    <w:tmpl w:val="B1661B1C"/>
    <w:lvl w:ilvl="0" w:tplc="21146088">
      <w:start w:val="1129"/>
      <w:numFmt w:val="bullet"/>
      <w:lvlText w:val="-"/>
      <w:lvlJc w:val="left"/>
      <w:pPr>
        <w:ind w:left="720" w:hanging="360"/>
      </w:pPr>
      <w:rPr>
        <w:rFonts w:ascii="Myriad Pro" w:eastAsia="Times New Roman" w:hAnsi="Myriad Pro" w:cs="Times New Roman" w:hint="default"/>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30"/>
  </w:num>
  <w:num w:numId="9">
    <w:abstractNumId w:val="31"/>
  </w:num>
  <w:num w:numId="10">
    <w:abstractNumId w:val="44"/>
  </w:num>
  <w:num w:numId="11">
    <w:abstractNumId w:val="45"/>
  </w:num>
  <w:num w:numId="12">
    <w:abstractNumId w:val="8"/>
  </w:num>
  <w:num w:numId="13">
    <w:abstractNumId w:val="28"/>
  </w:num>
  <w:num w:numId="14">
    <w:abstractNumId w:val="20"/>
  </w:num>
  <w:num w:numId="15">
    <w:abstractNumId w:val="15"/>
  </w:num>
  <w:num w:numId="16">
    <w:abstractNumId w:val="9"/>
  </w:num>
  <w:num w:numId="17">
    <w:abstractNumId w:val="21"/>
  </w:num>
  <w:num w:numId="18">
    <w:abstractNumId w:val="18"/>
  </w:num>
  <w:num w:numId="19">
    <w:abstractNumId w:val="22"/>
  </w:num>
  <w:num w:numId="20">
    <w:abstractNumId w:val="34"/>
  </w:num>
  <w:num w:numId="21">
    <w:abstractNumId w:val="19"/>
  </w:num>
  <w:num w:numId="22">
    <w:abstractNumId w:val="46"/>
  </w:num>
  <w:num w:numId="23">
    <w:abstractNumId w:val="0"/>
  </w:num>
  <w:num w:numId="24">
    <w:abstractNumId w:val="23"/>
  </w:num>
  <w:num w:numId="25">
    <w:abstractNumId w:val="32"/>
  </w:num>
  <w:num w:numId="26">
    <w:abstractNumId w:val="36"/>
  </w:num>
  <w:num w:numId="27">
    <w:abstractNumId w:val="16"/>
  </w:num>
  <w:num w:numId="28">
    <w:abstractNumId w:val="10"/>
  </w:num>
  <w:num w:numId="29">
    <w:abstractNumId w:val="25"/>
  </w:num>
  <w:num w:numId="30">
    <w:abstractNumId w:val="13"/>
  </w:num>
  <w:num w:numId="31">
    <w:abstractNumId w:val="47"/>
  </w:num>
  <w:num w:numId="32">
    <w:abstractNumId w:val="11"/>
  </w:num>
  <w:num w:numId="33">
    <w:abstractNumId w:val="43"/>
  </w:num>
  <w:num w:numId="34">
    <w:abstractNumId w:val="29"/>
  </w:num>
  <w:num w:numId="35">
    <w:abstractNumId w:val="41"/>
  </w:num>
  <w:num w:numId="36">
    <w:abstractNumId w:val="26"/>
  </w:num>
  <w:num w:numId="37">
    <w:abstractNumId w:val="24"/>
  </w:num>
  <w:num w:numId="38">
    <w:abstractNumId w:val="42"/>
  </w:num>
  <w:num w:numId="39">
    <w:abstractNumId w:val="40"/>
  </w:num>
  <w:num w:numId="40">
    <w:abstractNumId w:val="12"/>
  </w:num>
  <w:num w:numId="41">
    <w:abstractNumId w:val="14"/>
  </w:num>
  <w:num w:numId="42">
    <w:abstractNumId w:val="17"/>
  </w:num>
  <w:num w:numId="43">
    <w:abstractNumId w:val="39"/>
  </w:num>
  <w:num w:numId="44">
    <w:abstractNumId w:val="27"/>
  </w:num>
  <w:num w:numId="45">
    <w:abstractNumId w:val="35"/>
  </w:num>
  <w:num w:numId="46">
    <w:abstractNumId w:val="33"/>
  </w:num>
  <w:num w:numId="47">
    <w:abstractNumId w:val="37"/>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activeWritingStyle w:appName="MSWord" w:lang="en-US" w:vendorID="64" w:dllVersion="131078" w:nlCheck="1" w:checkStyle="1"/>
  <w:defaultTabStop w:val="709"/>
  <w:hyphenationZone w:val="425"/>
  <w:defaultTableStyle w:val="Norml"/>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B7F"/>
    <w:rsid w:val="000009BA"/>
    <w:rsid w:val="000014B4"/>
    <w:rsid w:val="00001870"/>
    <w:rsid w:val="00011632"/>
    <w:rsid w:val="000126E7"/>
    <w:rsid w:val="0001360D"/>
    <w:rsid w:val="00014920"/>
    <w:rsid w:val="00016773"/>
    <w:rsid w:val="00020308"/>
    <w:rsid w:val="00021BAA"/>
    <w:rsid w:val="000224A9"/>
    <w:rsid w:val="00025937"/>
    <w:rsid w:val="00027950"/>
    <w:rsid w:val="0003053A"/>
    <w:rsid w:val="0003117F"/>
    <w:rsid w:val="00032697"/>
    <w:rsid w:val="00032BD5"/>
    <w:rsid w:val="0003401E"/>
    <w:rsid w:val="000352E2"/>
    <w:rsid w:val="00035635"/>
    <w:rsid w:val="000359FA"/>
    <w:rsid w:val="00037F18"/>
    <w:rsid w:val="00040802"/>
    <w:rsid w:val="000410EA"/>
    <w:rsid w:val="00042EBE"/>
    <w:rsid w:val="00043360"/>
    <w:rsid w:val="00044E17"/>
    <w:rsid w:val="00045267"/>
    <w:rsid w:val="00052D7E"/>
    <w:rsid w:val="00052FDE"/>
    <w:rsid w:val="0005317D"/>
    <w:rsid w:val="000554DC"/>
    <w:rsid w:val="00056A85"/>
    <w:rsid w:val="00057C73"/>
    <w:rsid w:val="0006024C"/>
    <w:rsid w:val="0006037A"/>
    <w:rsid w:val="000604A1"/>
    <w:rsid w:val="000607B7"/>
    <w:rsid w:val="00062379"/>
    <w:rsid w:val="00062747"/>
    <w:rsid w:val="00063EB5"/>
    <w:rsid w:val="000709AD"/>
    <w:rsid w:val="00072805"/>
    <w:rsid w:val="00072E44"/>
    <w:rsid w:val="00074154"/>
    <w:rsid w:val="00074D7B"/>
    <w:rsid w:val="00075784"/>
    <w:rsid w:val="0007601D"/>
    <w:rsid w:val="00076E08"/>
    <w:rsid w:val="000803F8"/>
    <w:rsid w:val="000813C3"/>
    <w:rsid w:val="00081D11"/>
    <w:rsid w:val="00081FA0"/>
    <w:rsid w:val="00083122"/>
    <w:rsid w:val="00084662"/>
    <w:rsid w:val="00085B42"/>
    <w:rsid w:val="00091401"/>
    <w:rsid w:val="0009191A"/>
    <w:rsid w:val="00093224"/>
    <w:rsid w:val="00095F8E"/>
    <w:rsid w:val="0009609F"/>
    <w:rsid w:val="00097307"/>
    <w:rsid w:val="00097492"/>
    <w:rsid w:val="000A0153"/>
    <w:rsid w:val="000A1611"/>
    <w:rsid w:val="000A30F1"/>
    <w:rsid w:val="000A540D"/>
    <w:rsid w:val="000B0EB0"/>
    <w:rsid w:val="000B2024"/>
    <w:rsid w:val="000B53A3"/>
    <w:rsid w:val="000B7FD9"/>
    <w:rsid w:val="000C022C"/>
    <w:rsid w:val="000C12DF"/>
    <w:rsid w:val="000C1946"/>
    <w:rsid w:val="000C39E6"/>
    <w:rsid w:val="000C4915"/>
    <w:rsid w:val="000C52E1"/>
    <w:rsid w:val="000C5D6C"/>
    <w:rsid w:val="000C5ECF"/>
    <w:rsid w:val="000C7B53"/>
    <w:rsid w:val="000D0171"/>
    <w:rsid w:val="000D0299"/>
    <w:rsid w:val="000D0833"/>
    <w:rsid w:val="000D0CC5"/>
    <w:rsid w:val="000D14A5"/>
    <w:rsid w:val="000D1A75"/>
    <w:rsid w:val="000D1AA2"/>
    <w:rsid w:val="000D1E4A"/>
    <w:rsid w:val="000D1E77"/>
    <w:rsid w:val="000D2B0B"/>
    <w:rsid w:val="000D36B6"/>
    <w:rsid w:val="000D6B95"/>
    <w:rsid w:val="000D6FE5"/>
    <w:rsid w:val="000D7677"/>
    <w:rsid w:val="000E0CCA"/>
    <w:rsid w:val="000E31EB"/>
    <w:rsid w:val="000E413E"/>
    <w:rsid w:val="000E5B44"/>
    <w:rsid w:val="000F11FF"/>
    <w:rsid w:val="000F498D"/>
    <w:rsid w:val="000F57F1"/>
    <w:rsid w:val="0010057F"/>
    <w:rsid w:val="001011B3"/>
    <w:rsid w:val="00101216"/>
    <w:rsid w:val="00102B65"/>
    <w:rsid w:val="001031F6"/>
    <w:rsid w:val="00103F74"/>
    <w:rsid w:val="001050BD"/>
    <w:rsid w:val="0010663A"/>
    <w:rsid w:val="001075A8"/>
    <w:rsid w:val="00112C69"/>
    <w:rsid w:val="00113A10"/>
    <w:rsid w:val="00113C63"/>
    <w:rsid w:val="00114D66"/>
    <w:rsid w:val="00114FC5"/>
    <w:rsid w:val="0011507E"/>
    <w:rsid w:val="001155BA"/>
    <w:rsid w:val="001160AB"/>
    <w:rsid w:val="00116B70"/>
    <w:rsid w:val="001215AC"/>
    <w:rsid w:val="00121D52"/>
    <w:rsid w:val="00122478"/>
    <w:rsid w:val="00122F74"/>
    <w:rsid w:val="0012502A"/>
    <w:rsid w:val="0013192D"/>
    <w:rsid w:val="00131ACB"/>
    <w:rsid w:val="00134EE4"/>
    <w:rsid w:val="00137E76"/>
    <w:rsid w:val="001415F7"/>
    <w:rsid w:val="0014297F"/>
    <w:rsid w:val="00143500"/>
    <w:rsid w:val="00143EBD"/>
    <w:rsid w:val="001442EB"/>
    <w:rsid w:val="00147B53"/>
    <w:rsid w:val="00150B26"/>
    <w:rsid w:val="00151A84"/>
    <w:rsid w:val="00151D4C"/>
    <w:rsid w:val="0015268B"/>
    <w:rsid w:val="00153471"/>
    <w:rsid w:val="0015414F"/>
    <w:rsid w:val="001546B2"/>
    <w:rsid w:val="0016101C"/>
    <w:rsid w:val="00161675"/>
    <w:rsid w:val="001631C6"/>
    <w:rsid w:val="00165A98"/>
    <w:rsid w:val="0016689B"/>
    <w:rsid w:val="0016703D"/>
    <w:rsid w:val="001671C7"/>
    <w:rsid w:val="001676D1"/>
    <w:rsid w:val="0017066A"/>
    <w:rsid w:val="001708B3"/>
    <w:rsid w:val="001708F3"/>
    <w:rsid w:val="0017378C"/>
    <w:rsid w:val="00175B7F"/>
    <w:rsid w:val="0018149E"/>
    <w:rsid w:val="00182336"/>
    <w:rsid w:val="00187EF0"/>
    <w:rsid w:val="001909C2"/>
    <w:rsid w:val="001937EB"/>
    <w:rsid w:val="001947CD"/>
    <w:rsid w:val="00195B53"/>
    <w:rsid w:val="0019620C"/>
    <w:rsid w:val="0019639B"/>
    <w:rsid w:val="00196BB2"/>
    <w:rsid w:val="0019754A"/>
    <w:rsid w:val="001A0450"/>
    <w:rsid w:val="001A2414"/>
    <w:rsid w:val="001A2943"/>
    <w:rsid w:val="001A57FF"/>
    <w:rsid w:val="001A59EB"/>
    <w:rsid w:val="001A5BA6"/>
    <w:rsid w:val="001A6BE1"/>
    <w:rsid w:val="001B2389"/>
    <w:rsid w:val="001B4076"/>
    <w:rsid w:val="001B50F0"/>
    <w:rsid w:val="001B78B7"/>
    <w:rsid w:val="001B79EC"/>
    <w:rsid w:val="001C06A3"/>
    <w:rsid w:val="001C1890"/>
    <w:rsid w:val="001C2145"/>
    <w:rsid w:val="001C2A4E"/>
    <w:rsid w:val="001C2B77"/>
    <w:rsid w:val="001C34DB"/>
    <w:rsid w:val="001C3626"/>
    <w:rsid w:val="001C475F"/>
    <w:rsid w:val="001C5167"/>
    <w:rsid w:val="001D27C6"/>
    <w:rsid w:val="001D48A2"/>
    <w:rsid w:val="001D70FB"/>
    <w:rsid w:val="001D759E"/>
    <w:rsid w:val="001E04CB"/>
    <w:rsid w:val="001E79F5"/>
    <w:rsid w:val="001E7BEE"/>
    <w:rsid w:val="001F1027"/>
    <w:rsid w:val="001F3DBE"/>
    <w:rsid w:val="001F51F4"/>
    <w:rsid w:val="00200973"/>
    <w:rsid w:val="00202ACC"/>
    <w:rsid w:val="00202D25"/>
    <w:rsid w:val="00202E7B"/>
    <w:rsid w:val="00204F12"/>
    <w:rsid w:val="0020575F"/>
    <w:rsid w:val="00205962"/>
    <w:rsid w:val="002064A5"/>
    <w:rsid w:val="002078CD"/>
    <w:rsid w:val="002106C9"/>
    <w:rsid w:val="002118E0"/>
    <w:rsid w:val="00212138"/>
    <w:rsid w:val="002125D9"/>
    <w:rsid w:val="00212BE3"/>
    <w:rsid w:val="002133DF"/>
    <w:rsid w:val="00213C15"/>
    <w:rsid w:val="00220810"/>
    <w:rsid w:val="0022094F"/>
    <w:rsid w:val="00220DD8"/>
    <w:rsid w:val="002211EA"/>
    <w:rsid w:val="00221BB1"/>
    <w:rsid w:val="00221E19"/>
    <w:rsid w:val="00221E2E"/>
    <w:rsid w:val="00222F9B"/>
    <w:rsid w:val="00223F47"/>
    <w:rsid w:val="00226699"/>
    <w:rsid w:val="00227F30"/>
    <w:rsid w:val="002305B0"/>
    <w:rsid w:val="00231E03"/>
    <w:rsid w:val="00233251"/>
    <w:rsid w:val="00235802"/>
    <w:rsid w:val="0024075F"/>
    <w:rsid w:val="0024166E"/>
    <w:rsid w:val="00242E28"/>
    <w:rsid w:val="00244BA6"/>
    <w:rsid w:val="00245514"/>
    <w:rsid w:val="002457FA"/>
    <w:rsid w:val="002459B7"/>
    <w:rsid w:val="00250232"/>
    <w:rsid w:val="00250F38"/>
    <w:rsid w:val="00251350"/>
    <w:rsid w:val="00254848"/>
    <w:rsid w:val="00255252"/>
    <w:rsid w:val="002600D9"/>
    <w:rsid w:val="0026186D"/>
    <w:rsid w:val="00263116"/>
    <w:rsid w:val="0026327A"/>
    <w:rsid w:val="00263DA7"/>
    <w:rsid w:val="002640E4"/>
    <w:rsid w:val="00264D65"/>
    <w:rsid w:val="002655C9"/>
    <w:rsid w:val="00267AF4"/>
    <w:rsid w:val="00280DBC"/>
    <w:rsid w:val="002811D5"/>
    <w:rsid w:val="00282263"/>
    <w:rsid w:val="00282425"/>
    <w:rsid w:val="00283486"/>
    <w:rsid w:val="002846ED"/>
    <w:rsid w:val="00284B4A"/>
    <w:rsid w:val="00285FFF"/>
    <w:rsid w:val="00287F28"/>
    <w:rsid w:val="00290B34"/>
    <w:rsid w:val="00291E86"/>
    <w:rsid w:val="00292834"/>
    <w:rsid w:val="00294E6D"/>
    <w:rsid w:val="00295762"/>
    <w:rsid w:val="002967C3"/>
    <w:rsid w:val="0029793D"/>
    <w:rsid w:val="002A37F4"/>
    <w:rsid w:val="002A4070"/>
    <w:rsid w:val="002A4748"/>
    <w:rsid w:val="002A5376"/>
    <w:rsid w:val="002A5599"/>
    <w:rsid w:val="002A7093"/>
    <w:rsid w:val="002A7ADF"/>
    <w:rsid w:val="002B024C"/>
    <w:rsid w:val="002B04F5"/>
    <w:rsid w:val="002B0705"/>
    <w:rsid w:val="002B0EC0"/>
    <w:rsid w:val="002B2115"/>
    <w:rsid w:val="002B2F48"/>
    <w:rsid w:val="002B44B8"/>
    <w:rsid w:val="002B6DE0"/>
    <w:rsid w:val="002B7BEB"/>
    <w:rsid w:val="002C2736"/>
    <w:rsid w:val="002C31CA"/>
    <w:rsid w:val="002C3BE1"/>
    <w:rsid w:val="002C58F8"/>
    <w:rsid w:val="002C69B1"/>
    <w:rsid w:val="002C7605"/>
    <w:rsid w:val="002D064B"/>
    <w:rsid w:val="002D0921"/>
    <w:rsid w:val="002D1F84"/>
    <w:rsid w:val="002D35C2"/>
    <w:rsid w:val="002D4E93"/>
    <w:rsid w:val="002D6142"/>
    <w:rsid w:val="002D76D0"/>
    <w:rsid w:val="002D79D5"/>
    <w:rsid w:val="002E10B0"/>
    <w:rsid w:val="002E151D"/>
    <w:rsid w:val="002E27D9"/>
    <w:rsid w:val="002E4809"/>
    <w:rsid w:val="002E4DDD"/>
    <w:rsid w:val="002E591B"/>
    <w:rsid w:val="002E77F2"/>
    <w:rsid w:val="002F02BD"/>
    <w:rsid w:val="002F042F"/>
    <w:rsid w:val="002F3DA8"/>
    <w:rsid w:val="002F6652"/>
    <w:rsid w:val="002F6BEB"/>
    <w:rsid w:val="00303D3D"/>
    <w:rsid w:val="003044E0"/>
    <w:rsid w:val="003100B2"/>
    <w:rsid w:val="00310E74"/>
    <w:rsid w:val="00311267"/>
    <w:rsid w:val="00313AE1"/>
    <w:rsid w:val="0031492B"/>
    <w:rsid w:val="003159D9"/>
    <w:rsid w:val="00316C21"/>
    <w:rsid w:val="0032000C"/>
    <w:rsid w:val="00322978"/>
    <w:rsid w:val="00323D1C"/>
    <w:rsid w:val="00324637"/>
    <w:rsid w:val="00324809"/>
    <w:rsid w:val="00324D0F"/>
    <w:rsid w:val="00325316"/>
    <w:rsid w:val="003301B7"/>
    <w:rsid w:val="0033083D"/>
    <w:rsid w:val="00333532"/>
    <w:rsid w:val="00334F4A"/>
    <w:rsid w:val="00336934"/>
    <w:rsid w:val="00340049"/>
    <w:rsid w:val="00341750"/>
    <w:rsid w:val="003421F5"/>
    <w:rsid w:val="00342AB2"/>
    <w:rsid w:val="00346E48"/>
    <w:rsid w:val="003472B0"/>
    <w:rsid w:val="0035138A"/>
    <w:rsid w:val="00351D0C"/>
    <w:rsid w:val="00352112"/>
    <w:rsid w:val="00352A79"/>
    <w:rsid w:val="00354281"/>
    <w:rsid w:val="003563D1"/>
    <w:rsid w:val="003602CB"/>
    <w:rsid w:val="00360922"/>
    <w:rsid w:val="003624F8"/>
    <w:rsid w:val="00362675"/>
    <w:rsid w:val="00363201"/>
    <w:rsid w:val="00364BD6"/>
    <w:rsid w:val="003669CD"/>
    <w:rsid w:val="00370574"/>
    <w:rsid w:val="00370E86"/>
    <w:rsid w:val="00371B32"/>
    <w:rsid w:val="00372023"/>
    <w:rsid w:val="003735D6"/>
    <w:rsid w:val="00373659"/>
    <w:rsid w:val="00376B31"/>
    <w:rsid w:val="00381AA9"/>
    <w:rsid w:val="00381C9F"/>
    <w:rsid w:val="00381D63"/>
    <w:rsid w:val="00382690"/>
    <w:rsid w:val="00382F9D"/>
    <w:rsid w:val="00384F36"/>
    <w:rsid w:val="00385EC4"/>
    <w:rsid w:val="00387327"/>
    <w:rsid w:val="00387A82"/>
    <w:rsid w:val="0039227E"/>
    <w:rsid w:val="00393E6B"/>
    <w:rsid w:val="00395AEC"/>
    <w:rsid w:val="00397D56"/>
    <w:rsid w:val="003A00A8"/>
    <w:rsid w:val="003A0D3C"/>
    <w:rsid w:val="003A0D41"/>
    <w:rsid w:val="003A1710"/>
    <w:rsid w:val="003A221B"/>
    <w:rsid w:val="003A2AF1"/>
    <w:rsid w:val="003A3083"/>
    <w:rsid w:val="003A4355"/>
    <w:rsid w:val="003A4D03"/>
    <w:rsid w:val="003A7B22"/>
    <w:rsid w:val="003B1CEF"/>
    <w:rsid w:val="003B2404"/>
    <w:rsid w:val="003B3394"/>
    <w:rsid w:val="003B47D2"/>
    <w:rsid w:val="003B5185"/>
    <w:rsid w:val="003B5CA5"/>
    <w:rsid w:val="003C0420"/>
    <w:rsid w:val="003C0DEE"/>
    <w:rsid w:val="003C153B"/>
    <w:rsid w:val="003C1E31"/>
    <w:rsid w:val="003C3302"/>
    <w:rsid w:val="003C66B8"/>
    <w:rsid w:val="003C6C33"/>
    <w:rsid w:val="003D0561"/>
    <w:rsid w:val="003D19AD"/>
    <w:rsid w:val="003D36A2"/>
    <w:rsid w:val="003D4934"/>
    <w:rsid w:val="003D5FCF"/>
    <w:rsid w:val="003D6FDC"/>
    <w:rsid w:val="003D7001"/>
    <w:rsid w:val="003D75B2"/>
    <w:rsid w:val="003E184E"/>
    <w:rsid w:val="003E2802"/>
    <w:rsid w:val="003E653C"/>
    <w:rsid w:val="003E6B91"/>
    <w:rsid w:val="003F04F7"/>
    <w:rsid w:val="003F0FC5"/>
    <w:rsid w:val="003F1666"/>
    <w:rsid w:val="003F2BE4"/>
    <w:rsid w:val="003F3683"/>
    <w:rsid w:val="003F3E87"/>
    <w:rsid w:val="003F5446"/>
    <w:rsid w:val="003F6C10"/>
    <w:rsid w:val="00404E3F"/>
    <w:rsid w:val="00411C24"/>
    <w:rsid w:val="004131C1"/>
    <w:rsid w:val="00416A6D"/>
    <w:rsid w:val="00420742"/>
    <w:rsid w:val="00421F35"/>
    <w:rsid w:val="00424842"/>
    <w:rsid w:val="004255C0"/>
    <w:rsid w:val="0042664E"/>
    <w:rsid w:val="00426835"/>
    <w:rsid w:val="004274AC"/>
    <w:rsid w:val="00427944"/>
    <w:rsid w:val="00434EAE"/>
    <w:rsid w:val="004354CC"/>
    <w:rsid w:val="00435E2C"/>
    <w:rsid w:val="00435ECA"/>
    <w:rsid w:val="0044243A"/>
    <w:rsid w:val="00442A86"/>
    <w:rsid w:val="00442BC1"/>
    <w:rsid w:val="00444EBA"/>
    <w:rsid w:val="004467E8"/>
    <w:rsid w:val="00447EB1"/>
    <w:rsid w:val="00451A3E"/>
    <w:rsid w:val="00453DE4"/>
    <w:rsid w:val="00454220"/>
    <w:rsid w:val="0045764B"/>
    <w:rsid w:val="00461CF5"/>
    <w:rsid w:val="00461D26"/>
    <w:rsid w:val="00462380"/>
    <w:rsid w:val="0046251C"/>
    <w:rsid w:val="00463FCD"/>
    <w:rsid w:val="00465E79"/>
    <w:rsid w:val="00466A9B"/>
    <w:rsid w:val="00466C3B"/>
    <w:rsid w:val="0046798B"/>
    <w:rsid w:val="0047333D"/>
    <w:rsid w:val="00474868"/>
    <w:rsid w:val="00474873"/>
    <w:rsid w:val="00476987"/>
    <w:rsid w:val="0048101F"/>
    <w:rsid w:val="00481205"/>
    <w:rsid w:val="00481275"/>
    <w:rsid w:val="00483573"/>
    <w:rsid w:val="00483FDC"/>
    <w:rsid w:val="00484767"/>
    <w:rsid w:val="00485365"/>
    <w:rsid w:val="00485A84"/>
    <w:rsid w:val="00490B14"/>
    <w:rsid w:val="00490F54"/>
    <w:rsid w:val="004931B7"/>
    <w:rsid w:val="0049367C"/>
    <w:rsid w:val="004944CB"/>
    <w:rsid w:val="00496741"/>
    <w:rsid w:val="004A0E5E"/>
    <w:rsid w:val="004A1D51"/>
    <w:rsid w:val="004A329B"/>
    <w:rsid w:val="004A3B84"/>
    <w:rsid w:val="004A3EA6"/>
    <w:rsid w:val="004A7E48"/>
    <w:rsid w:val="004B585C"/>
    <w:rsid w:val="004B5E96"/>
    <w:rsid w:val="004C1091"/>
    <w:rsid w:val="004C6BA8"/>
    <w:rsid w:val="004C716C"/>
    <w:rsid w:val="004C7C8B"/>
    <w:rsid w:val="004D122E"/>
    <w:rsid w:val="004D156D"/>
    <w:rsid w:val="004D1CEE"/>
    <w:rsid w:val="004D1EAA"/>
    <w:rsid w:val="004D244B"/>
    <w:rsid w:val="004D37A9"/>
    <w:rsid w:val="004D53EE"/>
    <w:rsid w:val="004D6CB1"/>
    <w:rsid w:val="004E034D"/>
    <w:rsid w:val="004E4EA8"/>
    <w:rsid w:val="004E5DC8"/>
    <w:rsid w:val="004E5FB9"/>
    <w:rsid w:val="004E6325"/>
    <w:rsid w:val="004E6E1D"/>
    <w:rsid w:val="004F0B9C"/>
    <w:rsid w:val="004F0E1D"/>
    <w:rsid w:val="004F1FF5"/>
    <w:rsid w:val="004F335B"/>
    <w:rsid w:val="004F406E"/>
    <w:rsid w:val="004F408D"/>
    <w:rsid w:val="004F45CC"/>
    <w:rsid w:val="004F7138"/>
    <w:rsid w:val="00502A90"/>
    <w:rsid w:val="00505971"/>
    <w:rsid w:val="00506F7F"/>
    <w:rsid w:val="00511745"/>
    <w:rsid w:val="005127CF"/>
    <w:rsid w:val="005146AC"/>
    <w:rsid w:val="00515FBE"/>
    <w:rsid w:val="00520647"/>
    <w:rsid w:val="00520BBA"/>
    <w:rsid w:val="00522589"/>
    <w:rsid w:val="005226D8"/>
    <w:rsid w:val="00524F30"/>
    <w:rsid w:val="005270DD"/>
    <w:rsid w:val="0052750A"/>
    <w:rsid w:val="005307FD"/>
    <w:rsid w:val="005317BA"/>
    <w:rsid w:val="00533422"/>
    <w:rsid w:val="00536724"/>
    <w:rsid w:val="00536C5B"/>
    <w:rsid w:val="005409D3"/>
    <w:rsid w:val="00540C66"/>
    <w:rsid w:val="00542970"/>
    <w:rsid w:val="00542D06"/>
    <w:rsid w:val="00547BCC"/>
    <w:rsid w:val="005503FA"/>
    <w:rsid w:val="005510B3"/>
    <w:rsid w:val="00561115"/>
    <w:rsid w:val="00561330"/>
    <w:rsid w:val="00561456"/>
    <w:rsid w:val="005619A4"/>
    <w:rsid w:val="00562404"/>
    <w:rsid w:val="005627C4"/>
    <w:rsid w:val="005657E8"/>
    <w:rsid w:val="00566BB4"/>
    <w:rsid w:val="00566ECF"/>
    <w:rsid w:val="005678F2"/>
    <w:rsid w:val="00572227"/>
    <w:rsid w:val="005749E0"/>
    <w:rsid w:val="005776DB"/>
    <w:rsid w:val="005807B4"/>
    <w:rsid w:val="00581125"/>
    <w:rsid w:val="00584894"/>
    <w:rsid w:val="0058513E"/>
    <w:rsid w:val="00585216"/>
    <w:rsid w:val="00585C26"/>
    <w:rsid w:val="00586687"/>
    <w:rsid w:val="00590B77"/>
    <w:rsid w:val="005918FD"/>
    <w:rsid w:val="00592821"/>
    <w:rsid w:val="005A4A48"/>
    <w:rsid w:val="005A76A3"/>
    <w:rsid w:val="005B017C"/>
    <w:rsid w:val="005B3BA1"/>
    <w:rsid w:val="005B5B40"/>
    <w:rsid w:val="005B66A1"/>
    <w:rsid w:val="005B6A8F"/>
    <w:rsid w:val="005B6AA0"/>
    <w:rsid w:val="005C3B4A"/>
    <w:rsid w:val="005C5744"/>
    <w:rsid w:val="005C7B6F"/>
    <w:rsid w:val="005C7F69"/>
    <w:rsid w:val="005D09F2"/>
    <w:rsid w:val="005D2219"/>
    <w:rsid w:val="005D3798"/>
    <w:rsid w:val="005D395F"/>
    <w:rsid w:val="005D49DC"/>
    <w:rsid w:val="005D4E59"/>
    <w:rsid w:val="005D62DC"/>
    <w:rsid w:val="005D761A"/>
    <w:rsid w:val="005E3DC8"/>
    <w:rsid w:val="005E57A5"/>
    <w:rsid w:val="005E5EE4"/>
    <w:rsid w:val="005E64DD"/>
    <w:rsid w:val="005E6B61"/>
    <w:rsid w:val="005E6B8F"/>
    <w:rsid w:val="005F0CDE"/>
    <w:rsid w:val="005F1B70"/>
    <w:rsid w:val="005F33C7"/>
    <w:rsid w:val="005F4422"/>
    <w:rsid w:val="005F4922"/>
    <w:rsid w:val="005F6771"/>
    <w:rsid w:val="005F6AFC"/>
    <w:rsid w:val="005F738D"/>
    <w:rsid w:val="005F7D5B"/>
    <w:rsid w:val="00600023"/>
    <w:rsid w:val="00600AC5"/>
    <w:rsid w:val="00602115"/>
    <w:rsid w:val="006037CA"/>
    <w:rsid w:val="006043F1"/>
    <w:rsid w:val="00604E23"/>
    <w:rsid w:val="006063F4"/>
    <w:rsid w:val="00611C11"/>
    <w:rsid w:val="00612BA8"/>
    <w:rsid w:val="00613830"/>
    <w:rsid w:val="00615F8F"/>
    <w:rsid w:val="00616843"/>
    <w:rsid w:val="006214A9"/>
    <w:rsid w:val="00621CD7"/>
    <w:rsid w:val="006222C7"/>
    <w:rsid w:val="006226EA"/>
    <w:rsid w:val="00622E99"/>
    <w:rsid w:val="00624E3E"/>
    <w:rsid w:val="00624ECD"/>
    <w:rsid w:val="00625851"/>
    <w:rsid w:val="00625951"/>
    <w:rsid w:val="00626987"/>
    <w:rsid w:val="00632DC0"/>
    <w:rsid w:val="006346F1"/>
    <w:rsid w:val="00634ABA"/>
    <w:rsid w:val="0063534D"/>
    <w:rsid w:val="006417E2"/>
    <w:rsid w:val="00641FAF"/>
    <w:rsid w:val="006427D1"/>
    <w:rsid w:val="006429CC"/>
    <w:rsid w:val="00643E9A"/>
    <w:rsid w:val="00644B89"/>
    <w:rsid w:val="00644F98"/>
    <w:rsid w:val="0064585B"/>
    <w:rsid w:val="006458D5"/>
    <w:rsid w:val="00646848"/>
    <w:rsid w:val="00647FA4"/>
    <w:rsid w:val="00650B7E"/>
    <w:rsid w:val="0065153D"/>
    <w:rsid w:val="006525AB"/>
    <w:rsid w:val="0065354F"/>
    <w:rsid w:val="006537B4"/>
    <w:rsid w:val="00653807"/>
    <w:rsid w:val="00654486"/>
    <w:rsid w:val="00656B5E"/>
    <w:rsid w:val="00657DB6"/>
    <w:rsid w:val="0066135A"/>
    <w:rsid w:val="0066366C"/>
    <w:rsid w:val="00663BB3"/>
    <w:rsid w:val="00664566"/>
    <w:rsid w:val="00664BA0"/>
    <w:rsid w:val="0067069F"/>
    <w:rsid w:val="00672A8D"/>
    <w:rsid w:val="00673097"/>
    <w:rsid w:val="00673480"/>
    <w:rsid w:val="00674DCA"/>
    <w:rsid w:val="006763A3"/>
    <w:rsid w:val="00676DB9"/>
    <w:rsid w:val="00680A97"/>
    <w:rsid w:val="00681BB4"/>
    <w:rsid w:val="006822FD"/>
    <w:rsid w:val="00682F90"/>
    <w:rsid w:val="00684B72"/>
    <w:rsid w:val="0068588F"/>
    <w:rsid w:val="00686A07"/>
    <w:rsid w:val="00687B13"/>
    <w:rsid w:val="0069042B"/>
    <w:rsid w:val="00691A52"/>
    <w:rsid w:val="00691D6E"/>
    <w:rsid w:val="00692A13"/>
    <w:rsid w:val="00692D9A"/>
    <w:rsid w:val="00693922"/>
    <w:rsid w:val="00693F72"/>
    <w:rsid w:val="0069446E"/>
    <w:rsid w:val="0069471C"/>
    <w:rsid w:val="006972C5"/>
    <w:rsid w:val="00697A87"/>
    <w:rsid w:val="006A066C"/>
    <w:rsid w:val="006A2AFF"/>
    <w:rsid w:val="006A39E0"/>
    <w:rsid w:val="006A3CBD"/>
    <w:rsid w:val="006A3D01"/>
    <w:rsid w:val="006A71FB"/>
    <w:rsid w:val="006A728D"/>
    <w:rsid w:val="006B0BBF"/>
    <w:rsid w:val="006B1832"/>
    <w:rsid w:val="006B37A9"/>
    <w:rsid w:val="006B65F6"/>
    <w:rsid w:val="006B74D1"/>
    <w:rsid w:val="006C1421"/>
    <w:rsid w:val="006C142D"/>
    <w:rsid w:val="006C4C87"/>
    <w:rsid w:val="006C5091"/>
    <w:rsid w:val="006C5279"/>
    <w:rsid w:val="006C624B"/>
    <w:rsid w:val="006C6329"/>
    <w:rsid w:val="006C6429"/>
    <w:rsid w:val="006C7D82"/>
    <w:rsid w:val="006D3312"/>
    <w:rsid w:val="006D5260"/>
    <w:rsid w:val="006D5BF4"/>
    <w:rsid w:val="006E0001"/>
    <w:rsid w:val="006E090D"/>
    <w:rsid w:val="006E1796"/>
    <w:rsid w:val="006E1FFF"/>
    <w:rsid w:val="006E285B"/>
    <w:rsid w:val="006E2BF6"/>
    <w:rsid w:val="006E4125"/>
    <w:rsid w:val="006E4BBA"/>
    <w:rsid w:val="006E5E9F"/>
    <w:rsid w:val="006E661C"/>
    <w:rsid w:val="006F2E3B"/>
    <w:rsid w:val="006F69DB"/>
    <w:rsid w:val="007003AC"/>
    <w:rsid w:val="007033E5"/>
    <w:rsid w:val="007035F0"/>
    <w:rsid w:val="00704A6C"/>
    <w:rsid w:val="00705288"/>
    <w:rsid w:val="00705AA1"/>
    <w:rsid w:val="0070639F"/>
    <w:rsid w:val="0070732D"/>
    <w:rsid w:val="00707C3E"/>
    <w:rsid w:val="007100D9"/>
    <w:rsid w:val="00710864"/>
    <w:rsid w:val="00710E73"/>
    <w:rsid w:val="00710ECF"/>
    <w:rsid w:val="007121C9"/>
    <w:rsid w:val="00712890"/>
    <w:rsid w:val="00714427"/>
    <w:rsid w:val="0071679E"/>
    <w:rsid w:val="007168F3"/>
    <w:rsid w:val="0071704C"/>
    <w:rsid w:val="00717525"/>
    <w:rsid w:val="007224B4"/>
    <w:rsid w:val="0072488F"/>
    <w:rsid w:val="007261EB"/>
    <w:rsid w:val="00727A84"/>
    <w:rsid w:val="0073166A"/>
    <w:rsid w:val="007319C9"/>
    <w:rsid w:val="00733632"/>
    <w:rsid w:val="00733D98"/>
    <w:rsid w:val="007351A1"/>
    <w:rsid w:val="007352B6"/>
    <w:rsid w:val="0073598C"/>
    <w:rsid w:val="0073644F"/>
    <w:rsid w:val="0073737A"/>
    <w:rsid w:val="007377C6"/>
    <w:rsid w:val="00740EEE"/>
    <w:rsid w:val="00744F20"/>
    <w:rsid w:val="007450E1"/>
    <w:rsid w:val="0075071D"/>
    <w:rsid w:val="007509A5"/>
    <w:rsid w:val="007516F0"/>
    <w:rsid w:val="007517F0"/>
    <w:rsid w:val="00751E82"/>
    <w:rsid w:val="007534F5"/>
    <w:rsid w:val="007543DC"/>
    <w:rsid w:val="0075664F"/>
    <w:rsid w:val="00757BC6"/>
    <w:rsid w:val="0076036B"/>
    <w:rsid w:val="007620FC"/>
    <w:rsid w:val="00763FF2"/>
    <w:rsid w:val="0076489C"/>
    <w:rsid w:val="007654D7"/>
    <w:rsid w:val="00766982"/>
    <w:rsid w:val="00771D63"/>
    <w:rsid w:val="00773EF8"/>
    <w:rsid w:val="00776028"/>
    <w:rsid w:val="00776FC6"/>
    <w:rsid w:val="00777414"/>
    <w:rsid w:val="00780FEA"/>
    <w:rsid w:val="00782BC9"/>
    <w:rsid w:val="00784011"/>
    <w:rsid w:val="00785CB0"/>
    <w:rsid w:val="00785CF4"/>
    <w:rsid w:val="00786CC7"/>
    <w:rsid w:val="0078793C"/>
    <w:rsid w:val="00790AA2"/>
    <w:rsid w:val="007924C2"/>
    <w:rsid w:val="00793107"/>
    <w:rsid w:val="00793918"/>
    <w:rsid w:val="00793D20"/>
    <w:rsid w:val="00795495"/>
    <w:rsid w:val="007978CD"/>
    <w:rsid w:val="007A13EC"/>
    <w:rsid w:val="007A76A2"/>
    <w:rsid w:val="007A7AFE"/>
    <w:rsid w:val="007B2ACF"/>
    <w:rsid w:val="007B4ADB"/>
    <w:rsid w:val="007B580D"/>
    <w:rsid w:val="007B5995"/>
    <w:rsid w:val="007C075B"/>
    <w:rsid w:val="007C09CA"/>
    <w:rsid w:val="007C1347"/>
    <w:rsid w:val="007C2564"/>
    <w:rsid w:val="007C3418"/>
    <w:rsid w:val="007C4A84"/>
    <w:rsid w:val="007C4B11"/>
    <w:rsid w:val="007C5992"/>
    <w:rsid w:val="007C64C5"/>
    <w:rsid w:val="007C6803"/>
    <w:rsid w:val="007C6E9D"/>
    <w:rsid w:val="007D064C"/>
    <w:rsid w:val="007D0F98"/>
    <w:rsid w:val="007D1F4A"/>
    <w:rsid w:val="007D2ED2"/>
    <w:rsid w:val="007D435E"/>
    <w:rsid w:val="007D49D7"/>
    <w:rsid w:val="007D4F9E"/>
    <w:rsid w:val="007D55C0"/>
    <w:rsid w:val="007D5CE3"/>
    <w:rsid w:val="007E0FDB"/>
    <w:rsid w:val="007E1AF8"/>
    <w:rsid w:val="007E1F98"/>
    <w:rsid w:val="007E2D8B"/>
    <w:rsid w:val="007E6164"/>
    <w:rsid w:val="007E7E7E"/>
    <w:rsid w:val="007F1135"/>
    <w:rsid w:val="007F72F0"/>
    <w:rsid w:val="00803884"/>
    <w:rsid w:val="008070B6"/>
    <w:rsid w:val="00807432"/>
    <w:rsid w:val="00810EBC"/>
    <w:rsid w:val="00811E38"/>
    <w:rsid w:val="008138C2"/>
    <w:rsid w:val="00813A7F"/>
    <w:rsid w:val="00813B4F"/>
    <w:rsid w:val="00813DAC"/>
    <w:rsid w:val="008152A3"/>
    <w:rsid w:val="0081584A"/>
    <w:rsid w:val="008160D6"/>
    <w:rsid w:val="008161FE"/>
    <w:rsid w:val="0081651F"/>
    <w:rsid w:val="00816BE7"/>
    <w:rsid w:val="00821EFF"/>
    <w:rsid w:val="00822809"/>
    <w:rsid w:val="00823176"/>
    <w:rsid w:val="00825919"/>
    <w:rsid w:val="008263D3"/>
    <w:rsid w:val="00827EAA"/>
    <w:rsid w:val="008356A8"/>
    <w:rsid w:val="00835E4B"/>
    <w:rsid w:val="00835F15"/>
    <w:rsid w:val="00836742"/>
    <w:rsid w:val="00841D8A"/>
    <w:rsid w:val="00841F47"/>
    <w:rsid w:val="0084458C"/>
    <w:rsid w:val="008450C2"/>
    <w:rsid w:val="008467A5"/>
    <w:rsid w:val="008474D3"/>
    <w:rsid w:val="00847DDC"/>
    <w:rsid w:val="00853DBC"/>
    <w:rsid w:val="0085572C"/>
    <w:rsid w:val="00861573"/>
    <w:rsid w:val="00862657"/>
    <w:rsid w:val="00863B9D"/>
    <w:rsid w:val="00864AD1"/>
    <w:rsid w:val="00864C71"/>
    <w:rsid w:val="00871AA7"/>
    <w:rsid w:val="00871E3B"/>
    <w:rsid w:val="008729AF"/>
    <w:rsid w:val="008762AD"/>
    <w:rsid w:val="008767FD"/>
    <w:rsid w:val="008769DF"/>
    <w:rsid w:val="0088660B"/>
    <w:rsid w:val="00890899"/>
    <w:rsid w:val="00891141"/>
    <w:rsid w:val="0089263E"/>
    <w:rsid w:val="00893AFC"/>
    <w:rsid w:val="008949A7"/>
    <w:rsid w:val="00895700"/>
    <w:rsid w:val="00896A69"/>
    <w:rsid w:val="008A46E7"/>
    <w:rsid w:val="008A47B5"/>
    <w:rsid w:val="008A4D0F"/>
    <w:rsid w:val="008B0879"/>
    <w:rsid w:val="008B16BF"/>
    <w:rsid w:val="008B17EB"/>
    <w:rsid w:val="008B198F"/>
    <w:rsid w:val="008B1FCD"/>
    <w:rsid w:val="008B2563"/>
    <w:rsid w:val="008B27F0"/>
    <w:rsid w:val="008B323F"/>
    <w:rsid w:val="008B3707"/>
    <w:rsid w:val="008B4C9C"/>
    <w:rsid w:val="008B4DB8"/>
    <w:rsid w:val="008B4F97"/>
    <w:rsid w:val="008B5F0A"/>
    <w:rsid w:val="008B64F6"/>
    <w:rsid w:val="008B680B"/>
    <w:rsid w:val="008B6B81"/>
    <w:rsid w:val="008C00A3"/>
    <w:rsid w:val="008C0AD0"/>
    <w:rsid w:val="008C0B8C"/>
    <w:rsid w:val="008C3B8F"/>
    <w:rsid w:val="008C45B4"/>
    <w:rsid w:val="008C64A2"/>
    <w:rsid w:val="008C6C2E"/>
    <w:rsid w:val="008D01DB"/>
    <w:rsid w:val="008D0B5D"/>
    <w:rsid w:val="008D1126"/>
    <w:rsid w:val="008D2995"/>
    <w:rsid w:val="008D6399"/>
    <w:rsid w:val="008D64AC"/>
    <w:rsid w:val="008D72C1"/>
    <w:rsid w:val="008D738E"/>
    <w:rsid w:val="008D7FA5"/>
    <w:rsid w:val="008E0F06"/>
    <w:rsid w:val="008E5A6A"/>
    <w:rsid w:val="008E5DD2"/>
    <w:rsid w:val="008E68B8"/>
    <w:rsid w:val="008E6AE3"/>
    <w:rsid w:val="008F1859"/>
    <w:rsid w:val="008F196B"/>
    <w:rsid w:val="008F2387"/>
    <w:rsid w:val="008F3114"/>
    <w:rsid w:val="008F3C32"/>
    <w:rsid w:val="008F68C0"/>
    <w:rsid w:val="008F6A9B"/>
    <w:rsid w:val="008F7368"/>
    <w:rsid w:val="009007AF"/>
    <w:rsid w:val="00901E7C"/>
    <w:rsid w:val="0090220D"/>
    <w:rsid w:val="009060D0"/>
    <w:rsid w:val="0090643B"/>
    <w:rsid w:val="00910925"/>
    <w:rsid w:val="00910A34"/>
    <w:rsid w:val="00911758"/>
    <w:rsid w:val="00912749"/>
    <w:rsid w:val="00913EE0"/>
    <w:rsid w:val="00914A84"/>
    <w:rsid w:val="00915386"/>
    <w:rsid w:val="009167FE"/>
    <w:rsid w:val="009206FD"/>
    <w:rsid w:val="00922ECC"/>
    <w:rsid w:val="00923F3D"/>
    <w:rsid w:val="00924EC1"/>
    <w:rsid w:val="009306AA"/>
    <w:rsid w:val="009309F8"/>
    <w:rsid w:val="00931C4D"/>
    <w:rsid w:val="00931FC8"/>
    <w:rsid w:val="00933169"/>
    <w:rsid w:val="00933345"/>
    <w:rsid w:val="009338E0"/>
    <w:rsid w:val="00936296"/>
    <w:rsid w:val="00940155"/>
    <w:rsid w:val="00941500"/>
    <w:rsid w:val="00942A68"/>
    <w:rsid w:val="00943271"/>
    <w:rsid w:val="00944849"/>
    <w:rsid w:val="0095091C"/>
    <w:rsid w:val="00951D6F"/>
    <w:rsid w:val="00952EA8"/>
    <w:rsid w:val="00954AEB"/>
    <w:rsid w:val="00954D7C"/>
    <w:rsid w:val="00955022"/>
    <w:rsid w:val="009571AB"/>
    <w:rsid w:val="00961486"/>
    <w:rsid w:val="00961B4F"/>
    <w:rsid w:val="0096446B"/>
    <w:rsid w:val="0096541E"/>
    <w:rsid w:val="009658BB"/>
    <w:rsid w:val="00965AC4"/>
    <w:rsid w:val="00965DD1"/>
    <w:rsid w:val="00965F13"/>
    <w:rsid w:val="00966D6E"/>
    <w:rsid w:val="00970917"/>
    <w:rsid w:val="00974B4F"/>
    <w:rsid w:val="00975F69"/>
    <w:rsid w:val="00976D70"/>
    <w:rsid w:val="00977D09"/>
    <w:rsid w:val="00980577"/>
    <w:rsid w:val="00980FB1"/>
    <w:rsid w:val="009818FA"/>
    <w:rsid w:val="00982A4E"/>
    <w:rsid w:val="00984357"/>
    <w:rsid w:val="009852E8"/>
    <w:rsid w:val="009868C2"/>
    <w:rsid w:val="00986A83"/>
    <w:rsid w:val="00986F85"/>
    <w:rsid w:val="0099060A"/>
    <w:rsid w:val="009909D6"/>
    <w:rsid w:val="009918F1"/>
    <w:rsid w:val="0099407C"/>
    <w:rsid w:val="00994D49"/>
    <w:rsid w:val="00994F60"/>
    <w:rsid w:val="009964E1"/>
    <w:rsid w:val="009967E4"/>
    <w:rsid w:val="009974C9"/>
    <w:rsid w:val="009A4303"/>
    <w:rsid w:val="009A4BC7"/>
    <w:rsid w:val="009A6627"/>
    <w:rsid w:val="009A68E7"/>
    <w:rsid w:val="009A6CA9"/>
    <w:rsid w:val="009A7AD5"/>
    <w:rsid w:val="009B110E"/>
    <w:rsid w:val="009B16E9"/>
    <w:rsid w:val="009B1EC7"/>
    <w:rsid w:val="009B24DE"/>
    <w:rsid w:val="009B27CD"/>
    <w:rsid w:val="009B7B90"/>
    <w:rsid w:val="009C4034"/>
    <w:rsid w:val="009C5E69"/>
    <w:rsid w:val="009C6C58"/>
    <w:rsid w:val="009C7186"/>
    <w:rsid w:val="009D2ED7"/>
    <w:rsid w:val="009D4B55"/>
    <w:rsid w:val="009D6B9A"/>
    <w:rsid w:val="009D790A"/>
    <w:rsid w:val="009D7F66"/>
    <w:rsid w:val="009E2CB5"/>
    <w:rsid w:val="009E2EDD"/>
    <w:rsid w:val="009E3257"/>
    <w:rsid w:val="009E4184"/>
    <w:rsid w:val="009E4251"/>
    <w:rsid w:val="009E4D02"/>
    <w:rsid w:val="009E73C0"/>
    <w:rsid w:val="009E7EA8"/>
    <w:rsid w:val="009F07F5"/>
    <w:rsid w:val="009F0D9F"/>
    <w:rsid w:val="009F2499"/>
    <w:rsid w:val="009F2AC4"/>
    <w:rsid w:val="009F558B"/>
    <w:rsid w:val="009F6789"/>
    <w:rsid w:val="009F735D"/>
    <w:rsid w:val="009F78C2"/>
    <w:rsid w:val="00A01915"/>
    <w:rsid w:val="00A05709"/>
    <w:rsid w:val="00A06E8C"/>
    <w:rsid w:val="00A078CF"/>
    <w:rsid w:val="00A1093C"/>
    <w:rsid w:val="00A13AAE"/>
    <w:rsid w:val="00A14136"/>
    <w:rsid w:val="00A152C2"/>
    <w:rsid w:val="00A17486"/>
    <w:rsid w:val="00A20FD9"/>
    <w:rsid w:val="00A23111"/>
    <w:rsid w:val="00A245B9"/>
    <w:rsid w:val="00A24A67"/>
    <w:rsid w:val="00A25446"/>
    <w:rsid w:val="00A261E1"/>
    <w:rsid w:val="00A30413"/>
    <w:rsid w:val="00A31913"/>
    <w:rsid w:val="00A31A98"/>
    <w:rsid w:val="00A32079"/>
    <w:rsid w:val="00A323F6"/>
    <w:rsid w:val="00A32520"/>
    <w:rsid w:val="00A3310F"/>
    <w:rsid w:val="00A338A5"/>
    <w:rsid w:val="00A358CF"/>
    <w:rsid w:val="00A372E1"/>
    <w:rsid w:val="00A4171E"/>
    <w:rsid w:val="00A41F46"/>
    <w:rsid w:val="00A43240"/>
    <w:rsid w:val="00A4341D"/>
    <w:rsid w:val="00A43608"/>
    <w:rsid w:val="00A44ADC"/>
    <w:rsid w:val="00A44CCF"/>
    <w:rsid w:val="00A456CA"/>
    <w:rsid w:val="00A45FCA"/>
    <w:rsid w:val="00A46376"/>
    <w:rsid w:val="00A5241C"/>
    <w:rsid w:val="00A52AFA"/>
    <w:rsid w:val="00A609AB"/>
    <w:rsid w:val="00A60E3D"/>
    <w:rsid w:val="00A61356"/>
    <w:rsid w:val="00A61835"/>
    <w:rsid w:val="00A62E4C"/>
    <w:rsid w:val="00A650B7"/>
    <w:rsid w:val="00A70158"/>
    <w:rsid w:val="00A71C4D"/>
    <w:rsid w:val="00A72167"/>
    <w:rsid w:val="00A74ABD"/>
    <w:rsid w:val="00A74D6F"/>
    <w:rsid w:val="00A75383"/>
    <w:rsid w:val="00A75AE5"/>
    <w:rsid w:val="00A75BCC"/>
    <w:rsid w:val="00A76E49"/>
    <w:rsid w:val="00A843AB"/>
    <w:rsid w:val="00A8504C"/>
    <w:rsid w:val="00A861F3"/>
    <w:rsid w:val="00A86E87"/>
    <w:rsid w:val="00A87802"/>
    <w:rsid w:val="00A901AA"/>
    <w:rsid w:val="00A942E9"/>
    <w:rsid w:val="00A96474"/>
    <w:rsid w:val="00AA0714"/>
    <w:rsid w:val="00AA221B"/>
    <w:rsid w:val="00AA36CF"/>
    <w:rsid w:val="00AA5746"/>
    <w:rsid w:val="00AA68A2"/>
    <w:rsid w:val="00AB25B7"/>
    <w:rsid w:val="00AB2A48"/>
    <w:rsid w:val="00AB2F04"/>
    <w:rsid w:val="00AB303D"/>
    <w:rsid w:val="00AB35F8"/>
    <w:rsid w:val="00AB427E"/>
    <w:rsid w:val="00AB5A6A"/>
    <w:rsid w:val="00AC0B0F"/>
    <w:rsid w:val="00AC35E0"/>
    <w:rsid w:val="00AC3744"/>
    <w:rsid w:val="00AC4B7E"/>
    <w:rsid w:val="00AC7045"/>
    <w:rsid w:val="00AC772E"/>
    <w:rsid w:val="00AC78D6"/>
    <w:rsid w:val="00AC7D2F"/>
    <w:rsid w:val="00AD1FED"/>
    <w:rsid w:val="00AD5F6A"/>
    <w:rsid w:val="00AE183D"/>
    <w:rsid w:val="00AE5393"/>
    <w:rsid w:val="00AE6B56"/>
    <w:rsid w:val="00AF0B8C"/>
    <w:rsid w:val="00AF0BAD"/>
    <w:rsid w:val="00AF58D1"/>
    <w:rsid w:val="00AF606C"/>
    <w:rsid w:val="00AF73A0"/>
    <w:rsid w:val="00AF7CD3"/>
    <w:rsid w:val="00B004B7"/>
    <w:rsid w:val="00B024B7"/>
    <w:rsid w:val="00B0291B"/>
    <w:rsid w:val="00B02EE1"/>
    <w:rsid w:val="00B02FA2"/>
    <w:rsid w:val="00B034FE"/>
    <w:rsid w:val="00B0372A"/>
    <w:rsid w:val="00B03A0B"/>
    <w:rsid w:val="00B043F7"/>
    <w:rsid w:val="00B04415"/>
    <w:rsid w:val="00B05D27"/>
    <w:rsid w:val="00B060A9"/>
    <w:rsid w:val="00B06506"/>
    <w:rsid w:val="00B065E5"/>
    <w:rsid w:val="00B1074B"/>
    <w:rsid w:val="00B137A3"/>
    <w:rsid w:val="00B13E73"/>
    <w:rsid w:val="00B13F39"/>
    <w:rsid w:val="00B14FFA"/>
    <w:rsid w:val="00B156CA"/>
    <w:rsid w:val="00B15CC0"/>
    <w:rsid w:val="00B16083"/>
    <w:rsid w:val="00B20889"/>
    <w:rsid w:val="00B2353F"/>
    <w:rsid w:val="00B23664"/>
    <w:rsid w:val="00B24425"/>
    <w:rsid w:val="00B25727"/>
    <w:rsid w:val="00B264E2"/>
    <w:rsid w:val="00B27196"/>
    <w:rsid w:val="00B278A3"/>
    <w:rsid w:val="00B301D5"/>
    <w:rsid w:val="00B3092F"/>
    <w:rsid w:val="00B30F76"/>
    <w:rsid w:val="00B34DAC"/>
    <w:rsid w:val="00B406A3"/>
    <w:rsid w:val="00B42279"/>
    <w:rsid w:val="00B43392"/>
    <w:rsid w:val="00B4377A"/>
    <w:rsid w:val="00B449D5"/>
    <w:rsid w:val="00B46273"/>
    <w:rsid w:val="00B4692C"/>
    <w:rsid w:val="00B474DD"/>
    <w:rsid w:val="00B51EFD"/>
    <w:rsid w:val="00B52712"/>
    <w:rsid w:val="00B5542C"/>
    <w:rsid w:val="00B55859"/>
    <w:rsid w:val="00B5589E"/>
    <w:rsid w:val="00B56582"/>
    <w:rsid w:val="00B566B8"/>
    <w:rsid w:val="00B607ED"/>
    <w:rsid w:val="00B67C5B"/>
    <w:rsid w:val="00B67D75"/>
    <w:rsid w:val="00B72825"/>
    <w:rsid w:val="00B7446D"/>
    <w:rsid w:val="00B74E1A"/>
    <w:rsid w:val="00B76895"/>
    <w:rsid w:val="00B809A2"/>
    <w:rsid w:val="00B81021"/>
    <w:rsid w:val="00B82897"/>
    <w:rsid w:val="00B832BE"/>
    <w:rsid w:val="00B83562"/>
    <w:rsid w:val="00B83A46"/>
    <w:rsid w:val="00B83D8A"/>
    <w:rsid w:val="00B84836"/>
    <w:rsid w:val="00B84D0D"/>
    <w:rsid w:val="00B85721"/>
    <w:rsid w:val="00B86319"/>
    <w:rsid w:val="00B86C66"/>
    <w:rsid w:val="00B9033B"/>
    <w:rsid w:val="00B90A61"/>
    <w:rsid w:val="00B91D76"/>
    <w:rsid w:val="00B938F4"/>
    <w:rsid w:val="00B93BFD"/>
    <w:rsid w:val="00B95E0F"/>
    <w:rsid w:val="00B97634"/>
    <w:rsid w:val="00BA0944"/>
    <w:rsid w:val="00BA1B5A"/>
    <w:rsid w:val="00BA4861"/>
    <w:rsid w:val="00BA4FD3"/>
    <w:rsid w:val="00BA54BF"/>
    <w:rsid w:val="00BA575F"/>
    <w:rsid w:val="00BA59B1"/>
    <w:rsid w:val="00BB41F6"/>
    <w:rsid w:val="00BB4D44"/>
    <w:rsid w:val="00BB6A43"/>
    <w:rsid w:val="00BB7E3A"/>
    <w:rsid w:val="00BC0A28"/>
    <w:rsid w:val="00BC1775"/>
    <w:rsid w:val="00BC26F5"/>
    <w:rsid w:val="00BC3CDE"/>
    <w:rsid w:val="00BC59D5"/>
    <w:rsid w:val="00BC6E84"/>
    <w:rsid w:val="00BC7442"/>
    <w:rsid w:val="00BC7560"/>
    <w:rsid w:val="00BC79A2"/>
    <w:rsid w:val="00BC7F01"/>
    <w:rsid w:val="00BD10F9"/>
    <w:rsid w:val="00BD2899"/>
    <w:rsid w:val="00BD324F"/>
    <w:rsid w:val="00BE0354"/>
    <w:rsid w:val="00BE3A8C"/>
    <w:rsid w:val="00BE50F5"/>
    <w:rsid w:val="00BE5672"/>
    <w:rsid w:val="00BE6631"/>
    <w:rsid w:val="00BE7B82"/>
    <w:rsid w:val="00BF0CBC"/>
    <w:rsid w:val="00BF0E18"/>
    <w:rsid w:val="00BF1125"/>
    <w:rsid w:val="00BF17BF"/>
    <w:rsid w:val="00BF1ABA"/>
    <w:rsid w:val="00BF4080"/>
    <w:rsid w:val="00BF5CF6"/>
    <w:rsid w:val="00BF5EC8"/>
    <w:rsid w:val="00C0161B"/>
    <w:rsid w:val="00C0428B"/>
    <w:rsid w:val="00C0592B"/>
    <w:rsid w:val="00C059B2"/>
    <w:rsid w:val="00C05B96"/>
    <w:rsid w:val="00C06472"/>
    <w:rsid w:val="00C071B6"/>
    <w:rsid w:val="00C1104E"/>
    <w:rsid w:val="00C12E60"/>
    <w:rsid w:val="00C13522"/>
    <w:rsid w:val="00C16166"/>
    <w:rsid w:val="00C16742"/>
    <w:rsid w:val="00C177D3"/>
    <w:rsid w:val="00C20D71"/>
    <w:rsid w:val="00C2106B"/>
    <w:rsid w:val="00C21288"/>
    <w:rsid w:val="00C24F58"/>
    <w:rsid w:val="00C260CD"/>
    <w:rsid w:val="00C31830"/>
    <w:rsid w:val="00C31C01"/>
    <w:rsid w:val="00C326AC"/>
    <w:rsid w:val="00C32AE7"/>
    <w:rsid w:val="00C32E63"/>
    <w:rsid w:val="00C334C6"/>
    <w:rsid w:val="00C4011A"/>
    <w:rsid w:val="00C46775"/>
    <w:rsid w:val="00C55859"/>
    <w:rsid w:val="00C55FCC"/>
    <w:rsid w:val="00C56410"/>
    <w:rsid w:val="00C56CF7"/>
    <w:rsid w:val="00C62FA9"/>
    <w:rsid w:val="00C64FCE"/>
    <w:rsid w:val="00C7168A"/>
    <w:rsid w:val="00C73B84"/>
    <w:rsid w:val="00C74945"/>
    <w:rsid w:val="00C74B33"/>
    <w:rsid w:val="00C75E3E"/>
    <w:rsid w:val="00C76561"/>
    <w:rsid w:val="00C76B3A"/>
    <w:rsid w:val="00C80327"/>
    <w:rsid w:val="00C825FC"/>
    <w:rsid w:val="00C8405E"/>
    <w:rsid w:val="00C85C2D"/>
    <w:rsid w:val="00C90F7C"/>
    <w:rsid w:val="00C9106B"/>
    <w:rsid w:val="00C93906"/>
    <w:rsid w:val="00C93ED3"/>
    <w:rsid w:val="00C947A3"/>
    <w:rsid w:val="00C9518B"/>
    <w:rsid w:val="00C96287"/>
    <w:rsid w:val="00C966D0"/>
    <w:rsid w:val="00C96E16"/>
    <w:rsid w:val="00CA076C"/>
    <w:rsid w:val="00CA2A48"/>
    <w:rsid w:val="00CA538E"/>
    <w:rsid w:val="00CA5D2A"/>
    <w:rsid w:val="00CA5DB7"/>
    <w:rsid w:val="00CB0418"/>
    <w:rsid w:val="00CB0A46"/>
    <w:rsid w:val="00CB24F6"/>
    <w:rsid w:val="00CB300B"/>
    <w:rsid w:val="00CB54EB"/>
    <w:rsid w:val="00CB5C99"/>
    <w:rsid w:val="00CB6828"/>
    <w:rsid w:val="00CB6D06"/>
    <w:rsid w:val="00CB73DE"/>
    <w:rsid w:val="00CB7D9F"/>
    <w:rsid w:val="00CC0048"/>
    <w:rsid w:val="00CC05AC"/>
    <w:rsid w:val="00CC0FC6"/>
    <w:rsid w:val="00CC20D7"/>
    <w:rsid w:val="00CC4310"/>
    <w:rsid w:val="00CC7F31"/>
    <w:rsid w:val="00CC7F51"/>
    <w:rsid w:val="00CD0A37"/>
    <w:rsid w:val="00CD36C6"/>
    <w:rsid w:val="00CD3F9E"/>
    <w:rsid w:val="00CD4914"/>
    <w:rsid w:val="00CD55E8"/>
    <w:rsid w:val="00CE07BC"/>
    <w:rsid w:val="00CE095E"/>
    <w:rsid w:val="00CE18C6"/>
    <w:rsid w:val="00CE201E"/>
    <w:rsid w:val="00CE396C"/>
    <w:rsid w:val="00CE4C26"/>
    <w:rsid w:val="00CE6645"/>
    <w:rsid w:val="00CF10A5"/>
    <w:rsid w:val="00CF393F"/>
    <w:rsid w:val="00CF3CEC"/>
    <w:rsid w:val="00CF4488"/>
    <w:rsid w:val="00CF44CF"/>
    <w:rsid w:val="00D013C1"/>
    <w:rsid w:val="00D019C5"/>
    <w:rsid w:val="00D02318"/>
    <w:rsid w:val="00D050C1"/>
    <w:rsid w:val="00D1013A"/>
    <w:rsid w:val="00D1122A"/>
    <w:rsid w:val="00D12715"/>
    <w:rsid w:val="00D12C3D"/>
    <w:rsid w:val="00D137A2"/>
    <w:rsid w:val="00D139F1"/>
    <w:rsid w:val="00D170FC"/>
    <w:rsid w:val="00D17C53"/>
    <w:rsid w:val="00D201CD"/>
    <w:rsid w:val="00D21A8E"/>
    <w:rsid w:val="00D22FC4"/>
    <w:rsid w:val="00D23490"/>
    <w:rsid w:val="00D241A3"/>
    <w:rsid w:val="00D25C6C"/>
    <w:rsid w:val="00D2621C"/>
    <w:rsid w:val="00D27868"/>
    <w:rsid w:val="00D307B0"/>
    <w:rsid w:val="00D327D6"/>
    <w:rsid w:val="00D32C22"/>
    <w:rsid w:val="00D36D7F"/>
    <w:rsid w:val="00D36EC5"/>
    <w:rsid w:val="00D4459A"/>
    <w:rsid w:val="00D456F1"/>
    <w:rsid w:val="00D4679F"/>
    <w:rsid w:val="00D46981"/>
    <w:rsid w:val="00D5068F"/>
    <w:rsid w:val="00D52893"/>
    <w:rsid w:val="00D52ADA"/>
    <w:rsid w:val="00D54C16"/>
    <w:rsid w:val="00D56640"/>
    <w:rsid w:val="00D6009E"/>
    <w:rsid w:val="00D62858"/>
    <w:rsid w:val="00D6294C"/>
    <w:rsid w:val="00D63188"/>
    <w:rsid w:val="00D73A27"/>
    <w:rsid w:val="00D74727"/>
    <w:rsid w:val="00D752AA"/>
    <w:rsid w:val="00D7733C"/>
    <w:rsid w:val="00D82114"/>
    <w:rsid w:val="00D83D34"/>
    <w:rsid w:val="00D876C4"/>
    <w:rsid w:val="00D87A55"/>
    <w:rsid w:val="00D90580"/>
    <w:rsid w:val="00D90E27"/>
    <w:rsid w:val="00D92DDC"/>
    <w:rsid w:val="00D938E3"/>
    <w:rsid w:val="00D94037"/>
    <w:rsid w:val="00D9485F"/>
    <w:rsid w:val="00D94E8A"/>
    <w:rsid w:val="00DA14F7"/>
    <w:rsid w:val="00DA199F"/>
    <w:rsid w:val="00DA205A"/>
    <w:rsid w:val="00DA3918"/>
    <w:rsid w:val="00DA671B"/>
    <w:rsid w:val="00DA6BD1"/>
    <w:rsid w:val="00DB3B5F"/>
    <w:rsid w:val="00DB4302"/>
    <w:rsid w:val="00DB46E0"/>
    <w:rsid w:val="00DB4927"/>
    <w:rsid w:val="00DB78DE"/>
    <w:rsid w:val="00DC0DFB"/>
    <w:rsid w:val="00DC15A8"/>
    <w:rsid w:val="00DC167A"/>
    <w:rsid w:val="00DC2394"/>
    <w:rsid w:val="00DC240B"/>
    <w:rsid w:val="00DC2736"/>
    <w:rsid w:val="00DC2B6F"/>
    <w:rsid w:val="00DC2E6E"/>
    <w:rsid w:val="00DC57C5"/>
    <w:rsid w:val="00DC5A5E"/>
    <w:rsid w:val="00DC7643"/>
    <w:rsid w:val="00DD3C4B"/>
    <w:rsid w:val="00DD598D"/>
    <w:rsid w:val="00DE0C34"/>
    <w:rsid w:val="00DE0DCA"/>
    <w:rsid w:val="00DE4AEF"/>
    <w:rsid w:val="00DE4BA4"/>
    <w:rsid w:val="00DE50EE"/>
    <w:rsid w:val="00DE77C6"/>
    <w:rsid w:val="00DE7930"/>
    <w:rsid w:val="00DF10F2"/>
    <w:rsid w:val="00DF2F35"/>
    <w:rsid w:val="00DF3555"/>
    <w:rsid w:val="00DF4B36"/>
    <w:rsid w:val="00DF5D6B"/>
    <w:rsid w:val="00DF75B9"/>
    <w:rsid w:val="00E0148D"/>
    <w:rsid w:val="00E01A3E"/>
    <w:rsid w:val="00E0204A"/>
    <w:rsid w:val="00E040A8"/>
    <w:rsid w:val="00E0545C"/>
    <w:rsid w:val="00E10AFB"/>
    <w:rsid w:val="00E11686"/>
    <w:rsid w:val="00E133E2"/>
    <w:rsid w:val="00E21CD1"/>
    <w:rsid w:val="00E21FDE"/>
    <w:rsid w:val="00E234EA"/>
    <w:rsid w:val="00E26F51"/>
    <w:rsid w:val="00E27D18"/>
    <w:rsid w:val="00E31EFA"/>
    <w:rsid w:val="00E3356D"/>
    <w:rsid w:val="00E3414B"/>
    <w:rsid w:val="00E35114"/>
    <w:rsid w:val="00E35435"/>
    <w:rsid w:val="00E3554A"/>
    <w:rsid w:val="00E35908"/>
    <w:rsid w:val="00E35EFF"/>
    <w:rsid w:val="00E3712D"/>
    <w:rsid w:val="00E433FC"/>
    <w:rsid w:val="00E43DBC"/>
    <w:rsid w:val="00E457B0"/>
    <w:rsid w:val="00E46C76"/>
    <w:rsid w:val="00E5277F"/>
    <w:rsid w:val="00E559D7"/>
    <w:rsid w:val="00E570C0"/>
    <w:rsid w:val="00E5743A"/>
    <w:rsid w:val="00E602C1"/>
    <w:rsid w:val="00E60F11"/>
    <w:rsid w:val="00E64965"/>
    <w:rsid w:val="00E66F6E"/>
    <w:rsid w:val="00E701CF"/>
    <w:rsid w:val="00E72C3E"/>
    <w:rsid w:val="00E72D57"/>
    <w:rsid w:val="00E73FDC"/>
    <w:rsid w:val="00E80952"/>
    <w:rsid w:val="00E80F13"/>
    <w:rsid w:val="00E81CDF"/>
    <w:rsid w:val="00E83D2C"/>
    <w:rsid w:val="00E862C0"/>
    <w:rsid w:val="00E871C9"/>
    <w:rsid w:val="00E8738C"/>
    <w:rsid w:val="00E93C71"/>
    <w:rsid w:val="00E949D4"/>
    <w:rsid w:val="00E95DBE"/>
    <w:rsid w:val="00EA20B5"/>
    <w:rsid w:val="00EA2A01"/>
    <w:rsid w:val="00EA33D8"/>
    <w:rsid w:val="00EA3B80"/>
    <w:rsid w:val="00EA5099"/>
    <w:rsid w:val="00EA5687"/>
    <w:rsid w:val="00EA5828"/>
    <w:rsid w:val="00EA6106"/>
    <w:rsid w:val="00EB3415"/>
    <w:rsid w:val="00EC056D"/>
    <w:rsid w:val="00EC1DBE"/>
    <w:rsid w:val="00EC3504"/>
    <w:rsid w:val="00EC38B3"/>
    <w:rsid w:val="00EC4A94"/>
    <w:rsid w:val="00EC5991"/>
    <w:rsid w:val="00EC6157"/>
    <w:rsid w:val="00EC6291"/>
    <w:rsid w:val="00EC7502"/>
    <w:rsid w:val="00ED08A0"/>
    <w:rsid w:val="00ED0947"/>
    <w:rsid w:val="00ED2A0B"/>
    <w:rsid w:val="00ED3466"/>
    <w:rsid w:val="00ED3616"/>
    <w:rsid w:val="00ED3AB7"/>
    <w:rsid w:val="00ED411B"/>
    <w:rsid w:val="00ED4163"/>
    <w:rsid w:val="00ED49FA"/>
    <w:rsid w:val="00ED626A"/>
    <w:rsid w:val="00ED6634"/>
    <w:rsid w:val="00ED71AD"/>
    <w:rsid w:val="00EE0A9E"/>
    <w:rsid w:val="00EE0B04"/>
    <w:rsid w:val="00EE1F19"/>
    <w:rsid w:val="00EE3A8C"/>
    <w:rsid w:val="00EE5EE0"/>
    <w:rsid w:val="00EE64DD"/>
    <w:rsid w:val="00EE6C04"/>
    <w:rsid w:val="00EF032C"/>
    <w:rsid w:val="00EF034B"/>
    <w:rsid w:val="00EF048B"/>
    <w:rsid w:val="00EF4A08"/>
    <w:rsid w:val="00EF59F9"/>
    <w:rsid w:val="00EF7CBC"/>
    <w:rsid w:val="00EF7CEF"/>
    <w:rsid w:val="00F01F78"/>
    <w:rsid w:val="00F025E3"/>
    <w:rsid w:val="00F02784"/>
    <w:rsid w:val="00F03044"/>
    <w:rsid w:val="00F03A8E"/>
    <w:rsid w:val="00F05C07"/>
    <w:rsid w:val="00F05E27"/>
    <w:rsid w:val="00F075EA"/>
    <w:rsid w:val="00F0772C"/>
    <w:rsid w:val="00F11180"/>
    <w:rsid w:val="00F11D3D"/>
    <w:rsid w:val="00F1208B"/>
    <w:rsid w:val="00F135C3"/>
    <w:rsid w:val="00F154E6"/>
    <w:rsid w:val="00F17160"/>
    <w:rsid w:val="00F23EFA"/>
    <w:rsid w:val="00F24643"/>
    <w:rsid w:val="00F249B6"/>
    <w:rsid w:val="00F26F30"/>
    <w:rsid w:val="00F307E2"/>
    <w:rsid w:val="00F308C3"/>
    <w:rsid w:val="00F31CD6"/>
    <w:rsid w:val="00F32AC3"/>
    <w:rsid w:val="00F33A91"/>
    <w:rsid w:val="00F33C07"/>
    <w:rsid w:val="00F33F89"/>
    <w:rsid w:val="00F3421F"/>
    <w:rsid w:val="00F34350"/>
    <w:rsid w:val="00F34A8A"/>
    <w:rsid w:val="00F36303"/>
    <w:rsid w:val="00F3642F"/>
    <w:rsid w:val="00F37C5A"/>
    <w:rsid w:val="00F406DE"/>
    <w:rsid w:val="00F40E9F"/>
    <w:rsid w:val="00F4313F"/>
    <w:rsid w:val="00F4371A"/>
    <w:rsid w:val="00F439F8"/>
    <w:rsid w:val="00F440A8"/>
    <w:rsid w:val="00F44D85"/>
    <w:rsid w:val="00F458A0"/>
    <w:rsid w:val="00F46D80"/>
    <w:rsid w:val="00F46DB5"/>
    <w:rsid w:val="00F47497"/>
    <w:rsid w:val="00F47A60"/>
    <w:rsid w:val="00F47CAD"/>
    <w:rsid w:val="00F51B30"/>
    <w:rsid w:val="00F5788E"/>
    <w:rsid w:val="00F6102A"/>
    <w:rsid w:val="00F63353"/>
    <w:rsid w:val="00F63C17"/>
    <w:rsid w:val="00F63E3D"/>
    <w:rsid w:val="00F64145"/>
    <w:rsid w:val="00F64285"/>
    <w:rsid w:val="00F65C69"/>
    <w:rsid w:val="00F66710"/>
    <w:rsid w:val="00F66A28"/>
    <w:rsid w:val="00F66EE6"/>
    <w:rsid w:val="00F67141"/>
    <w:rsid w:val="00F67973"/>
    <w:rsid w:val="00F7103E"/>
    <w:rsid w:val="00F742DF"/>
    <w:rsid w:val="00F75519"/>
    <w:rsid w:val="00F756EC"/>
    <w:rsid w:val="00F76613"/>
    <w:rsid w:val="00F773AB"/>
    <w:rsid w:val="00F77BE2"/>
    <w:rsid w:val="00F8078C"/>
    <w:rsid w:val="00F8215B"/>
    <w:rsid w:val="00F82315"/>
    <w:rsid w:val="00F8280A"/>
    <w:rsid w:val="00F82CA5"/>
    <w:rsid w:val="00F83E44"/>
    <w:rsid w:val="00F85DDF"/>
    <w:rsid w:val="00F86F16"/>
    <w:rsid w:val="00F932EB"/>
    <w:rsid w:val="00F93DF2"/>
    <w:rsid w:val="00F95947"/>
    <w:rsid w:val="00F96F6E"/>
    <w:rsid w:val="00FA0504"/>
    <w:rsid w:val="00FA1261"/>
    <w:rsid w:val="00FA4060"/>
    <w:rsid w:val="00FA4725"/>
    <w:rsid w:val="00FA6731"/>
    <w:rsid w:val="00FA675A"/>
    <w:rsid w:val="00FA6C84"/>
    <w:rsid w:val="00FB3631"/>
    <w:rsid w:val="00FB3DB3"/>
    <w:rsid w:val="00FB4E25"/>
    <w:rsid w:val="00FB5983"/>
    <w:rsid w:val="00FB64D4"/>
    <w:rsid w:val="00FC0030"/>
    <w:rsid w:val="00FC0B70"/>
    <w:rsid w:val="00FC2E9B"/>
    <w:rsid w:val="00FC312E"/>
    <w:rsid w:val="00FC33D9"/>
    <w:rsid w:val="00FC3774"/>
    <w:rsid w:val="00FC6742"/>
    <w:rsid w:val="00FD3946"/>
    <w:rsid w:val="00FE379B"/>
    <w:rsid w:val="00FE3CDB"/>
    <w:rsid w:val="00FE60BE"/>
    <w:rsid w:val="00FE6F5A"/>
    <w:rsid w:val="00FE75D5"/>
    <w:rsid w:val="00FF0132"/>
    <w:rsid w:val="00FF03C3"/>
    <w:rsid w:val="00FF0D64"/>
    <w:rsid w:val="00FF2097"/>
    <w:rsid w:val="00FF3532"/>
    <w:rsid w:val="00FF6B9D"/>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C07B892"/>
  <w15:docId w15:val="{854AAB02-55DE-492B-A604-353C79365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0"/>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3356D"/>
    <w:pPr>
      <w:suppressAutoHyphens/>
      <w:spacing w:after="200" w:line="276" w:lineRule="auto"/>
    </w:pPr>
    <w:rPr>
      <w:rFonts w:ascii="Myriad Pro" w:eastAsia="Calibri" w:hAnsi="Myriad Pro" w:cs="Calibri"/>
      <w:sz w:val="24"/>
      <w:szCs w:val="22"/>
      <w:lang w:eastAsia="zh-CN"/>
    </w:rPr>
  </w:style>
  <w:style w:type="paragraph" w:styleId="Cmsor1">
    <w:name w:val="heading 1"/>
    <w:basedOn w:val="Norml"/>
    <w:next w:val="Norml"/>
    <w:link w:val="Cmsor1Char"/>
    <w:uiPriority w:val="9"/>
    <w:qFormat/>
    <w:rsid w:val="00E3356D"/>
    <w:pPr>
      <w:keepNext/>
      <w:spacing w:before="240" w:after="60"/>
      <w:outlineLvl w:val="0"/>
    </w:pPr>
    <w:rPr>
      <w:rFonts w:eastAsia="MS Gothic" w:cs="Times New Roman"/>
      <w:b/>
      <w:bCs/>
      <w:color w:val="B10000"/>
      <w:kern w:val="32"/>
      <w:szCs w:val="32"/>
    </w:rPr>
  </w:style>
  <w:style w:type="paragraph" w:styleId="Cmsor2">
    <w:name w:val="heading 2"/>
    <w:basedOn w:val="Cmsor3"/>
    <w:next w:val="Szvegtrzs"/>
    <w:qFormat/>
    <w:rsid w:val="0076036B"/>
    <w:pPr>
      <w:outlineLvl w:val="1"/>
    </w:pPr>
    <w:rPr>
      <w:rFonts w:ascii="Times New Roman" w:hAnsi="Times New Roman"/>
      <w:i/>
      <w:color w:val="B10000"/>
    </w:rPr>
  </w:style>
  <w:style w:type="paragraph" w:styleId="Cmsor3">
    <w:name w:val="heading 3"/>
    <w:basedOn w:val="Norml"/>
    <w:next w:val="Norml"/>
    <w:link w:val="Cmsor3Char"/>
    <w:uiPriority w:val="9"/>
    <w:qFormat/>
    <w:rsid w:val="00E3356D"/>
    <w:pPr>
      <w:keepNext/>
      <w:spacing w:before="240" w:after="60"/>
      <w:outlineLvl w:val="2"/>
    </w:pPr>
    <w:rPr>
      <w:rFonts w:eastAsia="MS Gothic" w:cs="Times New Roman"/>
      <w:b/>
      <w:bCs/>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3">
    <w:name w:val="WW8Num2z3"/>
    <w:rPr>
      <w:rFonts w:ascii="Wingdings 2" w:hAnsi="Wingdings 2" w:cs="OpenSymbol"/>
    </w:rPr>
  </w:style>
  <w:style w:type="character" w:customStyle="1" w:styleId="WW8Num3z0">
    <w:name w:val="WW8Num3z0"/>
    <w:rPr>
      <w:rFonts w:ascii="Symbol" w:hAnsi="Symbol" w:cs="OpenSymbol"/>
    </w:rPr>
  </w:style>
  <w:style w:type="character" w:customStyle="1" w:styleId="WW8Num4z0">
    <w:name w:val="WW8Num4z0"/>
    <w:rPr>
      <w:rFonts w:ascii="Symbol" w:hAnsi="Symbol" w:cs="OpenSymbol"/>
    </w:rPr>
  </w:style>
  <w:style w:type="character" w:customStyle="1" w:styleId="WW8Num5z0">
    <w:name w:val="WW8Num5z0"/>
    <w:rPr>
      <w:rFonts w:ascii="Calibri" w:hAnsi="Calibri" w:cs="Times New Roman"/>
    </w:rPr>
  </w:style>
  <w:style w:type="character" w:customStyle="1" w:styleId="WW8Num6z0">
    <w:name w:val="WW8Num6z0"/>
    <w:rPr>
      <w:rFonts w:ascii="Symbol" w:hAnsi="Symbol" w:cs="OpenSymbol"/>
    </w:rPr>
  </w:style>
  <w:style w:type="character" w:customStyle="1" w:styleId="WW8Num7z0">
    <w:name w:val="WW8Num7z0"/>
    <w:rPr>
      <w:rFonts w:ascii="Wingdings 2" w:hAnsi="Wingdings 2"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Times New Roman" w:hAnsi="Times New Roman" w:cs="Times New Roman"/>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9z0">
    <w:name w:val="WW8Num9z0"/>
    <w:rPr>
      <w:rFonts w:ascii="Wingdings 2" w:hAnsi="Wingdings 2" w:cs="OpenSymbol"/>
    </w:rPr>
  </w:style>
  <w:style w:type="character" w:customStyle="1" w:styleId="WW8Num11z0">
    <w:name w:val="WW8Num11z0"/>
    <w:rPr>
      <w:rFonts w:ascii="Wingdings 2" w:hAnsi="Wingdings 2" w:cs="OpenSymbol"/>
    </w:rPr>
  </w:style>
  <w:style w:type="character" w:customStyle="1" w:styleId="WW8Num11z1">
    <w:name w:val="WW8Num11z1"/>
    <w:rPr>
      <w:rFonts w:ascii="OpenSymbol" w:hAnsi="OpenSymbol" w:cs="OpenSymbol"/>
    </w:rPr>
  </w:style>
  <w:style w:type="character" w:customStyle="1" w:styleId="WW8Num12z0">
    <w:name w:val="WW8Num12z0"/>
    <w:rPr>
      <w:rFonts w:ascii="Symbol" w:hAnsi="Symbol" w:cs="OpenSymbol"/>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4z3">
    <w:name w:val="WW8Num14z3"/>
    <w:rPr>
      <w:rFonts w:ascii="Wingdings 2" w:hAnsi="Wingdings 2" w:cs="OpenSymbol"/>
    </w:rPr>
  </w:style>
  <w:style w:type="character" w:customStyle="1" w:styleId="WW8Num15z0">
    <w:name w:val="WW8Num15z0"/>
    <w:rPr>
      <w:rFonts w:ascii="Calibri" w:eastAsia="Times New Roman" w:hAnsi="Calibri"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OpenSymbol"/>
    </w:rPr>
  </w:style>
  <w:style w:type="character" w:customStyle="1" w:styleId="WW8Num17z0">
    <w:name w:val="WW8Num17z0"/>
    <w:rPr>
      <w:rFonts w:ascii="Symbol" w:hAnsi="Symbol" w:cs="Symbol"/>
      <w:color w:val="B10000"/>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18z0">
    <w:name w:val="WW8Num18z0"/>
    <w:rPr>
      <w:color w:val="B10000"/>
    </w:rPr>
  </w:style>
  <w:style w:type="character" w:customStyle="1" w:styleId="WW8Num19z0">
    <w:name w:val="WW8Num19z0"/>
    <w:rPr>
      <w:rFonts w:ascii="Symbol" w:hAnsi="Symbol" w:cs="Symbol"/>
      <w:color w:val="B10000"/>
    </w:rPr>
  </w:style>
  <w:style w:type="character" w:customStyle="1" w:styleId="WW8Num20z0">
    <w:name w:val="WW8Num20z0"/>
    <w:rPr>
      <w:rFonts w:ascii="Wingdings 2" w:hAnsi="Wingdings 2" w:cs="Wingdings 2"/>
    </w:rPr>
  </w:style>
  <w:style w:type="character" w:customStyle="1" w:styleId="WW8Num21z0">
    <w:name w:val="WW8Num21z0"/>
    <w:rPr>
      <w:rFonts w:ascii="Wingdings 2" w:hAnsi="Wingdings 2" w:cs="Wingdings 2"/>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color w:val="B10000"/>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4z0">
    <w:name w:val="WW8Num24z0"/>
    <w:rPr>
      <w:rFonts w:ascii="Wingdings 2" w:hAnsi="Wingdings 2" w:cs="Wingdings 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3">
    <w:name w:val="WW8Num25z3"/>
    <w:rPr>
      <w:rFonts w:ascii="Wingdings 2" w:hAnsi="Wingdings 2" w:cs="Open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8z1">
    <w:name w:val="WW8Num28z1"/>
    <w:rPr>
      <w:rFonts w:ascii="Courier New" w:hAnsi="Courier New" w:cs="Courier New"/>
    </w:rPr>
  </w:style>
  <w:style w:type="character" w:customStyle="1" w:styleId="WW8Num28z3">
    <w:name w:val="WW8Num28z3"/>
    <w:rPr>
      <w:rFonts w:ascii="Symbol" w:hAnsi="Symbol" w:cs="Symbol"/>
    </w:rPr>
  </w:style>
  <w:style w:type="character" w:customStyle="1" w:styleId="WW8Num3z1">
    <w:name w:val="WW8Num3z1"/>
    <w:rPr>
      <w:rFonts w:ascii="OpenSymbol" w:hAnsi="OpenSymbol" w:cs="OpenSymbol"/>
    </w:rPr>
  </w:style>
  <w:style w:type="character" w:customStyle="1" w:styleId="WW8Num8z0">
    <w:name w:val="WW8Num8z0"/>
    <w:rPr>
      <w:rFonts w:ascii="Wingdings 2" w:hAnsi="Wingdings 2" w:cs="OpenSymbol"/>
    </w:rPr>
  </w:style>
  <w:style w:type="character" w:customStyle="1" w:styleId="WW8Num10z0">
    <w:name w:val="WW8Num10z0"/>
    <w:rPr>
      <w:rFonts w:ascii="Wingdings 2" w:hAnsi="Wingdings 2" w:cs="OpenSymbol"/>
    </w:rPr>
  </w:style>
  <w:style w:type="character" w:customStyle="1" w:styleId="WW8Num15z3">
    <w:name w:val="WW8Num15z3"/>
    <w:rPr>
      <w:rFonts w:ascii="Symbol" w:hAnsi="Symbol" w:cs="Symbol"/>
    </w:rPr>
  </w:style>
  <w:style w:type="character" w:customStyle="1" w:styleId="DefaultParagraphFont1">
    <w:name w:val="Default Paragraph Font1"/>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3">
    <w:name w:val="WW8Num21z3"/>
    <w:rPr>
      <w:rFonts w:ascii="Symbol" w:hAnsi="Symbol" w:cs="Symbol"/>
    </w:rPr>
  </w:style>
  <w:style w:type="character" w:customStyle="1" w:styleId="WW-DefaultParagraphFont">
    <w:name w:val="WW-Default Paragraph Font"/>
  </w:style>
  <w:style w:type="character" w:customStyle="1" w:styleId="WW8Num7z1">
    <w:name w:val="WW8Num7z1"/>
    <w:rPr>
      <w:rFonts w:ascii="OpenSymbol" w:hAnsi="OpenSymbol" w:cs="OpenSymbol"/>
    </w:rPr>
  </w:style>
  <w:style w:type="character" w:customStyle="1" w:styleId="WW8Num8z1">
    <w:name w:val="WW8Num8z1"/>
    <w:rPr>
      <w:rFonts w:ascii="OpenSymbol" w:hAnsi="OpenSymbol" w:cs="OpenSymbol"/>
    </w:rPr>
  </w:style>
  <w:style w:type="character" w:customStyle="1" w:styleId="WW8Num17z2">
    <w:name w:val="WW8Num17z2"/>
    <w:rPr>
      <w:rFonts w:ascii="Wingdings" w:hAnsi="Wingdings" w:cs="Wingding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3z0">
    <w:name w:val="WW8Num23z0"/>
    <w:rPr>
      <w:rFonts w:ascii="Wingdings 2" w:hAnsi="Wingdings 2" w:cs="Wingdings 2"/>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3">
    <w:name w:val="WW8Num24z3"/>
    <w:rPr>
      <w:rFonts w:ascii="Symbol" w:hAnsi="Symbol" w:cs="Symbol"/>
    </w:rPr>
  </w:style>
  <w:style w:type="character" w:customStyle="1" w:styleId="WW8Num25z2">
    <w:name w:val="WW8Num25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Symbol" w:hAnsi="Symbol" w:cs="Symbol"/>
      <w:color w:val="B10000"/>
    </w:rPr>
  </w:style>
  <w:style w:type="character" w:customStyle="1" w:styleId="WW8Num28z2">
    <w:name w:val="WW8Num28z2"/>
    <w:rPr>
      <w:rFonts w:ascii="Wingdings" w:hAnsi="Wingdings" w:cs="Wingdings"/>
    </w:rPr>
  </w:style>
  <w:style w:type="character" w:customStyle="1" w:styleId="WW8Num29z0">
    <w:name w:val="WW8Num29z0"/>
    <w:rPr>
      <w:rFonts w:ascii="Symbol" w:hAnsi="Symbol" w:cs="Symbol"/>
      <w:color w:val="B10000"/>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color w:val="B10000"/>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Symbol" w:hAnsi="Symbol" w:cs="Symbol"/>
      <w:color w:val="B10000"/>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Wingdings 2" w:hAnsi="Wingdings 2" w:cs="Wingdings 2"/>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rPr>
      <w:rFonts w:ascii="Symbol" w:hAnsi="Symbol" w:cs="Symbol"/>
      <w:color w:val="B10000"/>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Wingdings 2" w:hAnsi="Wingdings 2" w:cs="Wingdings 2"/>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DefaultParagraphFont1">
    <w:name w:val="WW-Default Paragraph Font1"/>
  </w:style>
  <w:style w:type="character" w:customStyle="1" w:styleId="WW8Num9z1">
    <w:name w:val="WW8Num9z1"/>
    <w:rPr>
      <w:rFonts w:ascii="OpenSymbol" w:hAnsi="OpenSymbol" w:cs="Open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DefaultParagraphFont11">
    <w:name w:val="WW-Default Paragraph Font11"/>
  </w:style>
  <w:style w:type="character" w:customStyle="1" w:styleId="WW-Absatz-Standardschriftart111">
    <w:name w:val="WW-Absatz-Standardschriftart111"/>
  </w:style>
  <w:style w:type="character" w:customStyle="1" w:styleId="WW8Num4z1">
    <w:name w:val="WW8Num4z1"/>
    <w:rPr>
      <w:rFonts w:ascii="OpenSymbol" w:hAnsi="OpenSymbol" w:cs="OpenSymbol"/>
    </w:rPr>
  </w:style>
  <w:style w:type="character" w:customStyle="1" w:styleId="WW8Num10z1">
    <w:name w:val="WW8Num10z1"/>
    <w:rPr>
      <w:rFonts w:ascii="OpenSymbol" w:hAnsi="OpenSymbol" w:cs="OpenSymbol"/>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2z2">
    <w:name w:val="WW8Num2z2"/>
    <w:rPr>
      <w:rFonts w:ascii="Wingdings" w:hAnsi="Wingdings" w:cs="Wingdings"/>
    </w:rPr>
  </w:style>
  <w:style w:type="character" w:customStyle="1" w:styleId="Bekezdsalapbettpusa1">
    <w:name w:val="Bekezdés alapbetűtípusa1"/>
  </w:style>
  <w:style w:type="character" w:customStyle="1" w:styleId="BuborkszvegChar">
    <w:name w:val="Buborékszöveg Char"/>
    <w:rPr>
      <w:rFonts w:ascii="Tahoma" w:hAnsi="Tahoma" w:cs="Tahoma"/>
      <w:sz w:val="16"/>
      <w:szCs w:val="16"/>
    </w:rPr>
  </w:style>
  <w:style w:type="character" w:customStyle="1" w:styleId="Felsorolsjel">
    <w:name w:val="Felsorolásjel"/>
    <w:rPr>
      <w:rFonts w:ascii="OpenSymbol" w:eastAsia="OpenSymbol" w:hAnsi="OpenSymbol" w:cs="OpenSymbol"/>
    </w:rPr>
  </w:style>
  <w:style w:type="character" w:customStyle="1" w:styleId="Szmozsjelek">
    <w:name w:val="Számozásjelek"/>
  </w:style>
  <w:style w:type="character" w:customStyle="1" w:styleId="CommentReference1">
    <w:name w:val="Comment Reference1"/>
    <w:rPr>
      <w:sz w:val="16"/>
      <w:szCs w:val="16"/>
    </w:rPr>
  </w:style>
  <w:style w:type="character" w:customStyle="1" w:styleId="CommentTextChar">
    <w:name w:val="Comment Text Char"/>
    <w:uiPriority w:val="99"/>
    <w:rPr>
      <w:rFonts w:ascii="Calibri" w:eastAsia="Calibri" w:hAnsi="Calibri" w:cs="Calibri"/>
      <w:lang w:val="hu-HU"/>
    </w:rPr>
  </w:style>
  <w:style w:type="character" w:customStyle="1" w:styleId="CommentSubjectChar">
    <w:name w:val="Comment Subject Char"/>
    <w:uiPriority w:val="99"/>
    <w:rPr>
      <w:rFonts w:ascii="Calibri" w:eastAsia="Calibri" w:hAnsi="Calibri" w:cs="Calibri"/>
      <w:b/>
      <w:bCs/>
      <w:lang w:val="hu-HU"/>
    </w:rPr>
  </w:style>
  <w:style w:type="character" w:customStyle="1" w:styleId="BalloonTextChar">
    <w:name w:val="Balloon Text Char"/>
    <w:uiPriority w:val="99"/>
    <w:rPr>
      <w:rFonts w:ascii="Tahoma" w:eastAsia="Calibri" w:hAnsi="Tahoma" w:cs="Tahoma"/>
      <w:sz w:val="16"/>
      <w:szCs w:val="16"/>
      <w:lang w:val="hu-HU"/>
    </w:rPr>
  </w:style>
  <w:style w:type="character" w:customStyle="1" w:styleId="HeaderChar">
    <w:name w:val="Header Char"/>
    <w:rPr>
      <w:rFonts w:ascii="Calibri" w:eastAsia="Calibri" w:hAnsi="Calibri" w:cs="Calibri"/>
      <w:sz w:val="22"/>
      <w:szCs w:val="22"/>
    </w:rPr>
  </w:style>
  <w:style w:type="character" w:customStyle="1" w:styleId="FooterChar">
    <w:name w:val="Footer Char"/>
    <w:rPr>
      <w:rFonts w:ascii="Calibri" w:eastAsia="Calibri" w:hAnsi="Calibri" w:cs="Calibri"/>
      <w:sz w:val="22"/>
      <w:szCs w:val="22"/>
    </w:rPr>
  </w:style>
  <w:style w:type="character" w:styleId="Kiemels2">
    <w:name w:val="Strong"/>
    <w:qFormat/>
    <w:rPr>
      <w:b/>
      <w:bCs/>
    </w:rPr>
  </w:style>
  <w:style w:type="character" w:styleId="Hiperhivatkozs">
    <w:name w:val="Hyperlink"/>
    <w:uiPriority w:val="99"/>
    <w:rPr>
      <w:color w:val="0000FF"/>
      <w:u w:val="single"/>
    </w:rPr>
  </w:style>
  <w:style w:type="character" w:styleId="Mrltotthiperhivatkozs">
    <w:name w:val="FollowedHyperlink"/>
    <w:uiPriority w:val="99"/>
    <w:rPr>
      <w:color w:val="800080"/>
      <w:u w:val="single"/>
    </w:rPr>
  </w:style>
  <w:style w:type="character" w:customStyle="1" w:styleId="Heading2Char">
    <w:name w:val="Heading 2 Char"/>
    <w:rPr>
      <w:rFonts w:eastAsia="SimSun"/>
      <w:b/>
      <w:bCs/>
      <w:sz w:val="36"/>
      <w:szCs w:val="36"/>
    </w:rPr>
  </w:style>
  <w:style w:type="character" w:customStyle="1" w:styleId="ListLabel3">
    <w:name w:val="ListLabel 3"/>
    <w:rPr>
      <w:rFonts w:eastAsia="Times New Roman"/>
    </w:rPr>
  </w:style>
  <w:style w:type="character" w:styleId="Jegyzethivatkozs">
    <w:name w:val="annotation reference"/>
    <w:uiPriority w:val="99"/>
    <w:rPr>
      <w:sz w:val="18"/>
      <w:szCs w:val="18"/>
    </w:rPr>
  </w:style>
  <w:style w:type="character" w:customStyle="1" w:styleId="CommentTextChar1">
    <w:name w:val="Comment Text Char1"/>
    <w:rPr>
      <w:rFonts w:ascii="Calibri" w:eastAsia="Calibri" w:hAnsi="Calibri" w:cs="Calibri"/>
      <w:sz w:val="24"/>
      <w:szCs w:val="24"/>
      <w:lang w:val="hu-HU"/>
    </w:rPr>
  </w:style>
  <w:style w:type="character" w:customStyle="1" w:styleId="CommentSubjectChar1">
    <w:name w:val="Comment Subject Char1"/>
    <w:rPr>
      <w:rFonts w:ascii="Calibri" w:eastAsia="Calibri" w:hAnsi="Calibri" w:cs="Calibri"/>
      <w:b/>
      <w:bCs/>
      <w:sz w:val="24"/>
      <w:szCs w:val="24"/>
      <w:lang w:val="hu-HU"/>
    </w:rPr>
  </w:style>
  <w:style w:type="character" w:customStyle="1" w:styleId="BalloonTextChar1">
    <w:name w:val="Balloon Text Char1"/>
    <w:rPr>
      <w:rFonts w:ascii="Lucida Grande" w:eastAsia="Calibri" w:hAnsi="Lucida Grande" w:cs="Lucida Grande"/>
      <w:sz w:val="18"/>
      <w:szCs w:val="18"/>
      <w:lang w:val="hu-HU"/>
    </w:rPr>
  </w:style>
  <w:style w:type="character" w:customStyle="1" w:styleId="FootnoteTextChar">
    <w:name w:val="Footnote Text Char"/>
    <w:uiPriority w:val="99"/>
    <w:rPr>
      <w:rFonts w:ascii="Calibri" w:eastAsia="Calibri" w:hAnsi="Calibri" w:cs="Calibri"/>
      <w:sz w:val="24"/>
      <w:szCs w:val="24"/>
      <w:lang w:val="hu-HU"/>
    </w:rPr>
  </w:style>
  <w:style w:type="character" w:customStyle="1" w:styleId="FootnoteCharacters">
    <w:name w:val="Footnote Characters"/>
    <w:rPr>
      <w:vertAlign w:val="superscript"/>
    </w:rPr>
  </w:style>
  <w:style w:type="character" w:styleId="Lbjegyzet-hivatkozs">
    <w:name w:val="footnote reference"/>
    <w:uiPriority w:val="99"/>
    <w:rPr>
      <w:vertAlign w:val="superscript"/>
    </w:rPr>
  </w:style>
  <w:style w:type="character" w:styleId="Kiemels">
    <w:name w:val="Emphasis"/>
    <w:qFormat/>
    <w:rPr>
      <w:i/>
      <w:iCs/>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Vgjegyzet-hivatkozs">
    <w:name w:val="endnote reference"/>
    <w:rPr>
      <w:vertAlign w:val="superscript"/>
    </w:rPr>
  </w:style>
  <w:style w:type="paragraph" w:customStyle="1" w:styleId="Heading">
    <w:name w:val="Heading"/>
    <w:basedOn w:val="Norml"/>
    <w:next w:val="Szvegtrzs"/>
    <w:pPr>
      <w:keepNext/>
      <w:spacing w:before="240" w:after="120"/>
    </w:pPr>
    <w:rPr>
      <w:rFonts w:ascii="Liberation Sans" w:eastAsia="WenQuanYi Micro Hei" w:hAnsi="Liberation Sans" w:cs="Lohit Hindi"/>
      <w:sz w:val="28"/>
      <w:szCs w:val="28"/>
    </w:rPr>
  </w:style>
  <w:style w:type="paragraph" w:styleId="Szvegtrzs">
    <w:name w:val="Body Text"/>
    <w:basedOn w:val="Norml"/>
    <w:link w:val="SzvegtrzsChar"/>
    <w:pPr>
      <w:spacing w:after="120"/>
    </w:pPr>
  </w:style>
  <w:style w:type="paragraph" w:styleId="Lista">
    <w:name w:val="List"/>
    <w:basedOn w:val="Szvegtrzs"/>
    <w:rPr>
      <w:rFonts w:cs="Mangal"/>
    </w:rPr>
  </w:style>
  <w:style w:type="paragraph" w:styleId="Kpalrs">
    <w:name w:val="caption"/>
    <w:basedOn w:val="Norml"/>
    <w:qFormat/>
    <w:pPr>
      <w:suppressLineNumbers/>
      <w:spacing w:before="120" w:after="120"/>
    </w:pPr>
    <w:rPr>
      <w:rFonts w:cs="Lohit Hindi"/>
      <w:i/>
      <w:iCs/>
      <w:szCs w:val="24"/>
    </w:rPr>
  </w:style>
  <w:style w:type="paragraph" w:customStyle="1" w:styleId="Index">
    <w:name w:val="Index"/>
    <w:basedOn w:val="Norml"/>
    <w:pPr>
      <w:suppressLineNumbers/>
    </w:pPr>
    <w:rPr>
      <w:rFonts w:cs="Lohit Hindi"/>
    </w:rPr>
  </w:style>
  <w:style w:type="paragraph" w:customStyle="1" w:styleId="Cmsor">
    <w:name w:val="Címsor"/>
    <w:basedOn w:val="Norml"/>
    <w:next w:val="Szvegtrzs"/>
    <w:pPr>
      <w:keepNext/>
      <w:spacing w:before="240" w:after="120"/>
    </w:pPr>
    <w:rPr>
      <w:rFonts w:ascii="Arial" w:eastAsia="Lucida Sans Unicode" w:hAnsi="Arial" w:cs="Mangal"/>
      <w:sz w:val="28"/>
      <w:szCs w:val="28"/>
    </w:rPr>
  </w:style>
  <w:style w:type="paragraph" w:customStyle="1" w:styleId="Felirat">
    <w:name w:val="Felirat"/>
    <w:basedOn w:val="Norml"/>
    <w:pPr>
      <w:suppressLineNumbers/>
      <w:spacing w:before="120" w:after="120"/>
    </w:pPr>
    <w:rPr>
      <w:rFonts w:cs="Mangal"/>
      <w:i/>
      <w:iCs/>
      <w:szCs w:val="24"/>
    </w:rPr>
  </w:style>
  <w:style w:type="paragraph" w:customStyle="1" w:styleId="Trgymutat">
    <w:name w:val="Tárgymutató"/>
    <w:basedOn w:val="Norml"/>
    <w:pPr>
      <w:suppressLineNumbers/>
    </w:pPr>
    <w:rPr>
      <w:rFonts w:cs="Mangal"/>
    </w:rPr>
  </w:style>
  <w:style w:type="paragraph" w:customStyle="1" w:styleId="Buborkszveg1">
    <w:name w:val="Buborékszöveg1"/>
    <w:basedOn w:val="Norml"/>
    <w:pPr>
      <w:spacing w:after="0" w:line="240" w:lineRule="auto"/>
    </w:pPr>
    <w:rPr>
      <w:rFonts w:ascii="Tahoma" w:hAnsi="Tahoma" w:cs="Tahoma"/>
      <w:sz w:val="16"/>
      <w:szCs w:val="16"/>
    </w:rPr>
  </w:style>
  <w:style w:type="paragraph" w:customStyle="1" w:styleId="Listaszerbekezds1">
    <w:name w:val="Listaszerű bekezdés1"/>
    <w:basedOn w:val="Norml"/>
    <w:pPr>
      <w:ind w:left="720"/>
    </w:pPr>
  </w:style>
  <w:style w:type="paragraph" w:customStyle="1" w:styleId="CommentText1">
    <w:name w:val="Comment Text1"/>
    <w:basedOn w:val="Norml"/>
    <w:rPr>
      <w:sz w:val="20"/>
      <w:szCs w:val="20"/>
    </w:rPr>
  </w:style>
  <w:style w:type="paragraph" w:customStyle="1" w:styleId="CommentSubject1">
    <w:name w:val="Comment Subject1"/>
    <w:basedOn w:val="CommentText1"/>
    <w:next w:val="CommentText1"/>
    <w:rPr>
      <w:b/>
      <w:bCs/>
    </w:rPr>
  </w:style>
  <w:style w:type="paragraph" w:customStyle="1" w:styleId="BalloonText1">
    <w:name w:val="Balloon Text1"/>
    <w:basedOn w:val="Norml"/>
    <w:pPr>
      <w:spacing w:after="0" w:line="240" w:lineRule="auto"/>
    </w:pPr>
    <w:rPr>
      <w:rFonts w:ascii="Tahoma" w:hAnsi="Tahoma" w:cs="Tahoma"/>
      <w:sz w:val="16"/>
      <w:szCs w:val="16"/>
    </w:rPr>
  </w:style>
  <w:style w:type="paragraph" w:customStyle="1" w:styleId="MediumGrid1-Accent21">
    <w:name w:val="Medium Grid 1 - Accent 21"/>
    <w:basedOn w:val="Norml"/>
    <w:pPr>
      <w:suppressAutoHyphens w:val="0"/>
      <w:ind w:left="720"/>
    </w:pPr>
    <w:rPr>
      <w:rFonts w:ascii="Calibri" w:hAnsi="Calibri" w:cs="Times New Roman"/>
      <w:lang w:val="en-US"/>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paragraph" w:customStyle="1" w:styleId="NormlWeb1">
    <w:name w:val="Normál (Web)1"/>
    <w:basedOn w:val="Norml"/>
    <w:pPr>
      <w:spacing w:before="280" w:after="280" w:line="240" w:lineRule="auto"/>
    </w:pPr>
    <w:rPr>
      <w:rFonts w:ascii="Times New Roman" w:eastAsia="SimSun" w:hAnsi="Times New Roman" w:cs="Times New Roman"/>
      <w:szCs w:val="24"/>
    </w:rPr>
  </w:style>
  <w:style w:type="paragraph" w:customStyle="1" w:styleId="western1">
    <w:name w:val="western1"/>
    <w:basedOn w:val="Norml"/>
    <w:pPr>
      <w:spacing w:before="280" w:after="0" w:line="240" w:lineRule="auto"/>
    </w:pPr>
    <w:rPr>
      <w:rFonts w:ascii="Times New Roman" w:eastAsia="SimSun" w:hAnsi="Times New Roman" w:cs="Times New Roman"/>
      <w:szCs w:val="24"/>
    </w:rPr>
  </w:style>
  <w:style w:type="paragraph" w:customStyle="1" w:styleId="NormalWeb1">
    <w:name w:val="Normal (Web)1"/>
    <w:basedOn w:val="Norml"/>
    <w:pPr>
      <w:suppressAutoHyphens w:val="0"/>
      <w:spacing w:before="280" w:after="119" w:line="240" w:lineRule="auto"/>
    </w:pPr>
    <w:rPr>
      <w:rFonts w:ascii="Times New Roman" w:eastAsia="SimSun" w:hAnsi="Times New Roman" w:cs="Times New Roman"/>
      <w:szCs w:val="24"/>
    </w:rPr>
  </w:style>
  <w:style w:type="paragraph" w:customStyle="1" w:styleId="MediumGrid1-Accent22">
    <w:name w:val="Medium Grid 1 - Accent 22"/>
    <w:basedOn w:val="Norml"/>
    <w:pPr>
      <w:ind w:left="720"/>
    </w:pPr>
  </w:style>
  <w:style w:type="paragraph" w:customStyle="1" w:styleId="ptervI1">
    <w:name w:val="pterv I.1"/>
    <w:pPr>
      <w:widowControl w:val="0"/>
      <w:suppressAutoHyphens/>
      <w:spacing w:before="120"/>
      <w:jc w:val="both"/>
    </w:pPr>
    <w:rPr>
      <w:rFonts w:ascii="Verdana" w:eastAsia="Lucida Sans Unicode" w:hAnsi="Verdana" w:cs="Mangal"/>
      <w:sz w:val="24"/>
      <w:szCs w:val="24"/>
      <w:lang w:eastAsia="zh-CN" w:bidi="hi-IN"/>
    </w:rPr>
  </w:style>
  <w:style w:type="paragraph" w:styleId="Jegyzetszveg">
    <w:name w:val="annotation text"/>
    <w:basedOn w:val="Norml"/>
    <w:uiPriority w:val="99"/>
    <w:rPr>
      <w:szCs w:val="24"/>
    </w:rPr>
  </w:style>
  <w:style w:type="paragraph" w:styleId="Megjegyzstrgya">
    <w:name w:val="annotation subject"/>
    <w:basedOn w:val="Jegyzetszveg"/>
    <w:next w:val="Jegyzetszveg"/>
    <w:uiPriority w:val="99"/>
    <w:rPr>
      <w:b/>
      <w:bCs/>
      <w:sz w:val="20"/>
      <w:szCs w:val="20"/>
    </w:rPr>
  </w:style>
  <w:style w:type="paragraph" w:styleId="Buborkszveg">
    <w:name w:val="Balloon Text"/>
    <w:basedOn w:val="Norml"/>
    <w:uiPriority w:val="99"/>
    <w:pPr>
      <w:spacing w:after="0" w:line="240" w:lineRule="auto"/>
    </w:pPr>
    <w:rPr>
      <w:rFonts w:ascii="Lucida Grande" w:hAnsi="Lucida Grande" w:cs="Lucida Grande"/>
      <w:sz w:val="18"/>
      <w:szCs w:val="18"/>
    </w:rPr>
  </w:style>
  <w:style w:type="paragraph" w:styleId="Lbjegyzetszveg">
    <w:name w:val="footnote text"/>
    <w:basedOn w:val="Norml"/>
    <w:uiPriority w:val="99"/>
    <w:rPr>
      <w:szCs w:val="24"/>
    </w:rPr>
  </w:style>
  <w:style w:type="paragraph" w:customStyle="1" w:styleId="TableContents">
    <w:name w:val="Table Contents"/>
    <w:basedOn w:val="Norml"/>
    <w:pPr>
      <w:suppressLineNumbers/>
    </w:pPr>
  </w:style>
  <w:style w:type="paragraph" w:customStyle="1" w:styleId="TableHeading">
    <w:name w:val="Table Heading"/>
    <w:basedOn w:val="TableContents"/>
    <w:pPr>
      <w:jc w:val="center"/>
    </w:pPr>
    <w:rPr>
      <w:b/>
      <w:bCs/>
    </w:rPr>
  </w:style>
  <w:style w:type="character" w:customStyle="1" w:styleId="PlaceholderText1">
    <w:name w:val="Placeholder Text1"/>
    <w:rsid w:val="00F439F8"/>
    <w:rPr>
      <w:color w:val="808080"/>
    </w:rPr>
  </w:style>
  <w:style w:type="character" w:customStyle="1" w:styleId="ListLabel1">
    <w:name w:val="ListLabel 1"/>
    <w:rsid w:val="00F439F8"/>
    <w:rPr>
      <w:color w:val="B10000"/>
    </w:rPr>
  </w:style>
  <w:style w:type="character" w:customStyle="1" w:styleId="ListLabel2">
    <w:name w:val="ListLabel 2"/>
    <w:rsid w:val="00F439F8"/>
    <w:rPr>
      <w:rFonts w:cs="OpenSymbol"/>
    </w:rPr>
  </w:style>
  <w:style w:type="character" w:customStyle="1" w:styleId="ListLabel4">
    <w:name w:val="ListLabel 4"/>
    <w:rsid w:val="00F439F8"/>
    <w:rPr>
      <w:rFonts w:cs="Courier New"/>
    </w:rPr>
  </w:style>
  <w:style w:type="character" w:customStyle="1" w:styleId="Footnoteanchor">
    <w:name w:val="Footnote anchor"/>
    <w:rsid w:val="00F439F8"/>
    <w:rPr>
      <w:vertAlign w:val="superscript"/>
    </w:rPr>
  </w:style>
  <w:style w:type="character" w:customStyle="1" w:styleId="Endnoteanchor">
    <w:name w:val="Endnote anchor"/>
    <w:rsid w:val="00F439F8"/>
    <w:rPr>
      <w:vertAlign w:val="superscript"/>
    </w:rPr>
  </w:style>
  <w:style w:type="paragraph" w:customStyle="1" w:styleId="Textbody">
    <w:name w:val="Text body"/>
    <w:basedOn w:val="Norml"/>
    <w:rsid w:val="00F439F8"/>
    <w:pPr>
      <w:tabs>
        <w:tab w:val="left" w:pos="720"/>
      </w:tabs>
      <w:spacing w:after="120"/>
    </w:pPr>
    <w:rPr>
      <w:lang w:eastAsia="ar-SA"/>
    </w:rPr>
  </w:style>
  <w:style w:type="paragraph" w:customStyle="1" w:styleId="ColorfulShading-Accent31">
    <w:name w:val="Colorful Shading - Accent 31"/>
    <w:basedOn w:val="Norml"/>
    <w:rsid w:val="00F439F8"/>
    <w:pPr>
      <w:tabs>
        <w:tab w:val="left" w:pos="720"/>
      </w:tabs>
      <w:ind w:left="720"/>
    </w:pPr>
    <w:rPr>
      <w:lang w:eastAsia="ar-SA"/>
    </w:rPr>
  </w:style>
  <w:style w:type="paragraph" w:customStyle="1" w:styleId="Footnote">
    <w:name w:val="Footnote"/>
    <w:basedOn w:val="Norml"/>
    <w:rsid w:val="00F439F8"/>
    <w:pPr>
      <w:suppressLineNumbers/>
      <w:tabs>
        <w:tab w:val="left" w:pos="720"/>
      </w:tabs>
      <w:ind w:left="283" w:hanging="283"/>
    </w:pPr>
    <w:rPr>
      <w:sz w:val="20"/>
      <w:szCs w:val="20"/>
      <w:lang w:eastAsia="ar-SA"/>
    </w:rPr>
  </w:style>
  <w:style w:type="character" w:customStyle="1" w:styleId="WW-DefaultParagraphFont111">
    <w:name w:val="WW-Default Paragraph Font111"/>
    <w:rsid w:val="007D49D7"/>
  </w:style>
  <w:style w:type="character" w:customStyle="1" w:styleId="Cmsor1Char">
    <w:name w:val="Címsor 1 Char"/>
    <w:link w:val="Cmsor1"/>
    <w:uiPriority w:val="9"/>
    <w:rsid w:val="00E3356D"/>
    <w:rPr>
      <w:rFonts w:ascii="Myriad Pro" w:eastAsia="MS Gothic" w:hAnsi="Myriad Pro" w:cs="Times New Roman"/>
      <w:b/>
      <w:bCs/>
      <w:color w:val="B10000"/>
      <w:kern w:val="32"/>
      <w:sz w:val="24"/>
      <w:szCs w:val="32"/>
      <w:lang w:val="hu-HU" w:eastAsia="zh-CN"/>
    </w:rPr>
  </w:style>
  <w:style w:type="character" w:customStyle="1" w:styleId="Cmsor3Char">
    <w:name w:val="Címsor 3 Char"/>
    <w:link w:val="Cmsor3"/>
    <w:uiPriority w:val="9"/>
    <w:rsid w:val="00E3356D"/>
    <w:rPr>
      <w:rFonts w:ascii="Myriad Pro" w:eastAsia="MS Gothic" w:hAnsi="Myriad Pro" w:cs="Times New Roman"/>
      <w:b/>
      <w:bCs/>
      <w:sz w:val="24"/>
      <w:szCs w:val="26"/>
      <w:lang w:val="hu-HU" w:eastAsia="zh-CN"/>
    </w:rPr>
  </w:style>
  <w:style w:type="paragraph" w:customStyle="1" w:styleId="TOCHeading1">
    <w:name w:val="TOC Heading1"/>
    <w:basedOn w:val="Cmsor1"/>
    <w:next w:val="Norml"/>
    <w:uiPriority w:val="39"/>
    <w:unhideWhenUsed/>
    <w:qFormat/>
    <w:rsid w:val="00E10AFB"/>
    <w:pPr>
      <w:keepLines/>
      <w:suppressAutoHyphens w:val="0"/>
      <w:spacing w:before="480" w:after="0"/>
      <w:outlineLvl w:val="9"/>
    </w:pPr>
    <w:rPr>
      <w:rFonts w:ascii="Calibri" w:hAnsi="Calibri"/>
      <w:color w:val="365F91"/>
      <w:kern w:val="0"/>
      <w:sz w:val="28"/>
      <w:szCs w:val="28"/>
      <w:lang w:val="en-US" w:eastAsia="en-US"/>
    </w:rPr>
  </w:style>
  <w:style w:type="paragraph" w:styleId="TJ1">
    <w:name w:val="toc 1"/>
    <w:basedOn w:val="Norml"/>
    <w:next w:val="Norml"/>
    <w:autoRedefine/>
    <w:uiPriority w:val="39"/>
    <w:unhideWhenUsed/>
    <w:rsid w:val="004A0E5E"/>
    <w:pPr>
      <w:tabs>
        <w:tab w:val="right" w:leader="dot" w:pos="9062"/>
      </w:tabs>
      <w:spacing w:before="120" w:after="0"/>
    </w:pPr>
    <w:rPr>
      <w:rFonts w:ascii="Times New Roman" w:hAnsi="Times New Roman" w:cs="Times New Roman"/>
      <w:b/>
      <w:noProof/>
      <w:color w:val="B10000"/>
      <w:szCs w:val="24"/>
    </w:rPr>
  </w:style>
  <w:style w:type="paragraph" w:styleId="TJ2">
    <w:name w:val="toc 2"/>
    <w:basedOn w:val="Norml"/>
    <w:next w:val="Norml"/>
    <w:autoRedefine/>
    <w:uiPriority w:val="39"/>
    <w:unhideWhenUsed/>
    <w:rsid w:val="00E10AFB"/>
    <w:pPr>
      <w:spacing w:after="0"/>
    </w:pPr>
    <w:rPr>
      <w:rFonts w:ascii="Cambria" w:hAnsi="Cambria"/>
      <w:sz w:val="22"/>
    </w:rPr>
  </w:style>
  <w:style w:type="paragraph" w:styleId="TJ3">
    <w:name w:val="toc 3"/>
    <w:basedOn w:val="Norml"/>
    <w:next w:val="Norml"/>
    <w:autoRedefine/>
    <w:uiPriority w:val="39"/>
    <w:unhideWhenUsed/>
    <w:rsid w:val="00E10AFB"/>
    <w:pPr>
      <w:spacing w:after="0"/>
      <w:ind w:left="240"/>
    </w:pPr>
    <w:rPr>
      <w:rFonts w:ascii="Cambria" w:hAnsi="Cambria"/>
      <w:i/>
      <w:sz w:val="22"/>
    </w:rPr>
  </w:style>
  <w:style w:type="paragraph" w:styleId="TJ4">
    <w:name w:val="toc 4"/>
    <w:basedOn w:val="Norml"/>
    <w:next w:val="Norml"/>
    <w:autoRedefine/>
    <w:uiPriority w:val="39"/>
    <w:semiHidden/>
    <w:unhideWhenUsed/>
    <w:rsid w:val="00E10AFB"/>
    <w:pPr>
      <w:pBdr>
        <w:between w:val="double" w:sz="6" w:space="0" w:color="auto"/>
      </w:pBdr>
      <w:spacing w:after="0"/>
      <w:ind w:left="480"/>
    </w:pPr>
    <w:rPr>
      <w:rFonts w:ascii="Cambria" w:hAnsi="Cambria"/>
      <w:sz w:val="20"/>
      <w:szCs w:val="20"/>
    </w:rPr>
  </w:style>
  <w:style w:type="paragraph" w:styleId="TJ5">
    <w:name w:val="toc 5"/>
    <w:basedOn w:val="Norml"/>
    <w:next w:val="Norml"/>
    <w:autoRedefine/>
    <w:uiPriority w:val="39"/>
    <w:semiHidden/>
    <w:unhideWhenUsed/>
    <w:rsid w:val="00E10AFB"/>
    <w:pPr>
      <w:pBdr>
        <w:between w:val="double" w:sz="6" w:space="0" w:color="auto"/>
      </w:pBdr>
      <w:spacing w:after="0"/>
      <w:ind w:left="720"/>
    </w:pPr>
    <w:rPr>
      <w:rFonts w:ascii="Cambria" w:hAnsi="Cambria"/>
      <w:sz w:val="20"/>
      <w:szCs w:val="20"/>
    </w:rPr>
  </w:style>
  <w:style w:type="paragraph" w:styleId="TJ6">
    <w:name w:val="toc 6"/>
    <w:basedOn w:val="Norml"/>
    <w:next w:val="Norml"/>
    <w:autoRedefine/>
    <w:uiPriority w:val="39"/>
    <w:semiHidden/>
    <w:unhideWhenUsed/>
    <w:rsid w:val="00E10AFB"/>
    <w:pPr>
      <w:pBdr>
        <w:between w:val="double" w:sz="6" w:space="0" w:color="auto"/>
      </w:pBdr>
      <w:spacing w:after="0"/>
      <w:ind w:left="960"/>
    </w:pPr>
    <w:rPr>
      <w:rFonts w:ascii="Cambria" w:hAnsi="Cambria"/>
      <w:sz w:val="20"/>
      <w:szCs w:val="20"/>
    </w:rPr>
  </w:style>
  <w:style w:type="paragraph" w:styleId="TJ7">
    <w:name w:val="toc 7"/>
    <w:basedOn w:val="Norml"/>
    <w:next w:val="Norml"/>
    <w:autoRedefine/>
    <w:uiPriority w:val="39"/>
    <w:semiHidden/>
    <w:unhideWhenUsed/>
    <w:rsid w:val="00E10AFB"/>
    <w:pPr>
      <w:pBdr>
        <w:between w:val="double" w:sz="6" w:space="0" w:color="auto"/>
      </w:pBdr>
      <w:spacing w:after="0"/>
      <w:ind w:left="1200"/>
    </w:pPr>
    <w:rPr>
      <w:rFonts w:ascii="Cambria" w:hAnsi="Cambria"/>
      <w:sz w:val="20"/>
      <w:szCs w:val="20"/>
    </w:rPr>
  </w:style>
  <w:style w:type="paragraph" w:styleId="TJ8">
    <w:name w:val="toc 8"/>
    <w:basedOn w:val="Norml"/>
    <w:next w:val="Norml"/>
    <w:autoRedefine/>
    <w:uiPriority w:val="39"/>
    <w:semiHidden/>
    <w:unhideWhenUsed/>
    <w:rsid w:val="00E10AFB"/>
    <w:pPr>
      <w:pBdr>
        <w:between w:val="double" w:sz="6" w:space="0" w:color="auto"/>
      </w:pBdr>
      <w:spacing w:after="0"/>
      <w:ind w:left="1440"/>
    </w:pPr>
    <w:rPr>
      <w:rFonts w:ascii="Cambria" w:hAnsi="Cambria"/>
      <w:sz w:val="20"/>
      <w:szCs w:val="20"/>
    </w:rPr>
  </w:style>
  <w:style w:type="paragraph" w:styleId="TJ9">
    <w:name w:val="toc 9"/>
    <w:basedOn w:val="Norml"/>
    <w:next w:val="Norml"/>
    <w:autoRedefine/>
    <w:uiPriority w:val="39"/>
    <w:semiHidden/>
    <w:unhideWhenUsed/>
    <w:rsid w:val="00E10AFB"/>
    <w:pPr>
      <w:pBdr>
        <w:between w:val="double" w:sz="6" w:space="0" w:color="auto"/>
      </w:pBdr>
      <w:spacing w:after="0"/>
      <w:ind w:left="1680"/>
    </w:pPr>
    <w:rPr>
      <w:rFonts w:ascii="Cambria" w:hAnsi="Cambria"/>
      <w:sz w:val="20"/>
      <w:szCs w:val="20"/>
    </w:rPr>
  </w:style>
  <w:style w:type="table" w:styleId="Rcsostblzat">
    <w:name w:val="Table Grid"/>
    <w:basedOn w:val="Normltblzat"/>
    <w:uiPriority w:val="59"/>
    <w:rsid w:val="00C73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l"/>
    <w:uiPriority w:val="34"/>
    <w:qFormat/>
    <w:rsid w:val="006972C5"/>
    <w:pPr>
      <w:suppressAutoHyphens w:val="0"/>
      <w:spacing w:after="0" w:line="240" w:lineRule="auto"/>
      <w:ind w:left="720"/>
      <w:contextualSpacing/>
    </w:pPr>
    <w:rPr>
      <w:rFonts w:ascii="Times New Roman" w:eastAsia="Times New Roman" w:hAnsi="Times New Roman" w:cs="Times New Roman"/>
      <w:szCs w:val="24"/>
      <w:lang w:eastAsia="hu-HU"/>
    </w:rPr>
  </w:style>
  <w:style w:type="paragraph" w:customStyle="1" w:styleId="Default">
    <w:name w:val="Default"/>
    <w:rsid w:val="003D36A2"/>
    <w:pPr>
      <w:widowControl w:val="0"/>
      <w:autoSpaceDE w:val="0"/>
      <w:autoSpaceDN w:val="0"/>
      <w:adjustRightInd w:val="0"/>
    </w:pPr>
    <w:rPr>
      <w:rFonts w:ascii="Century" w:hAnsi="Century" w:cs="Century"/>
      <w:color w:val="000000"/>
      <w:sz w:val="24"/>
      <w:szCs w:val="24"/>
      <w:lang w:val="en-US" w:eastAsia="en-US"/>
    </w:rPr>
  </w:style>
  <w:style w:type="character" w:styleId="Oldalszm">
    <w:name w:val="page number"/>
    <w:uiPriority w:val="99"/>
    <w:semiHidden/>
    <w:unhideWhenUsed/>
    <w:rsid w:val="00586687"/>
  </w:style>
  <w:style w:type="paragraph" w:styleId="brajegyzk">
    <w:name w:val="table of figures"/>
    <w:basedOn w:val="Norml"/>
    <w:next w:val="Norml"/>
    <w:uiPriority w:val="99"/>
    <w:unhideWhenUsed/>
    <w:rsid w:val="00A152C2"/>
    <w:pPr>
      <w:spacing w:after="0"/>
    </w:pPr>
    <w:rPr>
      <w:rFonts w:ascii="Calibri" w:hAnsi="Calibri"/>
      <w:i/>
      <w:iCs/>
      <w:sz w:val="20"/>
      <w:szCs w:val="20"/>
    </w:rPr>
  </w:style>
  <w:style w:type="paragraph" w:styleId="Dokumentumtrkp">
    <w:name w:val="Document Map"/>
    <w:basedOn w:val="Norml"/>
    <w:link w:val="DokumentumtrkpChar"/>
    <w:uiPriority w:val="99"/>
    <w:semiHidden/>
    <w:unhideWhenUsed/>
    <w:rsid w:val="00F24643"/>
    <w:rPr>
      <w:rFonts w:ascii="Tahoma" w:hAnsi="Tahoma" w:cs="Times New Roman"/>
      <w:sz w:val="16"/>
      <w:szCs w:val="16"/>
    </w:rPr>
  </w:style>
  <w:style w:type="character" w:customStyle="1" w:styleId="DokumentumtrkpChar">
    <w:name w:val="Dokumentumtérkép Char"/>
    <w:link w:val="Dokumentumtrkp"/>
    <w:uiPriority w:val="99"/>
    <w:semiHidden/>
    <w:rsid w:val="00F24643"/>
    <w:rPr>
      <w:rFonts w:ascii="Tahoma" w:eastAsia="Calibri" w:hAnsi="Tahoma" w:cs="Tahoma"/>
      <w:sz w:val="16"/>
      <w:szCs w:val="16"/>
      <w:lang w:eastAsia="zh-CN"/>
    </w:rPr>
  </w:style>
  <w:style w:type="character" w:customStyle="1" w:styleId="il">
    <w:name w:val="il"/>
    <w:basedOn w:val="Bekezdsalapbettpusa"/>
    <w:rsid w:val="00EC3504"/>
  </w:style>
  <w:style w:type="paragraph" w:styleId="Listaszerbekezds">
    <w:name w:val="List Paragraph"/>
    <w:basedOn w:val="Norml"/>
    <w:uiPriority w:val="72"/>
    <w:qFormat/>
    <w:rsid w:val="002078CD"/>
    <w:pPr>
      <w:ind w:left="720"/>
      <w:contextualSpacing/>
    </w:pPr>
  </w:style>
  <w:style w:type="paragraph" w:customStyle="1" w:styleId="xl63">
    <w:name w:val="xl63"/>
    <w:basedOn w:val="Norml"/>
    <w:rsid w:val="00585C26"/>
    <w:pPr>
      <w:pBdr>
        <w:top w:val="single" w:sz="8" w:space="0" w:color="BFBFBF"/>
        <w:left w:val="single" w:sz="8" w:space="0" w:color="BFBFBF"/>
        <w:bottom w:val="single" w:sz="8" w:space="0" w:color="BFBFBF"/>
        <w:right w:val="single" w:sz="8" w:space="0" w:color="BFBFBF"/>
      </w:pBdr>
      <w:shd w:val="clear" w:color="000000" w:fill="FFFFFF"/>
      <w:suppressAutoHyphens w:val="0"/>
      <w:spacing w:before="100" w:beforeAutospacing="1" w:after="100" w:afterAutospacing="1" w:line="240" w:lineRule="auto"/>
      <w:textAlignment w:val="center"/>
    </w:pPr>
    <w:rPr>
      <w:rFonts w:eastAsia="Times New Roman" w:cs="Times New Roman"/>
      <w:sz w:val="20"/>
      <w:szCs w:val="20"/>
      <w:lang w:val="en-US" w:eastAsia="en-US"/>
    </w:rPr>
  </w:style>
  <w:style w:type="paragraph" w:customStyle="1" w:styleId="xl64">
    <w:name w:val="xl64"/>
    <w:basedOn w:val="Norml"/>
    <w:rsid w:val="00585C26"/>
    <w:pPr>
      <w:pBdr>
        <w:left w:val="single" w:sz="8" w:space="0" w:color="BFBFBF"/>
        <w:bottom w:val="single" w:sz="8" w:space="0" w:color="BFBFBF"/>
        <w:right w:val="single" w:sz="8" w:space="0" w:color="BFBFBF"/>
      </w:pBdr>
      <w:shd w:val="clear" w:color="000000" w:fill="FFFFFF"/>
      <w:suppressAutoHyphens w:val="0"/>
      <w:spacing w:before="100" w:beforeAutospacing="1" w:after="100" w:afterAutospacing="1" w:line="240" w:lineRule="auto"/>
      <w:textAlignment w:val="center"/>
    </w:pPr>
    <w:rPr>
      <w:rFonts w:eastAsia="Times New Roman" w:cs="Times New Roman"/>
      <w:sz w:val="20"/>
      <w:szCs w:val="20"/>
      <w:lang w:val="en-US" w:eastAsia="en-US"/>
    </w:rPr>
  </w:style>
  <w:style w:type="paragraph" w:customStyle="1" w:styleId="xl65">
    <w:name w:val="xl65"/>
    <w:basedOn w:val="Norml"/>
    <w:rsid w:val="00585C26"/>
    <w:pPr>
      <w:suppressAutoHyphens w:val="0"/>
      <w:spacing w:before="100" w:beforeAutospacing="1" w:after="100" w:afterAutospacing="1" w:line="240" w:lineRule="auto"/>
    </w:pPr>
    <w:rPr>
      <w:rFonts w:eastAsia="Times New Roman" w:cs="Times New Roman"/>
      <w:sz w:val="20"/>
      <w:szCs w:val="20"/>
      <w:lang w:val="en-US" w:eastAsia="en-US"/>
    </w:rPr>
  </w:style>
  <w:style w:type="paragraph" w:customStyle="1" w:styleId="xl66">
    <w:name w:val="xl66"/>
    <w:basedOn w:val="Norml"/>
    <w:rsid w:val="00585C26"/>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sz w:val="20"/>
      <w:szCs w:val="20"/>
      <w:lang w:val="en-US" w:eastAsia="en-US"/>
    </w:rPr>
  </w:style>
  <w:style w:type="paragraph" w:customStyle="1" w:styleId="xl67">
    <w:name w:val="xl67"/>
    <w:basedOn w:val="Norml"/>
    <w:rsid w:val="00585C26"/>
    <w:pPr>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sz w:val="20"/>
      <w:szCs w:val="20"/>
      <w:lang w:val="en-US" w:eastAsia="en-US"/>
    </w:rPr>
  </w:style>
  <w:style w:type="paragraph" w:customStyle="1" w:styleId="xl68">
    <w:name w:val="xl68"/>
    <w:basedOn w:val="Norml"/>
    <w:rsid w:val="00585C26"/>
    <w:pPr>
      <w:suppressAutoHyphens w:val="0"/>
      <w:spacing w:before="100" w:beforeAutospacing="1" w:after="100" w:afterAutospacing="1" w:line="240" w:lineRule="auto"/>
    </w:pPr>
    <w:rPr>
      <w:rFonts w:eastAsia="Times New Roman" w:cs="Times New Roman"/>
      <w:sz w:val="20"/>
      <w:szCs w:val="20"/>
      <w:lang w:val="en-US" w:eastAsia="en-US"/>
    </w:rPr>
  </w:style>
  <w:style w:type="paragraph" w:customStyle="1" w:styleId="xl69">
    <w:name w:val="xl69"/>
    <w:basedOn w:val="Norml"/>
    <w:rsid w:val="00585C26"/>
    <w:pPr>
      <w:suppressAutoHyphens w:val="0"/>
      <w:spacing w:before="100" w:beforeAutospacing="1" w:after="100" w:afterAutospacing="1" w:line="240" w:lineRule="auto"/>
      <w:jc w:val="center"/>
    </w:pPr>
    <w:rPr>
      <w:rFonts w:eastAsia="Times New Roman" w:cs="Times New Roman"/>
      <w:sz w:val="20"/>
      <w:szCs w:val="20"/>
      <w:lang w:val="en-US" w:eastAsia="en-US"/>
    </w:rPr>
  </w:style>
  <w:style w:type="paragraph" w:customStyle="1" w:styleId="xl70">
    <w:name w:val="xl70"/>
    <w:basedOn w:val="Norml"/>
    <w:rsid w:val="00585C26"/>
    <w:pPr>
      <w:pBdr>
        <w:bottom w:val="single" w:sz="4" w:space="0" w:color="auto"/>
      </w:pBdr>
      <w:suppressAutoHyphens w:val="0"/>
      <w:spacing w:before="100" w:beforeAutospacing="1" w:after="100" w:afterAutospacing="1" w:line="240" w:lineRule="auto"/>
    </w:pPr>
    <w:rPr>
      <w:rFonts w:eastAsia="Times New Roman" w:cs="Times New Roman"/>
      <w:sz w:val="20"/>
      <w:szCs w:val="20"/>
      <w:lang w:val="en-US" w:eastAsia="en-US"/>
    </w:rPr>
  </w:style>
  <w:style w:type="paragraph" w:customStyle="1" w:styleId="xl71">
    <w:name w:val="xl71"/>
    <w:basedOn w:val="Norml"/>
    <w:rsid w:val="00585C26"/>
    <w:pPr>
      <w:pBdr>
        <w:bottom w:val="single" w:sz="4" w:space="0" w:color="auto"/>
      </w:pBdr>
      <w:suppressAutoHyphens w:val="0"/>
      <w:spacing w:before="100" w:beforeAutospacing="1" w:after="100" w:afterAutospacing="1" w:line="240" w:lineRule="auto"/>
      <w:jc w:val="center"/>
    </w:pPr>
    <w:rPr>
      <w:rFonts w:eastAsia="Times New Roman" w:cs="Times New Roman"/>
      <w:sz w:val="20"/>
      <w:szCs w:val="20"/>
      <w:lang w:val="en-US" w:eastAsia="en-US"/>
    </w:rPr>
  </w:style>
  <w:style w:type="character" w:customStyle="1" w:styleId="SzvegtrzsChar">
    <w:name w:val="Szövegtörzs Char"/>
    <w:basedOn w:val="Bekezdsalapbettpusa"/>
    <w:link w:val="Szvegtrzs"/>
    <w:rsid w:val="003E184E"/>
    <w:rPr>
      <w:rFonts w:ascii="Myriad Pro" w:eastAsia="Calibri" w:hAnsi="Myriad Pro" w:cs="Calibri"/>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86323">
      <w:bodyDiv w:val="1"/>
      <w:marLeft w:val="0"/>
      <w:marRight w:val="0"/>
      <w:marTop w:val="0"/>
      <w:marBottom w:val="0"/>
      <w:divBdr>
        <w:top w:val="none" w:sz="0" w:space="0" w:color="auto"/>
        <w:left w:val="none" w:sz="0" w:space="0" w:color="auto"/>
        <w:bottom w:val="none" w:sz="0" w:space="0" w:color="auto"/>
        <w:right w:val="none" w:sz="0" w:space="0" w:color="auto"/>
      </w:divBdr>
    </w:div>
    <w:div w:id="256720560">
      <w:bodyDiv w:val="1"/>
      <w:marLeft w:val="0"/>
      <w:marRight w:val="0"/>
      <w:marTop w:val="0"/>
      <w:marBottom w:val="0"/>
      <w:divBdr>
        <w:top w:val="none" w:sz="0" w:space="0" w:color="auto"/>
        <w:left w:val="none" w:sz="0" w:space="0" w:color="auto"/>
        <w:bottom w:val="none" w:sz="0" w:space="0" w:color="auto"/>
        <w:right w:val="none" w:sz="0" w:space="0" w:color="auto"/>
      </w:divBdr>
    </w:div>
    <w:div w:id="306473081">
      <w:bodyDiv w:val="1"/>
      <w:marLeft w:val="0"/>
      <w:marRight w:val="0"/>
      <w:marTop w:val="0"/>
      <w:marBottom w:val="0"/>
      <w:divBdr>
        <w:top w:val="none" w:sz="0" w:space="0" w:color="auto"/>
        <w:left w:val="none" w:sz="0" w:space="0" w:color="auto"/>
        <w:bottom w:val="none" w:sz="0" w:space="0" w:color="auto"/>
        <w:right w:val="none" w:sz="0" w:space="0" w:color="auto"/>
      </w:divBdr>
    </w:div>
    <w:div w:id="369188629">
      <w:bodyDiv w:val="1"/>
      <w:marLeft w:val="0"/>
      <w:marRight w:val="0"/>
      <w:marTop w:val="0"/>
      <w:marBottom w:val="0"/>
      <w:divBdr>
        <w:top w:val="none" w:sz="0" w:space="0" w:color="auto"/>
        <w:left w:val="none" w:sz="0" w:space="0" w:color="auto"/>
        <w:bottom w:val="none" w:sz="0" w:space="0" w:color="auto"/>
        <w:right w:val="none" w:sz="0" w:space="0" w:color="auto"/>
      </w:divBdr>
    </w:div>
    <w:div w:id="559559030">
      <w:bodyDiv w:val="1"/>
      <w:marLeft w:val="0"/>
      <w:marRight w:val="0"/>
      <w:marTop w:val="0"/>
      <w:marBottom w:val="0"/>
      <w:divBdr>
        <w:top w:val="none" w:sz="0" w:space="0" w:color="auto"/>
        <w:left w:val="none" w:sz="0" w:space="0" w:color="auto"/>
        <w:bottom w:val="none" w:sz="0" w:space="0" w:color="auto"/>
        <w:right w:val="none" w:sz="0" w:space="0" w:color="auto"/>
      </w:divBdr>
    </w:div>
    <w:div w:id="602807848">
      <w:bodyDiv w:val="1"/>
      <w:marLeft w:val="0"/>
      <w:marRight w:val="0"/>
      <w:marTop w:val="0"/>
      <w:marBottom w:val="0"/>
      <w:divBdr>
        <w:top w:val="none" w:sz="0" w:space="0" w:color="auto"/>
        <w:left w:val="none" w:sz="0" w:space="0" w:color="auto"/>
        <w:bottom w:val="none" w:sz="0" w:space="0" w:color="auto"/>
        <w:right w:val="none" w:sz="0" w:space="0" w:color="auto"/>
      </w:divBdr>
    </w:div>
    <w:div w:id="623925239">
      <w:bodyDiv w:val="1"/>
      <w:marLeft w:val="0"/>
      <w:marRight w:val="0"/>
      <w:marTop w:val="0"/>
      <w:marBottom w:val="0"/>
      <w:divBdr>
        <w:top w:val="none" w:sz="0" w:space="0" w:color="auto"/>
        <w:left w:val="none" w:sz="0" w:space="0" w:color="auto"/>
        <w:bottom w:val="none" w:sz="0" w:space="0" w:color="auto"/>
        <w:right w:val="none" w:sz="0" w:space="0" w:color="auto"/>
      </w:divBdr>
    </w:div>
    <w:div w:id="668287723">
      <w:bodyDiv w:val="1"/>
      <w:marLeft w:val="0"/>
      <w:marRight w:val="0"/>
      <w:marTop w:val="0"/>
      <w:marBottom w:val="0"/>
      <w:divBdr>
        <w:top w:val="none" w:sz="0" w:space="0" w:color="auto"/>
        <w:left w:val="none" w:sz="0" w:space="0" w:color="auto"/>
        <w:bottom w:val="none" w:sz="0" w:space="0" w:color="auto"/>
        <w:right w:val="none" w:sz="0" w:space="0" w:color="auto"/>
      </w:divBdr>
    </w:div>
    <w:div w:id="671683872">
      <w:bodyDiv w:val="1"/>
      <w:marLeft w:val="0"/>
      <w:marRight w:val="0"/>
      <w:marTop w:val="0"/>
      <w:marBottom w:val="0"/>
      <w:divBdr>
        <w:top w:val="none" w:sz="0" w:space="0" w:color="auto"/>
        <w:left w:val="none" w:sz="0" w:space="0" w:color="auto"/>
        <w:bottom w:val="none" w:sz="0" w:space="0" w:color="auto"/>
        <w:right w:val="none" w:sz="0" w:space="0" w:color="auto"/>
      </w:divBdr>
    </w:div>
    <w:div w:id="715198353">
      <w:bodyDiv w:val="1"/>
      <w:marLeft w:val="0"/>
      <w:marRight w:val="0"/>
      <w:marTop w:val="0"/>
      <w:marBottom w:val="0"/>
      <w:divBdr>
        <w:top w:val="none" w:sz="0" w:space="0" w:color="auto"/>
        <w:left w:val="none" w:sz="0" w:space="0" w:color="auto"/>
        <w:bottom w:val="none" w:sz="0" w:space="0" w:color="auto"/>
        <w:right w:val="none" w:sz="0" w:space="0" w:color="auto"/>
      </w:divBdr>
    </w:div>
    <w:div w:id="763888531">
      <w:bodyDiv w:val="1"/>
      <w:marLeft w:val="0"/>
      <w:marRight w:val="0"/>
      <w:marTop w:val="0"/>
      <w:marBottom w:val="0"/>
      <w:divBdr>
        <w:top w:val="none" w:sz="0" w:space="0" w:color="auto"/>
        <w:left w:val="none" w:sz="0" w:space="0" w:color="auto"/>
        <w:bottom w:val="none" w:sz="0" w:space="0" w:color="auto"/>
        <w:right w:val="none" w:sz="0" w:space="0" w:color="auto"/>
      </w:divBdr>
    </w:div>
    <w:div w:id="789664874">
      <w:bodyDiv w:val="1"/>
      <w:marLeft w:val="0"/>
      <w:marRight w:val="0"/>
      <w:marTop w:val="0"/>
      <w:marBottom w:val="0"/>
      <w:divBdr>
        <w:top w:val="none" w:sz="0" w:space="0" w:color="auto"/>
        <w:left w:val="none" w:sz="0" w:space="0" w:color="auto"/>
        <w:bottom w:val="none" w:sz="0" w:space="0" w:color="auto"/>
        <w:right w:val="none" w:sz="0" w:space="0" w:color="auto"/>
      </w:divBdr>
    </w:div>
    <w:div w:id="852569146">
      <w:bodyDiv w:val="1"/>
      <w:marLeft w:val="0"/>
      <w:marRight w:val="0"/>
      <w:marTop w:val="0"/>
      <w:marBottom w:val="0"/>
      <w:divBdr>
        <w:top w:val="none" w:sz="0" w:space="0" w:color="auto"/>
        <w:left w:val="none" w:sz="0" w:space="0" w:color="auto"/>
        <w:bottom w:val="none" w:sz="0" w:space="0" w:color="auto"/>
        <w:right w:val="none" w:sz="0" w:space="0" w:color="auto"/>
      </w:divBdr>
    </w:div>
    <w:div w:id="860976513">
      <w:bodyDiv w:val="1"/>
      <w:marLeft w:val="0"/>
      <w:marRight w:val="0"/>
      <w:marTop w:val="0"/>
      <w:marBottom w:val="0"/>
      <w:divBdr>
        <w:top w:val="none" w:sz="0" w:space="0" w:color="auto"/>
        <w:left w:val="none" w:sz="0" w:space="0" w:color="auto"/>
        <w:bottom w:val="none" w:sz="0" w:space="0" w:color="auto"/>
        <w:right w:val="none" w:sz="0" w:space="0" w:color="auto"/>
      </w:divBdr>
    </w:div>
    <w:div w:id="917445303">
      <w:bodyDiv w:val="1"/>
      <w:marLeft w:val="0"/>
      <w:marRight w:val="0"/>
      <w:marTop w:val="0"/>
      <w:marBottom w:val="0"/>
      <w:divBdr>
        <w:top w:val="none" w:sz="0" w:space="0" w:color="auto"/>
        <w:left w:val="none" w:sz="0" w:space="0" w:color="auto"/>
        <w:bottom w:val="none" w:sz="0" w:space="0" w:color="auto"/>
        <w:right w:val="none" w:sz="0" w:space="0" w:color="auto"/>
      </w:divBdr>
    </w:div>
    <w:div w:id="1000280007">
      <w:bodyDiv w:val="1"/>
      <w:marLeft w:val="0"/>
      <w:marRight w:val="0"/>
      <w:marTop w:val="0"/>
      <w:marBottom w:val="0"/>
      <w:divBdr>
        <w:top w:val="none" w:sz="0" w:space="0" w:color="auto"/>
        <w:left w:val="none" w:sz="0" w:space="0" w:color="auto"/>
        <w:bottom w:val="none" w:sz="0" w:space="0" w:color="auto"/>
        <w:right w:val="none" w:sz="0" w:space="0" w:color="auto"/>
      </w:divBdr>
    </w:div>
    <w:div w:id="1006057041">
      <w:bodyDiv w:val="1"/>
      <w:marLeft w:val="0"/>
      <w:marRight w:val="0"/>
      <w:marTop w:val="0"/>
      <w:marBottom w:val="0"/>
      <w:divBdr>
        <w:top w:val="none" w:sz="0" w:space="0" w:color="auto"/>
        <w:left w:val="none" w:sz="0" w:space="0" w:color="auto"/>
        <w:bottom w:val="none" w:sz="0" w:space="0" w:color="auto"/>
        <w:right w:val="none" w:sz="0" w:space="0" w:color="auto"/>
      </w:divBdr>
    </w:div>
    <w:div w:id="1069231532">
      <w:bodyDiv w:val="1"/>
      <w:marLeft w:val="0"/>
      <w:marRight w:val="0"/>
      <w:marTop w:val="0"/>
      <w:marBottom w:val="0"/>
      <w:divBdr>
        <w:top w:val="none" w:sz="0" w:space="0" w:color="auto"/>
        <w:left w:val="none" w:sz="0" w:space="0" w:color="auto"/>
        <w:bottom w:val="none" w:sz="0" w:space="0" w:color="auto"/>
        <w:right w:val="none" w:sz="0" w:space="0" w:color="auto"/>
      </w:divBdr>
    </w:div>
    <w:div w:id="1076518385">
      <w:bodyDiv w:val="1"/>
      <w:marLeft w:val="0"/>
      <w:marRight w:val="0"/>
      <w:marTop w:val="0"/>
      <w:marBottom w:val="0"/>
      <w:divBdr>
        <w:top w:val="none" w:sz="0" w:space="0" w:color="auto"/>
        <w:left w:val="none" w:sz="0" w:space="0" w:color="auto"/>
        <w:bottom w:val="none" w:sz="0" w:space="0" w:color="auto"/>
        <w:right w:val="none" w:sz="0" w:space="0" w:color="auto"/>
      </w:divBdr>
    </w:div>
    <w:div w:id="1147823561">
      <w:bodyDiv w:val="1"/>
      <w:marLeft w:val="0"/>
      <w:marRight w:val="0"/>
      <w:marTop w:val="0"/>
      <w:marBottom w:val="0"/>
      <w:divBdr>
        <w:top w:val="none" w:sz="0" w:space="0" w:color="auto"/>
        <w:left w:val="none" w:sz="0" w:space="0" w:color="auto"/>
        <w:bottom w:val="none" w:sz="0" w:space="0" w:color="auto"/>
        <w:right w:val="none" w:sz="0" w:space="0" w:color="auto"/>
      </w:divBdr>
    </w:div>
    <w:div w:id="1198542307">
      <w:bodyDiv w:val="1"/>
      <w:marLeft w:val="0"/>
      <w:marRight w:val="0"/>
      <w:marTop w:val="0"/>
      <w:marBottom w:val="0"/>
      <w:divBdr>
        <w:top w:val="none" w:sz="0" w:space="0" w:color="auto"/>
        <w:left w:val="none" w:sz="0" w:space="0" w:color="auto"/>
        <w:bottom w:val="none" w:sz="0" w:space="0" w:color="auto"/>
        <w:right w:val="none" w:sz="0" w:space="0" w:color="auto"/>
      </w:divBdr>
    </w:div>
    <w:div w:id="1301577312">
      <w:bodyDiv w:val="1"/>
      <w:marLeft w:val="0"/>
      <w:marRight w:val="0"/>
      <w:marTop w:val="0"/>
      <w:marBottom w:val="0"/>
      <w:divBdr>
        <w:top w:val="none" w:sz="0" w:space="0" w:color="auto"/>
        <w:left w:val="none" w:sz="0" w:space="0" w:color="auto"/>
        <w:bottom w:val="none" w:sz="0" w:space="0" w:color="auto"/>
        <w:right w:val="none" w:sz="0" w:space="0" w:color="auto"/>
      </w:divBdr>
    </w:div>
    <w:div w:id="1329402749">
      <w:bodyDiv w:val="1"/>
      <w:marLeft w:val="0"/>
      <w:marRight w:val="0"/>
      <w:marTop w:val="0"/>
      <w:marBottom w:val="0"/>
      <w:divBdr>
        <w:top w:val="none" w:sz="0" w:space="0" w:color="auto"/>
        <w:left w:val="none" w:sz="0" w:space="0" w:color="auto"/>
        <w:bottom w:val="none" w:sz="0" w:space="0" w:color="auto"/>
        <w:right w:val="none" w:sz="0" w:space="0" w:color="auto"/>
      </w:divBdr>
    </w:div>
    <w:div w:id="1329862477">
      <w:bodyDiv w:val="1"/>
      <w:marLeft w:val="0"/>
      <w:marRight w:val="0"/>
      <w:marTop w:val="0"/>
      <w:marBottom w:val="0"/>
      <w:divBdr>
        <w:top w:val="none" w:sz="0" w:space="0" w:color="auto"/>
        <w:left w:val="none" w:sz="0" w:space="0" w:color="auto"/>
        <w:bottom w:val="none" w:sz="0" w:space="0" w:color="auto"/>
        <w:right w:val="none" w:sz="0" w:space="0" w:color="auto"/>
      </w:divBdr>
    </w:div>
    <w:div w:id="1342971314">
      <w:bodyDiv w:val="1"/>
      <w:marLeft w:val="0"/>
      <w:marRight w:val="0"/>
      <w:marTop w:val="0"/>
      <w:marBottom w:val="0"/>
      <w:divBdr>
        <w:top w:val="none" w:sz="0" w:space="0" w:color="auto"/>
        <w:left w:val="none" w:sz="0" w:space="0" w:color="auto"/>
        <w:bottom w:val="none" w:sz="0" w:space="0" w:color="auto"/>
        <w:right w:val="none" w:sz="0" w:space="0" w:color="auto"/>
      </w:divBdr>
    </w:div>
    <w:div w:id="1367868505">
      <w:bodyDiv w:val="1"/>
      <w:marLeft w:val="0"/>
      <w:marRight w:val="0"/>
      <w:marTop w:val="0"/>
      <w:marBottom w:val="0"/>
      <w:divBdr>
        <w:top w:val="none" w:sz="0" w:space="0" w:color="auto"/>
        <w:left w:val="none" w:sz="0" w:space="0" w:color="auto"/>
        <w:bottom w:val="none" w:sz="0" w:space="0" w:color="auto"/>
        <w:right w:val="none" w:sz="0" w:space="0" w:color="auto"/>
      </w:divBdr>
    </w:div>
    <w:div w:id="1443110478">
      <w:bodyDiv w:val="1"/>
      <w:marLeft w:val="0"/>
      <w:marRight w:val="0"/>
      <w:marTop w:val="0"/>
      <w:marBottom w:val="0"/>
      <w:divBdr>
        <w:top w:val="none" w:sz="0" w:space="0" w:color="auto"/>
        <w:left w:val="none" w:sz="0" w:space="0" w:color="auto"/>
        <w:bottom w:val="none" w:sz="0" w:space="0" w:color="auto"/>
        <w:right w:val="none" w:sz="0" w:space="0" w:color="auto"/>
      </w:divBdr>
    </w:div>
    <w:div w:id="1444500332">
      <w:bodyDiv w:val="1"/>
      <w:marLeft w:val="0"/>
      <w:marRight w:val="0"/>
      <w:marTop w:val="0"/>
      <w:marBottom w:val="0"/>
      <w:divBdr>
        <w:top w:val="none" w:sz="0" w:space="0" w:color="auto"/>
        <w:left w:val="none" w:sz="0" w:space="0" w:color="auto"/>
        <w:bottom w:val="none" w:sz="0" w:space="0" w:color="auto"/>
        <w:right w:val="none" w:sz="0" w:space="0" w:color="auto"/>
      </w:divBdr>
    </w:div>
    <w:div w:id="1502354505">
      <w:bodyDiv w:val="1"/>
      <w:marLeft w:val="0"/>
      <w:marRight w:val="0"/>
      <w:marTop w:val="0"/>
      <w:marBottom w:val="0"/>
      <w:divBdr>
        <w:top w:val="none" w:sz="0" w:space="0" w:color="auto"/>
        <w:left w:val="none" w:sz="0" w:space="0" w:color="auto"/>
        <w:bottom w:val="none" w:sz="0" w:space="0" w:color="auto"/>
        <w:right w:val="none" w:sz="0" w:space="0" w:color="auto"/>
      </w:divBdr>
    </w:div>
    <w:div w:id="1531718765">
      <w:bodyDiv w:val="1"/>
      <w:marLeft w:val="0"/>
      <w:marRight w:val="0"/>
      <w:marTop w:val="0"/>
      <w:marBottom w:val="0"/>
      <w:divBdr>
        <w:top w:val="none" w:sz="0" w:space="0" w:color="auto"/>
        <w:left w:val="none" w:sz="0" w:space="0" w:color="auto"/>
        <w:bottom w:val="none" w:sz="0" w:space="0" w:color="auto"/>
        <w:right w:val="none" w:sz="0" w:space="0" w:color="auto"/>
      </w:divBdr>
    </w:div>
    <w:div w:id="1576086593">
      <w:bodyDiv w:val="1"/>
      <w:marLeft w:val="0"/>
      <w:marRight w:val="0"/>
      <w:marTop w:val="0"/>
      <w:marBottom w:val="0"/>
      <w:divBdr>
        <w:top w:val="none" w:sz="0" w:space="0" w:color="auto"/>
        <w:left w:val="none" w:sz="0" w:space="0" w:color="auto"/>
        <w:bottom w:val="none" w:sz="0" w:space="0" w:color="auto"/>
        <w:right w:val="none" w:sz="0" w:space="0" w:color="auto"/>
      </w:divBdr>
    </w:div>
    <w:div w:id="1605914383">
      <w:bodyDiv w:val="1"/>
      <w:marLeft w:val="0"/>
      <w:marRight w:val="0"/>
      <w:marTop w:val="0"/>
      <w:marBottom w:val="0"/>
      <w:divBdr>
        <w:top w:val="none" w:sz="0" w:space="0" w:color="auto"/>
        <w:left w:val="none" w:sz="0" w:space="0" w:color="auto"/>
        <w:bottom w:val="none" w:sz="0" w:space="0" w:color="auto"/>
        <w:right w:val="none" w:sz="0" w:space="0" w:color="auto"/>
      </w:divBdr>
    </w:div>
    <w:div w:id="1857116958">
      <w:bodyDiv w:val="1"/>
      <w:marLeft w:val="0"/>
      <w:marRight w:val="0"/>
      <w:marTop w:val="0"/>
      <w:marBottom w:val="0"/>
      <w:divBdr>
        <w:top w:val="none" w:sz="0" w:space="0" w:color="auto"/>
        <w:left w:val="none" w:sz="0" w:space="0" w:color="auto"/>
        <w:bottom w:val="none" w:sz="0" w:space="0" w:color="auto"/>
        <w:right w:val="none" w:sz="0" w:space="0" w:color="auto"/>
      </w:divBdr>
    </w:div>
    <w:div w:id="1916082328">
      <w:bodyDiv w:val="1"/>
      <w:marLeft w:val="0"/>
      <w:marRight w:val="0"/>
      <w:marTop w:val="0"/>
      <w:marBottom w:val="0"/>
      <w:divBdr>
        <w:top w:val="none" w:sz="0" w:space="0" w:color="auto"/>
        <w:left w:val="none" w:sz="0" w:space="0" w:color="auto"/>
        <w:bottom w:val="none" w:sz="0" w:space="0" w:color="auto"/>
        <w:right w:val="none" w:sz="0" w:space="0" w:color="auto"/>
      </w:divBdr>
    </w:div>
    <w:div w:id="1917083058">
      <w:bodyDiv w:val="1"/>
      <w:marLeft w:val="0"/>
      <w:marRight w:val="0"/>
      <w:marTop w:val="0"/>
      <w:marBottom w:val="0"/>
      <w:divBdr>
        <w:top w:val="none" w:sz="0" w:space="0" w:color="auto"/>
        <w:left w:val="none" w:sz="0" w:space="0" w:color="auto"/>
        <w:bottom w:val="none" w:sz="0" w:space="0" w:color="auto"/>
        <w:right w:val="none" w:sz="0" w:space="0" w:color="auto"/>
      </w:divBdr>
    </w:div>
    <w:div w:id="1929387044">
      <w:bodyDiv w:val="1"/>
      <w:marLeft w:val="0"/>
      <w:marRight w:val="0"/>
      <w:marTop w:val="0"/>
      <w:marBottom w:val="0"/>
      <w:divBdr>
        <w:top w:val="none" w:sz="0" w:space="0" w:color="auto"/>
        <w:left w:val="none" w:sz="0" w:space="0" w:color="auto"/>
        <w:bottom w:val="none" w:sz="0" w:space="0" w:color="auto"/>
        <w:right w:val="none" w:sz="0" w:space="0" w:color="auto"/>
      </w:divBdr>
    </w:div>
    <w:div w:id="1943491914">
      <w:bodyDiv w:val="1"/>
      <w:marLeft w:val="0"/>
      <w:marRight w:val="0"/>
      <w:marTop w:val="0"/>
      <w:marBottom w:val="0"/>
      <w:divBdr>
        <w:top w:val="none" w:sz="0" w:space="0" w:color="auto"/>
        <w:left w:val="none" w:sz="0" w:space="0" w:color="auto"/>
        <w:bottom w:val="none" w:sz="0" w:space="0" w:color="auto"/>
        <w:right w:val="none" w:sz="0" w:space="0" w:color="auto"/>
      </w:divBdr>
    </w:div>
    <w:div w:id="2001692168">
      <w:bodyDiv w:val="1"/>
      <w:marLeft w:val="0"/>
      <w:marRight w:val="0"/>
      <w:marTop w:val="0"/>
      <w:marBottom w:val="0"/>
      <w:divBdr>
        <w:top w:val="none" w:sz="0" w:space="0" w:color="auto"/>
        <w:left w:val="none" w:sz="0" w:space="0" w:color="auto"/>
        <w:bottom w:val="none" w:sz="0" w:space="0" w:color="auto"/>
        <w:right w:val="none" w:sz="0" w:space="0" w:color="auto"/>
      </w:divBdr>
    </w:div>
    <w:div w:id="20082909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3.xml"/><Relationship Id="rId39" Type="http://schemas.openxmlformats.org/officeDocument/2006/relationships/header" Target="header8.xm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footer" Target="footer5.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2.xml"/><Relationship Id="rId33" Type="http://schemas.openxmlformats.org/officeDocument/2006/relationships/header" Target="header5.xm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image" Target="media/image3.emf"/><Relationship Id="rId29" Type="http://schemas.openxmlformats.org/officeDocument/2006/relationships/header" Target="header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hart" Target="charts/chart11.xml"/><Relationship Id="rId32" Type="http://schemas.openxmlformats.org/officeDocument/2006/relationships/footer" Target="footer4.xml"/><Relationship Id="rId37" Type="http://schemas.openxmlformats.org/officeDocument/2006/relationships/footer" Target="footer6.xml"/><Relationship Id="rId40"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0.xml"/><Relationship Id="rId28" Type="http://schemas.microsoft.com/office/2011/relationships/commentsExtended" Target="commentsExtended.xml"/><Relationship Id="rId36" Type="http://schemas.openxmlformats.org/officeDocument/2006/relationships/header" Target="header7.xml"/><Relationship Id="rId10" Type="http://schemas.openxmlformats.org/officeDocument/2006/relationships/footer" Target="footer2.xml"/><Relationship Id="rId19" Type="http://schemas.openxmlformats.org/officeDocument/2006/relationships/image" Target="media/image2.emf"/><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chart" Target="charts/chart9.xml"/><Relationship Id="rId27" Type="http://schemas.openxmlformats.org/officeDocument/2006/relationships/comments" Target="comments.xml"/><Relationship Id="rId30" Type="http://schemas.openxmlformats.org/officeDocument/2006/relationships/header" Target="header4.xml"/><Relationship Id="rId35"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BI\AppData\Local\Temp\Kontrol%20le&#237;r&#243;%20t&#225;bl&#225;zatok_RPEcomm_M_0412%20copy.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Mac%20HD:Users:petraedinareszketo:Dropbox:GOP211:_work:_II%20fazis:vegso:kezelt_leiro_jav.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Mac%20HD:Users:petraedinareszketo:Dropbox:GOP211:_work:_II%20fazis:vegso:kezelt_leiro_jav.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Mac%20HD:Users:petraedinareszketo:Dropbox:GOP211:_work:_II%20fazis:vegso:kezelt_leiro_jav.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Mac%20HD:Users:petraedinareszketo:Dropbox:GOP211:_work:_II%20fazis:vegso:kezelt_leiro_jav.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I\AppData\Local\Temp\Kontrol%20le&#237;r&#243;%20t&#225;bl&#225;zatok_RPEcomm_M_0412%20copy.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Mac%20HD:Users:petraedinareszketo:Dropbox:GOP211:_work:Kontrol%20le&#237;r&#243;%20t&#225;bl&#225;zatok_RPEcomm_M_0412.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BI\Desktop\Kontrol%20le&#237;r&#243;%20t&#225;bl&#225;zatok_030513%20FINA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BI\Desktop\Kontrol%20le&#237;r&#243;%20t&#225;bl&#225;zatok_030513%20FINA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BI\Desktop\Kontrol%20le&#237;r&#243;%20t&#225;bl&#225;zatok_030513%20FINA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BI\Desktop\Kontrol%20le&#237;r&#243;%20t&#225;bl&#225;zatok_030513%20FINA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Mac%20HD:Users:petraedinareszketo:Dropbox:GOP211:_work:_II%20fazis:vegso:kezelt_leiro_jav.xlsx" TargetMode="External"/></Relationships>
</file>

<file path=word/charts/_rels/chart9.xml.rels><?xml version="1.0" encoding="UTF-8" standalone="yes"?>
<Relationships xmlns="http://schemas.openxmlformats.org/package/2006/relationships"><Relationship Id="rId2" Type="http://schemas.openxmlformats.org/officeDocument/2006/relationships/oleObject" Target="Mac%20HD:Users:petraedinareszketo:Downloads:kezelt_leiro_jav.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numFmt formatCode="0.0%" sourceLinked="0"/>
            <c:spPr>
              <a:noFill/>
              <a:ln>
                <a:noFill/>
              </a:ln>
              <a:effectLst/>
            </c:spPr>
            <c:txPr>
              <a:bodyPr/>
              <a:lstStyle/>
              <a:p>
                <a:pPr>
                  <a:defRPr lang="en-US"/>
                </a:pPr>
                <a:endParaRPr lang="hu-HU"/>
              </a:p>
            </c:txPr>
            <c:showLegendKey val="0"/>
            <c:showVal val="0"/>
            <c:showCatName val="0"/>
            <c:showSerName val="0"/>
            <c:showPercent val="1"/>
            <c:showBubbleSize val="0"/>
            <c:showLeaderLines val="0"/>
            <c:extLst>
              <c:ext xmlns:c15="http://schemas.microsoft.com/office/drawing/2012/chart" uri="{CE6537A1-D6FC-4f65-9D91-7224C49458BB}"/>
            </c:extLst>
          </c:dLbls>
          <c:cat>
            <c:strRef>
              <c:f>'egyszerű deskriptív'!$B$108:$B$114</c:f>
              <c:strCache>
                <c:ptCount val="7"/>
                <c:pt idx="0">
                  <c:v>Közép-Magyarország</c:v>
                </c:pt>
                <c:pt idx="1">
                  <c:v>Közép-Dunántúl</c:v>
                </c:pt>
                <c:pt idx="2">
                  <c:v>Nyugat-Dunántúl</c:v>
                </c:pt>
                <c:pt idx="3">
                  <c:v>Dél-Dunántúl</c:v>
                </c:pt>
                <c:pt idx="4">
                  <c:v>Észak-Magyarország</c:v>
                </c:pt>
                <c:pt idx="5">
                  <c:v>Észak-Alföld</c:v>
                </c:pt>
                <c:pt idx="6">
                  <c:v>Dél-Alföld</c:v>
                </c:pt>
              </c:strCache>
            </c:strRef>
          </c:cat>
          <c:val>
            <c:numRef>
              <c:f>'egyszerű deskriptív'!$C$108:$C$114</c:f>
              <c:numCache>
                <c:formatCode>General</c:formatCode>
                <c:ptCount val="7"/>
                <c:pt idx="0">
                  <c:v>63202</c:v>
                </c:pt>
                <c:pt idx="1">
                  <c:v>12017</c:v>
                </c:pt>
                <c:pt idx="2">
                  <c:v>11481</c:v>
                </c:pt>
                <c:pt idx="3">
                  <c:v>10149</c:v>
                </c:pt>
                <c:pt idx="4">
                  <c:v>9506</c:v>
                </c:pt>
                <c:pt idx="5">
                  <c:v>12847</c:v>
                </c:pt>
                <c:pt idx="6">
                  <c:v>13326</c:v>
                </c:pt>
              </c:numCache>
            </c:numRef>
          </c:val>
        </c:ser>
        <c:ser>
          <c:idx val="1"/>
          <c:order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'egyszerű deskriptív'!$B$108:$B$114</c:f>
              <c:strCache>
                <c:ptCount val="7"/>
                <c:pt idx="0">
                  <c:v>Közép-Magyarország</c:v>
                </c:pt>
                <c:pt idx="1">
                  <c:v>Közép-Dunántúl</c:v>
                </c:pt>
                <c:pt idx="2">
                  <c:v>Nyugat-Dunántúl</c:v>
                </c:pt>
                <c:pt idx="3">
                  <c:v>Dél-Dunántúl</c:v>
                </c:pt>
                <c:pt idx="4">
                  <c:v>Észak-Magyarország</c:v>
                </c:pt>
                <c:pt idx="5">
                  <c:v>Észak-Alföld</c:v>
                </c:pt>
                <c:pt idx="6">
                  <c:v>Dél-Alföld</c:v>
                </c:pt>
              </c:strCache>
            </c:strRef>
          </c:cat>
          <c:val>
            <c:numRef>
              <c:f>'egyszerű deskriptív'!$D$108:$D$114</c:f>
              <c:numCache>
                <c:formatCode>General</c:formatCode>
                <c:ptCount val="7"/>
              </c:numCache>
            </c:numRef>
          </c:val>
        </c:ser>
        <c:dLbls>
          <c:showLegendKey val="0"/>
          <c:showVal val="0"/>
          <c:showCatName val="0"/>
          <c:showSerName val="0"/>
          <c:showPercent val="1"/>
          <c:showBubbleSize val="0"/>
          <c:showLeaderLines val="0"/>
        </c:dLbls>
        <c:firstSliceAng val="0"/>
      </c:pieChart>
    </c:plotArea>
    <c:legend>
      <c:legendPos val="r"/>
      <c:overlay val="0"/>
      <c:txPr>
        <a:bodyPr/>
        <a:lstStyle/>
        <a:p>
          <a:pPr>
            <a:defRPr lang="en-US"/>
          </a:pPr>
          <a:endParaRPr lang="hu-HU"/>
        </a:p>
      </c:txPr>
    </c:legend>
    <c:plotVisOnly val="1"/>
    <c:dispBlanksAs val="zero"/>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spPr>
            <a:solidFill>
              <a:srgbClr val="B10000"/>
            </a:solidFill>
          </c:spPr>
          <c:invertIfNegative val="0"/>
          <c:cat>
            <c:strRef>
              <c:f>'egyszerű deskriptív'!$D$237:$D$254</c:f>
              <c:strCache>
                <c:ptCount val="18"/>
                <c:pt idx="0">
                  <c:v>Admin. és szolg.tám.</c:v>
                </c:pt>
                <c:pt idx="1">
                  <c:v>Bányászat, kőfejtés</c:v>
                </c:pt>
                <c:pt idx="2">
                  <c:v>Építőipar</c:v>
                </c:pt>
                <c:pt idx="3">
                  <c:v>Feldolgozóipar</c:v>
                </c:pt>
                <c:pt idx="4">
                  <c:v>Humán-egészs.ügyi szolg.</c:v>
                </c:pt>
                <c:pt idx="5">
                  <c:v>Info-kommunikáció</c:v>
                </c:pt>
                <c:pt idx="6">
                  <c:v>Ingatlanügyek</c:v>
                </c:pt>
                <c:pt idx="7">
                  <c:v>Kereskedelem, gépjárműjav.</c:v>
                </c:pt>
                <c:pt idx="8">
                  <c:v>Közigazgatás, védelem</c:v>
                </c:pt>
                <c:pt idx="9">
                  <c:v>Mg., erdőgazd.</c:v>
                </c:pt>
                <c:pt idx="10">
                  <c:v>Művészet, szórakoztatás</c:v>
                </c:pt>
                <c:pt idx="11">
                  <c:v>Oktatás</c:v>
                </c:pt>
                <c:pt idx="12">
                  <c:v>Pü-i, biztosítási szolg.</c:v>
                </c:pt>
                <c:pt idx="13">
                  <c:v>Szakmai, tudományos tev.</c:v>
                </c:pt>
                <c:pt idx="14">
                  <c:v>Szálláshely-szolgáltatás</c:v>
                </c:pt>
                <c:pt idx="15">
                  <c:v>Szállítás, raktározás</c:v>
                </c:pt>
                <c:pt idx="16">
                  <c:v>Villamosenergia- gáz</c:v>
                </c:pt>
                <c:pt idx="17">
                  <c:v>Vízellátás, szennyvíz</c:v>
                </c:pt>
              </c:strCache>
            </c:strRef>
          </c:cat>
          <c:val>
            <c:numRef>
              <c:f>'egyszerű deskriptív'!$E$237:$E$254</c:f>
              <c:numCache>
                <c:formatCode>General</c:formatCode>
                <c:ptCount val="18"/>
                <c:pt idx="0">
                  <c:v>56</c:v>
                </c:pt>
                <c:pt idx="1">
                  <c:v>11</c:v>
                </c:pt>
                <c:pt idx="2">
                  <c:v>305</c:v>
                </c:pt>
                <c:pt idx="3">
                  <c:v>516</c:v>
                </c:pt>
                <c:pt idx="4">
                  <c:v>86</c:v>
                </c:pt>
                <c:pt idx="5">
                  <c:v>87</c:v>
                </c:pt>
                <c:pt idx="6">
                  <c:v>74</c:v>
                </c:pt>
                <c:pt idx="7">
                  <c:v>605</c:v>
                </c:pt>
                <c:pt idx="8">
                  <c:v>1</c:v>
                </c:pt>
                <c:pt idx="9">
                  <c:v>6</c:v>
                </c:pt>
                <c:pt idx="10">
                  <c:v>20</c:v>
                </c:pt>
                <c:pt idx="11">
                  <c:v>18</c:v>
                </c:pt>
                <c:pt idx="12">
                  <c:v>36</c:v>
                </c:pt>
                <c:pt idx="13">
                  <c:v>155</c:v>
                </c:pt>
                <c:pt idx="14">
                  <c:v>63</c:v>
                </c:pt>
                <c:pt idx="15">
                  <c:v>85</c:v>
                </c:pt>
                <c:pt idx="16">
                  <c:v>5</c:v>
                </c:pt>
                <c:pt idx="17">
                  <c:v>18</c:v>
                </c:pt>
              </c:numCache>
            </c:numRef>
          </c:val>
        </c:ser>
        <c:dLbls>
          <c:showLegendKey val="0"/>
          <c:showVal val="0"/>
          <c:showCatName val="0"/>
          <c:showSerName val="0"/>
          <c:showPercent val="0"/>
          <c:showBubbleSize val="0"/>
        </c:dLbls>
        <c:gapWidth val="150"/>
        <c:axId val="414302848"/>
        <c:axId val="414303240"/>
      </c:barChart>
      <c:catAx>
        <c:axId val="414302848"/>
        <c:scaling>
          <c:orientation val="minMax"/>
        </c:scaling>
        <c:delete val="0"/>
        <c:axPos val="b"/>
        <c:title>
          <c:tx>
            <c:rich>
              <a:bodyPr/>
              <a:lstStyle/>
              <a:p>
                <a:pPr>
                  <a:defRPr/>
                </a:pPr>
                <a:r>
                  <a:rPr lang="hu-HU"/>
                  <a:t>Iparág</a:t>
                </a:r>
              </a:p>
            </c:rich>
          </c:tx>
          <c:overlay val="0"/>
        </c:title>
        <c:numFmt formatCode="General" sourceLinked="1"/>
        <c:majorTickMark val="out"/>
        <c:minorTickMark val="none"/>
        <c:tickLblPos val="nextTo"/>
        <c:crossAx val="414303240"/>
        <c:crosses val="autoZero"/>
        <c:auto val="1"/>
        <c:lblAlgn val="ctr"/>
        <c:lblOffset val="100"/>
        <c:noMultiLvlLbl val="0"/>
      </c:catAx>
      <c:valAx>
        <c:axId val="414303240"/>
        <c:scaling>
          <c:orientation val="minMax"/>
        </c:scaling>
        <c:delete val="0"/>
        <c:axPos val="l"/>
        <c:majorGridlines/>
        <c:title>
          <c:tx>
            <c:rich>
              <a:bodyPr rot="-5400000" vert="horz"/>
              <a:lstStyle/>
              <a:p>
                <a:pPr>
                  <a:defRPr/>
                </a:pPr>
                <a:r>
                  <a:rPr lang="hu-HU"/>
                  <a:t>Vállalatok száma</a:t>
                </a:r>
              </a:p>
            </c:rich>
          </c:tx>
          <c:overlay val="0"/>
        </c:title>
        <c:numFmt formatCode="General" sourceLinked="1"/>
        <c:majorTickMark val="out"/>
        <c:minorTickMark val="none"/>
        <c:tickLblPos val="nextTo"/>
        <c:crossAx val="414302848"/>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spPr>
            <a:solidFill>
              <a:srgbClr val="B10000"/>
            </a:solidFill>
          </c:spPr>
          <c:invertIfNegative val="0"/>
          <c:cat>
            <c:strRef>
              <c:f>'egyszerű deskriptív'!$D$357:$D$371</c:f>
              <c:strCache>
                <c:ptCount val="15"/>
                <c:pt idx="0">
                  <c:v>Admin. és szolg.tám.</c:v>
                </c:pt>
                <c:pt idx="1">
                  <c:v>Építőipar</c:v>
                </c:pt>
                <c:pt idx="2">
                  <c:v>Feldolgozóipar</c:v>
                </c:pt>
                <c:pt idx="3">
                  <c:v>Humán-egészs.ügyi szolg.</c:v>
                </c:pt>
                <c:pt idx="4">
                  <c:v>Info-kommunikáció</c:v>
                </c:pt>
                <c:pt idx="5">
                  <c:v>Ingatlanügyek</c:v>
                </c:pt>
                <c:pt idx="6">
                  <c:v>Kereskedelem, gépjárműjav.</c:v>
                </c:pt>
                <c:pt idx="7">
                  <c:v>Mg., erdőgazd.</c:v>
                </c:pt>
                <c:pt idx="8">
                  <c:v>Művészet, szórakoztatás</c:v>
                </c:pt>
                <c:pt idx="9">
                  <c:v>Oktatás</c:v>
                </c:pt>
                <c:pt idx="10">
                  <c:v>Pü-i, biztosítási szolg.</c:v>
                </c:pt>
                <c:pt idx="11">
                  <c:v>Szakmai, tudományos tev.</c:v>
                </c:pt>
                <c:pt idx="12">
                  <c:v>Szálláshely-szolgáltatás</c:v>
                </c:pt>
                <c:pt idx="13">
                  <c:v>Szállítás, raktározás</c:v>
                </c:pt>
                <c:pt idx="14">
                  <c:v>Vízellátás, szennyvíz</c:v>
                </c:pt>
              </c:strCache>
            </c:strRef>
          </c:cat>
          <c:val>
            <c:numRef>
              <c:f>'egyszerű deskriptív'!$E$357:$E$371</c:f>
              <c:numCache>
                <c:formatCode>General</c:formatCode>
                <c:ptCount val="15"/>
                <c:pt idx="0">
                  <c:v>20</c:v>
                </c:pt>
                <c:pt idx="1">
                  <c:v>36</c:v>
                </c:pt>
                <c:pt idx="2">
                  <c:v>199</c:v>
                </c:pt>
                <c:pt idx="3">
                  <c:v>17</c:v>
                </c:pt>
                <c:pt idx="4">
                  <c:v>22</c:v>
                </c:pt>
                <c:pt idx="5">
                  <c:v>22</c:v>
                </c:pt>
                <c:pt idx="6">
                  <c:v>170</c:v>
                </c:pt>
                <c:pt idx="7">
                  <c:v>1</c:v>
                </c:pt>
                <c:pt idx="8">
                  <c:v>4</c:v>
                </c:pt>
                <c:pt idx="9">
                  <c:v>1</c:v>
                </c:pt>
                <c:pt idx="10">
                  <c:v>3</c:v>
                </c:pt>
                <c:pt idx="11">
                  <c:v>48</c:v>
                </c:pt>
                <c:pt idx="12">
                  <c:v>24</c:v>
                </c:pt>
                <c:pt idx="13">
                  <c:v>17</c:v>
                </c:pt>
                <c:pt idx="14">
                  <c:v>2</c:v>
                </c:pt>
              </c:numCache>
            </c:numRef>
          </c:val>
        </c:ser>
        <c:dLbls>
          <c:showLegendKey val="0"/>
          <c:showVal val="0"/>
          <c:showCatName val="0"/>
          <c:showSerName val="0"/>
          <c:showPercent val="0"/>
          <c:showBubbleSize val="0"/>
        </c:dLbls>
        <c:gapWidth val="150"/>
        <c:axId val="343795296"/>
        <c:axId val="343794512"/>
      </c:barChart>
      <c:catAx>
        <c:axId val="343795296"/>
        <c:scaling>
          <c:orientation val="minMax"/>
        </c:scaling>
        <c:delete val="0"/>
        <c:axPos val="b"/>
        <c:title>
          <c:tx>
            <c:rich>
              <a:bodyPr/>
              <a:lstStyle/>
              <a:p>
                <a:pPr>
                  <a:defRPr/>
                </a:pPr>
                <a:r>
                  <a:rPr lang="hu-HU"/>
                  <a:t>Iparág</a:t>
                </a:r>
              </a:p>
            </c:rich>
          </c:tx>
          <c:overlay val="0"/>
        </c:title>
        <c:numFmt formatCode="General" sourceLinked="1"/>
        <c:majorTickMark val="out"/>
        <c:minorTickMark val="none"/>
        <c:tickLblPos val="nextTo"/>
        <c:crossAx val="343794512"/>
        <c:crosses val="autoZero"/>
        <c:auto val="1"/>
        <c:lblAlgn val="ctr"/>
        <c:lblOffset val="100"/>
        <c:noMultiLvlLbl val="0"/>
      </c:catAx>
      <c:valAx>
        <c:axId val="343794512"/>
        <c:scaling>
          <c:orientation val="minMax"/>
        </c:scaling>
        <c:delete val="0"/>
        <c:axPos val="l"/>
        <c:majorGridlines/>
        <c:title>
          <c:tx>
            <c:rich>
              <a:bodyPr rot="-5400000" vert="horz"/>
              <a:lstStyle/>
              <a:p>
                <a:pPr>
                  <a:defRPr/>
                </a:pPr>
                <a:r>
                  <a:rPr lang="hu-HU"/>
                  <a:t>Vállalatok száma</a:t>
                </a:r>
              </a:p>
            </c:rich>
          </c:tx>
          <c:overlay val="0"/>
        </c:title>
        <c:numFmt formatCode="General" sourceLinked="1"/>
        <c:majorTickMark val="out"/>
        <c:minorTickMark val="none"/>
        <c:tickLblPos val="nextTo"/>
        <c:crossAx val="343795296"/>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'egyszerű deskriptív'!$K$266</c:f>
              <c:strCache>
                <c:ptCount val="1"/>
                <c:pt idx="0">
                  <c:v>0-4 év</c:v>
                </c:pt>
              </c:strCache>
            </c:strRef>
          </c:tx>
          <c:invertIfNegative val="0"/>
          <c:cat>
            <c:strRef>
              <c:f>'egyszerű deskriptív'!$J$267:$J$284</c:f>
              <c:strCache>
                <c:ptCount val="18"/>
                <c:pt idx="0">
                  <c:v>Admin. és szolg.tám.</c:v>
                </c:pt>
                <c:pt idx="1">
                  <c:v>Bányászat, kőfejtés</c:v>
                </c:pt>
                <c:pt idx="2">
                  <c:v>Építőipar</c:v>
                </c:pt>
                <c:pt idx="3">
                  <c:v>Feldolgozóipar</c:v>
                </c:pt>
                <c:pt idx="4">
                  <c:v>Humán-egészs.ügyi szolg.</c:v>
                </c:pt>
                <c:pt idx="5">
                  <c:v>Info-kommunikáció</c:v>
                </c:pt>
                <c:pt idx="6">
                  <c:v>Ingatlanügyek</c:v>
                </c:pt>
                <c:pt idx="7">
                  <c:v>Kereskedelem, gépjárműjav.</c:v>
                </c:pt>
                <c:pt idx="8">
                  <c:v>Közigazgatás, védelem</c:v>
                </c:pt>
                <c:pt idx="9">
                  <c:v>Mg., erdőgazd.</c:v>
                </c:pt>
                <c:pt idx="10">
                  <c:v>Művészet, szórakoztatás</c:v>
                </c:pt>
                <c:pt idx="11">
                  <c:v>Oktatás</c:v>
                </c:pt>
                <c:pt idx="12">
                  <c:v>Pü-i, biztosítási szolg.</c:v>
                </c:pt>
                <c:pt idx="13">
                  <c:v>Szakmai, tudományos tev.</c:v>
                </c:pt>
                <c:pt idx="14">
                  <c:v>Szálláshely-szolgáltatás</c:v>
                </c:pt>
                <c:pt idx="15">
                  <c:v>Szállítás, raktározás</c:v>
                </c:pt>
                <c:pt idx="16">
                  <c:v>Villamosenergia- gáz</c:v>
                </c:pt>
                <c:pt idx="17">
                  <c:v>Vízellátás, szennyvíz</c:v>
                </c:pt>
              </c:strCache>
            </c:strRef>
          </c:cat>
          <c:val>
            <c:numRef>
              <c:f>'egyszerű deskriptív'!$K$267:$K$284</c:f>
              <c:numCache>
                <c:formatCode>General</c:formatCode>
                <c:ptCount val="18"/>
                <c:pt idx="0">
                  <c:v>0.92</c:v>
                </c:pt>
                <c:pt idx="1">
                  <c:v>0.05</c:v>
                </c:pt>
                <c:pt idx="2">
                  <c:v>4.6399999999999997</c:v>
                </c:pt>
                <c:pt idx="3">
                  <c:v>5.74</c:v>
                </c:pt>
                <c:pt idx="4">
                  <c:v>0.78</c:v>
                </c:pt>
                <c:pt idx="5">
                  <c:v>1.7</c:v>
                </c:pt>
                <c:pt idx="6">
                  <c:v>1.61</c:v>
                </c:pt>
                <c:pt idx="7">
                  <c:v>8.0400000000000009</c:v>
                </c:pt>
                <c:pt idx="8">
                  <c:v>0</c:v>
                </c:pt>
                <c:pt idx="9">
                  <c:v>0.05</c:v>
                </c:pt>
                <c:pt idx="10">
                  <c:v>0.32</c:v>
                </c:pt>
                <c:pt idx="11">
                  <c:v>0.14000000000000001</c:v>
                </c:pt>
                <c:pt idx="12">
                  <c:v>0.14000000000000001</c:v>
                </c:pt>
                <c:pt idx="13">
                  <c:v>2.71</c:v>
                </c:pt>
                <c:pt idx="14">
                  <c:v>0.92</c:v>
                </c:pt>
                <c:pt idx="15">
                  <c:v>1.29</c:v>
                </c:pt>
                <c:pt idx="16">
                  <c:v>0.18</c:v>
                </c:pt>
                <c:pt idx="17">
                  <c:v>0.23</c:v>
                </c:pt>
              </c:numCache>
            </c:numRef>
          </c:val>
        </c:ser>
        <c:ser>
          <c:idx val="1"/>
          <c:order val="1"/>
          <c:tx>
            <c:strRef>
              <c:f>'egyszerű deskriptív'!$L$266</c:f>
              <c:strCache>
                <c:ptCount val="1"/>
                <c:pt idx="0">
                  <c:v>5-9 év</c:v>
                </c:pt>
              </c:strCache>
            </c:strRef>
          </c:tx>
          <c:invertIfNegative val="0"/>
          <c:cat>
            <c:strRef>
              <c:f>'egyszerű deskriptív'!$J$267:$J$284</c:f>
              <c:strCache>
                <c:ptCount val="18"/>
                <c:pt idx="0">
                  <c:v>Admin. és szolg.tám.</c:v>
                </c:pt>
                <c:pt idx="1">
                  <c:v>Bányászat, kőfejtés</c:v>
                </c:pt>
                <c:pt idx="2">
                  <c:v>Építőipar</c:v>
                </c:pt>
                <c:pt idx="3">
                  <c:v>Feldolgozóipar</c:v>
                </c:pt>
                <c:pt idx="4">
                  <c:v>Humán-egészs.ügyi szolg.</c:v>
                </c:pt>
                <c:pt idx="5">
                  <c:v>Info-kommunikáció</c:v>
                </c:pt>
                <c:pt idx="6">
                  <c:v>Ingatlanügyek</c:v>
                </c:pt>
                <c:pt idx="7">
                  <c:v>Kereskedelem, gépjárműjav.</c:v>
                </c:pt>
                <c:pt idx="8">
                  <c:v>Közigazgatás, védelem</c:v>
                </c:pt>
                <c:pt idx="9">
                  <c:v>Mg., erdőgazd.</c:v>
                </c:pt>
                <c:pt idx="10">
                  <c:v>Művészet, szórakoztatás</c:v>
                </c:pt>
                <c:pt idx="11">
                  <c:v>Oktatás</c:v>
                </c:pt>
                <c:pt idx="12">
                  <c:v>Pü-i, biztosítási szolg.</c:v>
                </c:pt>
                <c:pt idx="13">
                  <c:v>Szakmai, tudományos tev.</c:v>
                </c:pt>
                <c:pt idx="14">
                  <c:v>Szálláshely-szolgáltatás</c:v>
                </c:pt>
                <c:pt idx="15">
                  <c:v>Szállítás, raktározás</c:v>
                </c:pt>
                <c:pt idx="16">
                  <c:v>Villamosenergia- gáz</c:v>
                </c:pt>
                <c:pt idx="17">
                  <c:v>Vízellátás, szennyvíz</c:v>
                </c:pt>
              </c:strCache>
            </c:strRef>
          </c:cat>
          <c:val>
            <c:numRef>
              <c:f>'egyszerű deskriptív'!$L$267:$L$284</c:f>
              <c:numCache>
                <c:formatCode>General</c:formatCode>
                <c:ptCount val="18"/>
                <c:pt idx="0">
                  <c:v>0.69</c:v>
                </c:pt>
                <c:pt idx="1">
                  <c:v>0.28000000000000003</c:v>
                </c:pt>
                <c:pt idx="2">
                  <c:v>5.4700000000000024</c:v>
                </c:pt>
                <c:pt idx="3">
                  <c:v>7.31</c:v>
                </c:pt>
                <c:pt idx="4">
                  <c:v>1.75</c:v>
                </c:pt>
                <c:pt idx="5">
                  <c:v>1.1000000000000001</c:v>
                </c:pt>
                <c:pt idx="6">
                  <c:v>1.01</c:v>
                </c:pt>
                <c:pt idx="7">
                  <c:v>8.41</c:v>
                </c:pt>
                <c:pt idx="8">
                  <c:v>0</c:v>
                </c:pt>
                <c:pt idx="9">
                  <c:v>0.09</c:v>
                </c:pt>
                <c:pt idx="10">
                  <c:v>0.32</c:v>
                </c:pt>
                <c:pt idx="11">
                  <c:v>0.09</c:v>
                </c:pt>
                <c:pt idx="12">
                  <c:v>0.18</c:v>
                </c:pt>
                <c:pt idx="13">
                  <c:v>1.84</c:v>
                </c:pt>
                <c:pt idx="14">
                  <c:v>1.01</c:v>
                </c:pt>
                <c:pt idx="15">
                  <c:v>1.24</c:v>
                </c:pt>
                <c:pt idx="16">
                  <c:v>0</c:v>
                </c:pt>
                <c:pt idx="17">
                  <c:v>0.18</c:v>
                </c:pt>
              </c:numCache>
            </c:numRef>
          </c:val>
        </c:ser>
        <c:ser>
          <c:idx val="2"/>
          <c:order val="2"/>
          <c:tx>
            <c:strRef>
              <c:f>'egyszerű deskriptív'!$M$266</c:f>
              <c:strCache>
                <c:ptCount val="1"/>
                <c:pt idx="0">
                  <c:v>10-14 év</c:v>
                </c:pt>
              </c:strCache>
            </c:strRef>
          </c:tx>
          <c:invertIfNegative val="0"/>
          <c:cat>
            <c:strRef>
              <c:f>'egyszerű deskriptív'!$J$267:$J$284</c:f>
              <c:strCache>
                <c:ptCount val="18"/>
                <c:pt idx="0">
                  <c:v>Admin. és szolg.tám.</c:v>
                </c:pt>
                <c:pt idx="1">
                  <c:v>Bányászat, kőfejtés</c:v>
                </c:pt>
                <c:pt idx="2">
                  <c:v>Építőipar</c:v>
                </c:pt>
                <c:pt idx="3">
                  <c:v>Feldolgozóipar</c:v>
                </c:pt>
                <c:pt idx="4">
                  <c:v>Humán-egészs.ügyi szolg.</c:v>
                </c:pt>
                <c:pt idx="5">
                  <c:v>Info-kommunikáció</c:v>
                </c:pt>
                <c:pt idx="6">
                  <c:v>Ingatlanügyek</c:v>
                </c:pt>
                <c:pt idx="7">
                  <c:v>Kereskedelem, gépjárműjav.</c:v>
                </c:pt>
                <c:pt idx="8">
                  <c:v>Közigazgatás, védelem</c:v>
                </c:pt>
                <c:pt idx="9">
                  <c:v>Mg., erdőgazd.</c:v>
                </c:pt>
                <c:pt idx="10">
                  <c:v>Művészet, szórakoztatás</c:v>
                </c:pt>
                <c:pt idx="11">
                  <c:v>Oktatás</c:v>
                </c:pt>
                <c:pt idx="12">
                  <c:v>Pü-i, biztosítási szolg.</c:v>
                </c:pt>
                <c:pt idx="13">
                  <c:v>Szakmai, tudományos tev.</c:v>
                </c:pt>
                <c:pt idx="14">
                  <c:v>Szálláshely-szolgáltatás</c:v>
                </c:pt>
                <c:pt idx="15">
                  <c:v>Szállítás, raktározás</c:v>
                </c:pt>
                <c:pt idx="16">
                  <c:v>Villamosenergia- gáz</c:v>
                </c:pt>
                <c:pt idx="17">
                  <c:v>Vízellátás, szennyvíz</c:v>
                </c:pt>
              </c:strCache>
            </c:strRef>
          </c:cat>
          <c:val>
            <c:numRef>
              <c:f>'egyszerű deskriptív'!$M$267:$M$284</c:f>
              <c:numCache>
                <c:formatCode>General</c:formatCode>
                <c:ptCount val="18"/>
                <c:pt idx="0">
                  <c:v>0.32</c:v>
                </c:pt>
                <c:pt idx="1">
                  <c:v>0.23</c:v>
                </c:pt>
                <c:pt idx="2">
                  <c:v>2.99</c:v>
                </c:pt>
                <c:pt idx="3">
                  <c:v>7.1199999999999974</c:v>
                </c:pt>
                <c:pt idx="4">
                  <c:v>1.06</c:v>
                </c:pt>
                <c:pt idx="5">
                  <c:v>0.74</c:v>
                </c:pt>
                <c:pt idx="6">
                  <c:v>1.01</c:v>
                </c:pt>
                <c:pt idx="7">
                  <c:v>7.95</c:v>
                </c:pt>
                <c:pt idx="8">
                  <c:v>0.05</c:v>
                </c:pt>
                <c:pt idx="9">
                  <c:v>0.18</c:v>
                </c:pt>
                <c:pt idx="10">
                  <c:v>0.05</c:v>
                </c:pt>
                <c:pt idx="11">
                  <c:v>0.18</c:v>
                </c:pt>
                <c:pt idx="12">
                  <c:v>0.14000000000000001</c:v>
                </c:pt>
                <c:pt idx="13">
                  <c:v>1.61</c:v>
                </c:pt>
                <c:pt idx="14">
                  <c:v>0.83</c:v>
                </c:pt>
                <c:pt idx="15">
                  <c:v>0.97</c:v>
                </c:pt>
                <c:pt idx="16">
                  <c:v>0.05</c:v>
                </c:pt>
                <c:pt idx="17">
                  <c:v>0.23</c:v>
                </c:pt>
              </c:numCache>
            </c:numRef>
          </c:val>
        </c:ser>
        <c:ser>
          <c:idx val="3"/>
          <c:order val="3"/>
          <c:tx>
            <c:strRef>
              <c:f>'egyszerű deskriptív'!$N$266</c:f>
              <c:strCache>
                <c:ptCount val="1"/>
                <c:pt idx="0">
                  <c:v>15+ év</c:v>
                </c:pt>
              </c:strCache>
            </c:strRef>
          </c:tx>
          <c:invertIfNegative val="0"/>
          <c:cat>
            <c:strRef>
              <c:f>'egyszerű deskriptív'!$J$267:$J$284</c:f>
              <c:strCache>
                <c:ptCount val="18"/>
                <c:pt idx="0">
                  <c:v>Admin. és szolg.tám.</c:v>
                </c:pt>
                <c:pt idx="1">
                  <c:v>Bányászat, kőfejtés</c:v>
                </c:pt>
                <c:pt idx="2">
                  <c:v>Építőipar</c:v>
                </c:pt>
                <c:pt idx="3">
                  <c:v>Feldolgozóipar</c:v>
                </c:pt>
                <c:pt idx="4">
                  <c:v>Humán-egészs.ügyi szolg.</c:v>
                </c:pt>
                <c:pt idx="5">
                  <c:v>Info-kommunikáció</c:v>
                </c:pt>
                <c:pt idx="6">
                  <c:v>Ingatlanügyek</c:v>
                </c:pt>
                <c:pt idx="7">
                  <c:v>Kereskedelem, gépjárműjav.</c:v>
                </c:pt>
                <c:pt idx="8">
                  <c:v>Közigazgatás, védelem</c:v>
                </c:pt>
                <c:pt idx="9">
                  <c:v>Mg., erdőgazd.</c:v>
                </c:pt>
                <c:pt idx="10">
                  <c:v>Művészet, szórakoztatás</c:v>
                </c:pt>
                <c:pt idx="11">
                  <c:v>Oktatás</c:v>
                </c:pt>
                <c:pt idx="12">
                  <c:v>Pü-i, biztosítási szolg.</c:v>
                </c:pt>
                <c:pt idx="13">
                  <c:v>Szakmai, tudományos tev.</c:v>
                </c:pt>
                <c:pt idx="14">
                  <c:v>Szálláshely-szolgáltatás</c:v>
                </c:pt>
                <c:pt idx="15">
                  <c:v>Szállítás, raktározás</c:v>
                </c:pt>
                <c:pt idx="16">
                  <c:v>Villamosenergia- gáz</c:v>
                </c:pt>
                <c:pt idx="17">
                  <c:v>Vízellátás, szennyvíz</c:v>
                </c:pt>
              </c:strCache>
            </c:strRef>
          </c:cat>
          <c:val>
            <c:numRef>
              <c:f>'egyszerű deskriptív'!$N$267:$N$284</c:f>
              <c:numCache>
                <c:formatCode>General</c:formatCode>
                <c:ptCount val="18"/>
                <c:pt idx="0">
                  <c:v>0.32</c:v>
                </c:pt>
                <c:pt idx="1">
                  <c:v>0.09</c:v>
                </c:pt>
                <c:pt idx="2">
                  <c:v>1.24</c:v>
                </c:pt>
                <c:pt idx="3">
                  <c:v>3.49</c:v>
                </c:pt>
                <c:pt idx="4">
                  <c:v>0.28000000000000003</c:v>
                </c:pt>
                <c:pt idx="5">
                  <c:v>0.41</c:v>
                </c:pt>
                <c:pt idx="6">
                  <c:v>0.09</c:v>
                </c:pt>
                <c:pt idx="7">
                  <c:v>3.58</c:v>
                </c:pt>
                <c:pt idx="8">
                  <c:v>0</c:v>
                </c:pt>
                <c:pt idx="9">
                  <c:v>0.09</c:v>
                </c:pt>
                <c:pt idx="10">
                  <c:v>0.14000000000000001</c:v>
                </c:pt>
                <c:pt idx="11">
                  <c:v>0.32</c:v>
                </c:pt>
                <c:pt idx="12">
                  <c:v>1.24</c:v>
                </c:pt>
                <c:pt idx="13">
                  <c:v>0.69</c:v>
                </c:pt>
                <c:pt idx="14">
                  <c:v>0.18</c:v>
                </c:pt>
                <c:pt idx="15">
                  <c:v>0.23</c:v>
                </c:pt>
                <c:pt idx="16">
                  <c:v>0</c:v>
                </c:pt>
                <c:pt idx="17">
                  <c:v>0.14000000000000001</c:v>
                </c:pt>
              </c:numCache>
            </c:numRef>
          </c:val>
        </c:ser>
        <c:dLbls>
          <c:showLegendKey val="0"/>
          <c:showVal val="0"/>
          <c:showCatName val="0"/>
          <c:showSerName val="0"/>
          <c:showPercent val="0"/>
          <c:showBubbleSize val="0"/>
        </c:dLbls>
        <c:gapWidth val="75"/>
        <c:overlap val="100"/>
        <c:axId val="343796080"/>
        <c:axId val="278023080"/>
      </c:barChart>
      <c:catAx>
        <c:axId val="343796080"/>
        <c:scaling>
          <c:orientation val="minMax"/>
        </c:scaling>
        <c:delete val="0"/>
        <c:axPos val="b"/>
        <c:numFmt formatCode="General" sourceLinked="1"/>
        <c:majorTickMark val="none"/>
        <c:minorTickMark val="none"/>
        <c:tickLblPos val="nextTo"/>
        <c:crossAx val="278023080"/>
        <c:crosses val="autoZero"/>
        <c:auto val="1"/>
        <c:lblAlgn val="ctr"/>
        <c:lblOffset val="100"/>
        <c:noMultiLvlLbl val="0"/>
      </c:catAx>
      <c:valAx>
        <c:axId val="278023080"/>
        <c:scaling>
          <c:orientation val="minMax"/>
        </c:scaling>
        <c:delete val="0"/>
        <c:axPos val="l"/>
        <c:majorGridlines/>
        <c:numFmt formatCode="0%" sourceLinked="1"/>
        <c:majorTickMark val="none"/>
        <c:minorTickMark val="none"/>
        <c:tickLblPos val="nextTo"/>
        <c:spPr>
          <a:ln w="9525">
            <a:noFill/>
          </a:ln>
        </c:spPr>
        <c:crossAx val="343796080"/>
        <c:crosses val="autoZero"/>
        <c:crossBetween val="between"/>
      </c:valAx>
    </c:plotArea>
    <c:legend>
      <c:legendPos val="b"/>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'egyszerű deskriptív'!$K$387</c:f>
              <c:strCache>
                <c:ptCount val="1"/>
                <c:pt idx="0">
                  <c:v>0-4 év</c:v>
                </c:pt>
              </c:strCache>
            </c:strRef>
          </c:tx>
          <c:invertIfNegative val="0"/>
          <c:cat>
            <c:strRef>
              <c:f>'egyszerű deskriptív'!$J$388:$J$403</c:f>
              <c:strCache>
                <c:ptCount val="16"/>
                <c:pt idx="0">
                  <c:v>Admin. és szolg.tám.</c:v>
                </c:pt>
                <c:pt idx="1">
                  <c:v>Egyéb szolgáltatás</c:v>
                </c:pt>
                <c:pt idx="2">
                  <c:v>Epítőipar</c:v>
                </c:pt>
                <c:pt idx="3">
                  <c:v>Feldolgozóipar</c:v>
                </c:pt>
                <c:pt idx="4">
                  <c:v>Humán-egészs.ügyi szolg.</c:v>
                </c:pt>
                <c:pt idx="5">
                  <c:v>Info-kommunikáció</c:v>
                </c:pt>
                <c:pt idx="6">
                  <c:v>Ingatlanügyek</c:v>
                </c:pt>
                <c:pt idx="7">
                  <c:v>Kereskedelem, gépjárműjav.</c:v>
                </c:pt>
                <c:pt idx="8">
                  <c:v>Mg., erdőgazd.</c:v>
                </c:pt>
                <c:pt idx="9">
                  <c:v>Művészet, szórakoztatás</c:v>
                </c:pt>
                <c:pt idx="10">
                  <c:v>Oktatás</c:v>
                </c:pt>
                <c:pt idx="11">
                  <c:v>Pü-i, biztosítási szolg.</c:v>
                </c:pt>
                <c:pt idx="12">
                  <c:v>Szakmai, tudományos tev.</c:v>
                </c:pt>
                <c:pt idx="13">
                  <c:v>Szálláshely-szolgáltatás</c:v>
                </c:pt>
                <c:pt idx="14">
                  <c:v>Szállítás, raktározás</c:v>
                </c:pt>
                <c:pt idx="15">
                  <c:v>Vízellátás, szennyvíz</c:v>
                </c:pt>
              </c:strCache>
            </c:strRef>
          </c:cat>
          <c:val>
            <c:numRef>
              <c:f>'egyszerű deskriptív'!$K$388:$K$403</c:f>
              <c:numCache>
                <c:formatCode>General</c:formatCode>
                <c:ptCount val="16"/>
                <c:pt idx="0">
                  <c:v>9</c:v>
                </c:pt>
                <c:pt idx="1">
                  <c:v>1</c:v>
                </c:pt>
                <c:pt idx="2">
                  <c:v>8</c:v>
                </c:pt>
                <c:pt idx="3">
                  <c:v>45</c:v>
                </c:pt>
                <c:pt idx="4">
                  <c:v>9</c:v>
                </c:pt>
                <c:pt idx="5">
                  <c:v>8</c:v>
                </c:pt>
                <c:pt idx="6">
                  <c:v>11</c:v>
                </c:pt>
                <c:pt idx="7">
                  <c:v>36</c:v>
                </c:pt>
                <c:pt idx="8">
                  <c:v>0</c:v>
                </c:pt>
                <c:pt idx="9">
                  <c:v>1</c:v>
                </c:pt>
                <c:pt idx="10">
                  <c:v>1</c:v>
                </c:pt>
                <c:pt idx="11">
                  <c:v>0</c:v>
                </c:pt>
                <c:pt idx="12">
                  <c:v>21</c:v>
                </c:pt>
                <c:pt idx="13">
                  <c:v>6</c:v>
                </c:pt>
                <c:pt idx="14">
                  <c:v>3</c:v>
                </c:pt>
                <c:pt idx="15">
                  <c:v>0</c:v>
                </c:pt>
              </c:numCache>
            </c:numRef>
          </c:val>
        </c:ser>
        <c:ser>
          <c:idx val="1"/>
          <c:order val="1"/>
          <c:tx>
            <c:strRef>
              <c:f>'egyszerű deskriptív'!$L$387</c:f>
              <c:strCache>
                <c:ptCount val="1"/>
                <c:pt idx="0">
                  <c:v>5-9 év</c:v>
                </c:pt>
              </c:strCache>
            </c:strRef>
          </c:tx>
          <c:invertIfNegative val="0"/>
          <c:cat>
            <c:strRef>
              <c:f>'egyszerű deskriptív'!$J$388:$J$403</c:f>
              <c:strCache>
                <c:ptCount val="16"/>
                <c:pt idx="0">
                  <c:v>Admin. és szolg.tám.</c:v>
                </c:pt>
                <c:pt idx="1">
                  <c:v>Egyéb szolgáltatás</c:v>
                </c:pt>
                <c:pt idx="2">
                  <c:v>Epítőipar</c:v>
                </c:pt>
                <c:pt idx="3">
                  <c:v>Feldolgozóipar</c:v>
                </c:pt>
                <c:pt idx="4">
                  <c:v>Humán-egészs.ügyi szolg.</c:v>
                </c:pt>
                <c:pt idx="5">
                  <c:v>Info-kommunikáció</c:v>
                </c:pt>
                <c:pt idx="6">
                  <c:v>Ingatlanügyek</c:v>
                </c:pt>
                <c:pt idx="7">
                  <c:v>Kereskedelem, gépjárműjav.</c:v>
                </c:pt>
                <c:pt idx="8">
                  <c:v>Mg., erdőgazd.</c:v>
                </c:pt>
                <c:pt idx="9">
                  <c:v>Művészet, szórakoztatás</c:v>
                </c:pt>
                <c:pt idx="10">
                  <c:v>Oktatás</c:v>
                </c:pt>
                <c:pt idx="11">
                  <c:v>Pü-i, biztosítási szolg.</c:v>
                </c:pt>
                <c:pt idx="12">
                  <c:v>Szakmai, tudományos tev.</c:v>
                </c:pt>
                <c:pt idx="13">
                  <c:v>Szálláshely-szolgáltatás</c:v>
                </c:pt>
                <c:pt idx="14">
                  <c:v>Szállítás, raktározás</c:v>
                </c:pt>
                <c:pt idx="15">
                  <c:v>Vízellátás, szennyvíz</c:v>
                </c:pt>
              </c:strCache>
            </c:strRef>
          </c:cat>
          <c:val>
            <c:numRef>
              <c:f>'egyszerű deskriptív'!$L$388:$L$403</c:f>
              <c:numCache>
                <c:formatCode>General</c:formatCode>
                <c:ptCount val="16"/>
                <c:pt idx="0">
                  <c:v>4</c:v>
                </c:pt>
                <c:pt idx="1">
                  <c:v>2</c:v>
                </c:pt>
                <c:pt idx="2">
                  <c:v>4</c:v>
                </c:pt>
                <c:pt idx="3">
                  <c:v>65</c:v>
                </c:pt>
                <c:pt idx="4">
                  <c:v>3</c:v>
                </c:pt>
                <c:pt idx="5">
                  <c:v>7</c:v>
                </c:pt>
                <c:pt idx="6">
                  <c:v>7</c:v>
                </c:pt>
                <c:pt idx="7">
                  <c:v>53</c:v>
                </c:pt>
                <c:pt idx="8">
                  <c:v>1</c:v>
                </c:pt>
                <c:pt idx="9">
                  <c:v>2</c:v>
                </c:pt>
                <c:pt idx="10">
                  <c:v>0</c:v>
                </c:pt>
                <c:pt idx="11">
                  <c:v>0</c:v>
                </c:pt>
                <c:pt idx="12">
                  <c:v>11</c:v>
                </c:pt>
                <c:pt idx="13">
                  <c:v>11</c:v>
                </c:pt>
                <c:pt idx="14">
                  <c:v>7</c:v>
                </c:pt>
                <c:pt idx="15">
                  <c:v>0</c:v>
                </c:pt>
              </c:numCache>
            </c:numRef>
          </c:val>
        </c:ser>
        <c:ser>
          <c:idx val="2"/>
          <c:order val="2"/>
          <c:tx>
            <c:strRef>
              <c:f>'egyszerű deskriptív'!$M$387</c:f>
              <c:strCache>
                <c:ptCount val="1"/>
                <c:pt idx="0">
                  <c:v>10-14 év</c:v>
                </c:pt>
              </c:strCache>
            </c:strRef>
          </c:tx>
          <c:invertIfNegative val="0"/>
          <c:cat>
            <c:strRef>
              <c:f>'egyszerű deskriptív'!$J$388:$J$403</c:f>
              <c:strCache>
                <c:ptCount val="16"/>
                <c:pt idx="0">
                  <c:v>Admin. és szolg.tám.</c:v>
                </c:pt>
                <c:pt idx="1">
                  <c:v>Egyéb szolgáltatás</c:v>
                </c:pt>
                <c:pt idx="2">
                  <c:v>Epítőipar</c:v>
                </c:pt>
                <c:pt idx="3">
                  <c:v>Feldolgozóipar</c:v>
                </c:pt>
                <c:pt idx="4">
                  <c:v>Humán-egészs.ügyi szolg.</c:v>
                </c:pt>
                <c:pt idx="5">
                  <c:v>Info-kommunikáció</c:v>
                </c:pt>
                <c:pt idx="6">
                  <c:v>Ingatlanügyek</c:v>
                </c:pt>
                <c:pt idx="7">
                  <c:v>Kereskedelem, gépjárműjav.</c:v>
                </c:pt>
                <c:pt idx="8">
                  <c:v>Mg., erdőgazd.</c:v>
                </c:pt>
                <c:pt idx="9">
                  <c:v>Művészet, szórakoztatás</c:v>
                </c:pt>
                <c:pt idx="10">
                  <c:v>Oktatás</c:v>
                </c:pt>
                <c:pt idx="11">
                  <c:v>Pü-i, biztosítási szolg.</c:v>
                </c:pt>
                <c:pt idx="12">
                  <c:v>Szakmai, tudományos tev.</c:v>
                </c:pt>
                <c:pt idx="13">
                  <c:v>Szálláshely-szolgáltatás</c:v>
                </c:pt>
                <c:pt idx="14">
                  <c:v>Szállítás, raktározás</c:v>
                </c:pt>
                <c:pt idx="15">
                  <c:v>Vízellátás, szennyvíz</c:v>
                </c:pt>
              </c:strCache>
            </c:strRef>
          </c:cat>
          <c:val>
            <c:numRef>
              <c:f>'egyszerű deskriptív'!$M$388:$M$403</c:f>
              <c:numCache>
                <c:formatCode>General</c:formatCode>
                <c:ptCount val="16"/>
                <c:pt idx="0">
                  <c:v>2</c:v>
                </c:pt>
                <c:pt idx="1">
                  <c:v>1</c:v>
                </c:pt>
                <c:pt idx="2">
                  <c:v>12</c:v>
                </c:pt>
                <c:pt idx="3">
                  <c:v>51</c:v>
                </c:pt>
                <c:pt idx="4">
                  <c:v>4</c:v>
                </c:pt>
                <c:pt idx="5">
                  <c:v>5</c:v>
                </c:pt>
                <c:pt idx="6">
                  <c:v>2</c:v>
                </c:pt>
                <c:pt idx="7">
                  <c:v>50</c:v>
                </c:pt>
                <c:pt idx="8">
                  <c:v>0</c:v>
                </c:pt>
                <c:pt idx="9">
                  <c:v>1</c:v>
                </c:pt>
                <c:pt idx="10">
                  <c:v>0</c:v>
                </c:pt>
                <c:pt idx="11">
                  <c:v>0</c:v>
                </c:pt>
                <c:pt idx="12">
                  <c:v>13</c:v>
                </c:pt>
                <c:pt idx="13">
                  <c:v>5</c:v>
                </c:pt>
                <c:pt idx="14">
                  <c:v>4</c:v>
                </c:pt>
                <c:pt idx="15">
                  <c:v>1</c:v>
                </c:pt>
              </c:numCache>
            </c:numRef>
          </c:val>
        </c:ser>
        <c:ser>
          <c:idx val="3"/>
          <c:order val="3"/>
          <c:tx>
            <c:strRef>
              <c:f>'egyszerű deskriptív'!$N$387</c:f>
              <c:strCache>
                <c:ptCount val="1"/>
                <c:pt idx="0">
                  <c:v>15+ év</c:v>
                </c:pt>
              </c:strCache>
            </c:strRef>
          </c:tx>
          <c:invertIfNegative val="0"/>
          <c:cat>
            <c:strRef>
              <c:f>'egyszerű deskriptív'!$J$388:$J$403</c:f>
              <c:strCache>
                <c:ptCount val="16"/>
                <c:pt idx="0">
                  <c:v>Admin. és szolg.tám.</c:v>
                </c:pt>
                <c:pt idx="1">
                  <c:v>Egyéb szolgáltatás</c:v>
                </c:pt>
                <c:pt idx="2">
                  <c:v>Epítőipar</c:v>
                </c:pt>
                <c:pt idx="3">
                  <c:v>Feldolgozóipar</c:v>
                </c:pt>
                <c:pt idx="4">
                  <c:v>Humán-egészs.ügyi szolg.</c:v>
                </c:pt>
                <c:pt idx="5">
                  <c:v>Info-kommunikáció</c:v>
                </c:pt>
                <c:pt idx="6">
                  <c:v>Ingatlanügyek</c:v>
                </c:pt>
                <c:pt idx="7">
                  <c:v>Kereskedelem, gépjárműjav.</c:v>
                </c:pt>
                <c:pt idx="8">
                  <c:v>Mg., erdőgazd.</c:v>
                </c:pt>
                <c:pt idx="9">
                  <c:v>Művészet, szórakoztatás</c:v>
                </c:pt>
                <c:pt idx="10">
                  <c:v>Oktatás</c:v>
                </c:pt>
                <c:pt idx="11">
                  <c:v>Pü-i, biztosítási szolg.</c:v>
                </c:pt>
                <c:pt idx="12">
                  <c:v>Szakmai, tudományos tev.</c:v>
                </c:pt>
                <c:pt idx="13">
                  <c:v>Szálláshely-szolgáltatás</c:v>
                </c:pt>
                <c:pt idx="14">
                  <c:v>Szállítás, raktározás</c:v>
                </c:pt>
                <c:pt idx="15">
                  <c:v>Vízellátás, szennyvíz</c:v>
                </c:pt>
              </c:strCache>
            </c:strRef>
          </c:cat>
          <c:val>
            <c:numRef>
              <c:f>'egyszerű deskriptív'!$N$388:$N$403</c:f>
              <c:numCache>
                <c:formatCode>General</c:formatCode>
                <c:ptCount val="16"/>
                <c:pt idx="0">
                  <c:v>5</c:v>
                </c:pt>
                <c:pt idx="1">
                  <c:v>0</c:v>
                </c:pt>
                <c:pt idx="2">
                  <c:v>12</c:v>
                </c:pt>
                <c:pt idx="3">
                  <c:v>38</c:v>
                </c:pt>
                <c:pt idx="4">
                  <c:v>1</c:v>
                </c:pt>
                <c:pt idx="5">
                  <c:v>2</c:v>
                </c:pt>
                <c:pt idx="6">
                  <c:v>2</c:v>
                </c:pt>
                <c:pt idx="7">
                  <c:v>31</c:v>
                </c:pt>
                <c:pt idx="8">
                  <c:v>0</c:v>
                </c:pt>
                <c:pt idx="9">
                  <c:v>0</c:v>
                </c:pt>
                <c:pt idx="10">
                  <c:v>0</c:v>
                </c:pt>
                <c:pt idx="11">
                  <c:v>3</c:v>
                </c:pt>
                <c:pt idx="12">
                  <c:v>3</c:v>
                </c:pt>
                <c:pt idx="13">
                  <c:v>2</c:v>
                </c:pt>
                <c:pt idx="14">
                  <c:v>3</c:v>
                </c:pt>
                <c:pt idx="15">
                  <c:v>1</c:v>
                </c:pt>
              </c:numCache>
            </c:numRef>
          </c:val>
        </c:ser>
        <c:dLbls>
          <c:showLegendKey val="0"/>
          <c:showVal val="0"/>
          <c:showCatName val="0"/>
          <c:showSerName val="0"/>
          <c:showPercent val="0"/>
          <c:showBubbleSize val="0"/>
        </c:dLbls>
        <c:gapWidth val="75"/>
        <c:overlap val="100"/>
        <c:axId val="278022688"/>
        <c:axId val="278023864"/>
      </c:barChart>
      <c:catAx>
        <c:axId val="278022688"/>
        <c:scaling>
          <c:orientation val="minMax"/>
        </c:scaling>
        <c:delete val="0"/>
        <c:axPos val="b"/>
        <c:numFmt formatCode="General" sourceLinked="1"/>
        <c:majorTickMark val="none"/>
        <c:minorTickMark val="none"/>
        <c:tickLblPos val="nextTo"/>
        <c:crossAx val="278023864"/>
        <c:crosses val="autoZero"/>
        <c:auto val="1"/>
        <c:lblAlgn val="ctr"/>
        <c:lblOffset val="100"/>
        <c:noMultiLvlLbl val="0"/>
      </c:catAx>
      <c:valAx>
        <c:axId val="278023864"/>
        <c:scaling>
          <c:orientation val="minMax"/>
        </c:scaling>
        <c:delete val="0"/>
        <c:axPos val="l"/>
        <c:majorGridlines/>
        <c:numFmt formatCode="0%" sourceLinked="1"/>
        <c:majorTickMark val="none"/>
        <c:minorTickMark val="none"/>
        <c:tickLblPos val="nextTo"/>
        <c:spPr>
          <a:ln w="9525">
            <a:noFill/>
          </a:ln>
        </c:spPr>
        <c:crossAx val="278022688"/>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numFmt formatCode="0.0%" sourceLinked="0"/>
            <c:spPr>
              <a:noFill/>
              <a:ln>
                <a:noFill/>
              </a:ln>
              <a:effectLst/>
            </c:spPr>
            <c:txPr>
              <a:bodyPr/>
              <a:lstStyle/>
              <a:p>
                <a:pPr>
                  <a:defRPr lang="en-US"/>
                </a:pPr>
                <a:endParaRPr lang="hu-HU"/>
              </a:p>
            </c:txPr>
            <c:showLegendKey val="0"/>
            <c:showVal val="0"/>
            <c:showCatName val="0"/>
            <c:showSerName val="0"/>
            <c:showPercent val="1"/>
            <c:showBubbleSize val="0"/>
            <c:showLeaderLines val="1"/>
            <c:extLst>
              <c:ext xmlns:c15="http://schemas.microsoft.com/office/drawing/2012/chart" uri="{CE6537A1-D6FC-4f65-9D91-7224C49458BB}"/>
            </c:extLst>
          </c:dLbls>
          <c:cat>
            <c:strRef>
              <c:f>'egyszerű deskriptív'!$E$108:$E$114</c:f>
              <c:strCache>
                <c:ptCount val="7"/>
                <c:pt idx="0">
                  <c:v>Közép-Magyarország</c:v>
                </c:pt>
                <c:pt idx="1">
                  <c:v>Közép-Dunántúl</c:v>
                </c:pt>
                <c:pt idx="2">
                  <c:v>Nyugat-Dunántúl</c:v>
                </c:pt>
                <c:pt idx="3">
                  <c:v>Dél-Dunántúl</c:v>
                </c:pt>
                <c:pt idx="4">
                  <c:v>Észak-Magyarország</c:v>
                </c:pt>
                <c:pt idx="5">
                  <c:v>Észak-Alföld</c:v>
                </c:pt>
                <c:pt idx="6">
                  <c:v>Dél-Alföld</c:v>
                </c:pt>
              </c:strCache>
            </c:strRef>
          </c:cat>
          <c:val>
            <c:numRef>
              <c:f>'egyszerű deskriptív'!$F$108:$F$114</c:f>
              <c:numCache>
                <c:formatCode>General</c:formatCode>
                <c:ptCount val="7"/>
                <c:pt idx="0">
                  <c:v>63968</c:v>
                </c:pt>
                <c:pt idx="1">
                  <c:v>11985</c:v>
                </c:pt>
                <c:pt idx="2">
                  <c:v>11415</c:v>
                </c:pt>
                <c:pt idx="3">
                  <c:v>10028</c:v>
                </c:pt>
                <c:pt idx="4">
                  <c:v>9323</c:v>
                </c:pt>
                <c:pt idx="5">
                  <c:v>12631</c:v>
                </c:pt>
                <c:pt idx="6">
                  <c:v>13178</c:v>
                </c:pt>
              </c:numCache>
            </c:numRef>
          </c:val>
        </c:ser>
        <c:dLbls>
          <c:showLegendKey val="0"/>
          <c:showVal val="0"/>
          <c:showCatName val="0"/>
          <c:showSerName val="0"/>
          <c:showPercent val="1"/>
          <c:showBubbleSize val="0"/>
          <c:showLeaderLines val="1"/>
        </c:dLbls>
        <c:firstSliceAng val="0"/>
      </c:pieChart>
    </c:plotArea>
    <c:legend>
      <c:legendPos val="r"/>
      <c:overlay val="0"/>
      <c:txPr>
        <a:bodyPr/>
        <a:lstStyle/>
        <a:p>
          <a:pPr>
            <a:defRPr lang="en-US"/>
          </a:pPr>
          <a:endParaRPr lang="hu-HU"/>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bg1">
                  <a:lumMod val="75000"/>
                </a:schemeClr>
              </a:solidFill>
            </c:spPr>
          </c:dPt>
          <c:dPt>
            <c:idx val="1"/>
            <c:bubble3D val="0"/>
            <c:spPr>
              <a:solidFill>
                <a:srgbClr val="B10000"/>
              </a:solidFill>
            </c:spPr>
          </c:dPt>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'egyszerű deskriptív'!$J$7:$J$8</c:f>
              <c:strCache>
                <c:ptCount val="2"/>
                <c:pt idx="0">
                  <c:v>Nem LHH</c:v>
                </c:pt>
                <c:pt idx="1">
                  <c:v>LHH</c:v>
                </c:pt>
              </c:strCache>
            </c:strRef>
          </c:cat>
          <c:val>
            <c:numRef>
              <c:f>'egyszerű deskriptív'!$K$7:$K$8</c:f>
              <c:numCache>
                <c:formatCode>General</c:formatCode>
                <c:ptCount val="2"/>
                <c:pt idx="0">
                  <c:v>125954</c:v>
                </c:pt>
                <c:pt idx="1">
                  <c:v>6574</c:v>
                </c:pt>
              </c:numCache>
            </c:numRef>
          </c:val>
        </c:ser>
        <c:dLbls>
          <c:showLegendKey val="0"/>
          <c:showVal val="0"/>
          <c:showCatName val="0"/>
          <c:showSerName val="0"/>
          <c:showPercent val="1"/>
          <c:showBubbleSize val="0"/>
          <c:showLeaderLines val="0"/>
        </c:dLbls>
        <c:firstSliceAng val="0"/>
      </c:pieChart>
    </c:plotArea>
    <c:legend>
      <c:legendPos val="t"/>
      <c:layout>
        <c:manualLayout>
          <c:xMode val="edge"/>
          <c:yMode val="edge"/>
          <c:x val="0.694880754153688"/>
          <c:y val="0.37461883639554699"/>
          <c:w val="0.261608766942936"/>
          <c:h val="0.15673828425064601"/>
        </c:manualLayout>
      </c:layout>
      <c:overlay val="0"/>
      <c:txPr>
        <a:bodyPr/>
        <a:lstStyle/>
        <a:p>
          <a:pPr>
            <a:defRPr lang="en-US"/>
          </a:pPr>
          <a:endParaRPr lang="hu-HU"/>
        </a:p>
      </c:txPr>
    </c:legend>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v>Vállalatok száma</c:v>
          </c:tx>
          <c:spPr>
            <a:solidFill>
              <a:srgbClr val="B10000"/>
            </a:solidFill>
          </c:spPr>
          <c:invertIfNegative val="0"/>
          <c:cat>
            <c:strRef>
              <c:f>'egyszerű deskriptív'!$A$8:$A$25</c:f>
              <c:strCache>
                <c:ptCount val="18"/>
                <c:pt idx="0">
                  <c:v>Adminisztratív és szolg.tám.</c:v>
                </c:pt>
                <c:pt idx="1">
                  <c:v>Bányászat, kőfejtés</c:v>
                </c:pt>
                <c:pt idx="2">
                  <c:v>Építőipar</c:v>
                </c:pt>
                <c:pt idx="3">
                  <c:v>Feldolgozóipar</c:v>
                </c:pt>
                <c:pt idx="4">
                  <c:v>Humán-egészsügyi szolg.</c:v>
                </c:pt>
                <c:pt idx="5">
                  <c:v>Info-kommunikáció</c:v>
                </c:pt>
                <c:pt idx="6">
                  <c:v>Ingatlanügyek</c:v>
                </c:pt>
                <c:pt idx="7">
                  <c:v>Kereskedelem, gépjárműjav.</c:v>
                </c:pt>
                <c:pt idx="8">
                  <c:v>Közigazgatás, védelem</c:v>
                </c:pt>
                <c:pt idx="9">
                  <c:v>Mg., erdőgazd.</c:v>
                </c:pt>
                <c:pt idx="10">
                  <c:v>Művészet, szórakoztatás</c:v>
                </c:pt>
                <c:pt idx="11">
                  <c:v>Oktatás</c:v>
                </c:pt>
                <c:pt idx="12">
                  <c:v>Pü-i, biztosítási szolg.</c:v>
                </c:pt>
                <c:pt idx="13">
                  <c:v>Szakmai, tudományos tev.</c:v>
                </c:pt>
                <c:pt idx="14">
                  <c:v>Szálláshely-szolgáltatás</c:v>
                </c:pt>
                <c:pt idx="15">
                  <c:v>Szállítás, raktározás</c:v>
                </c:pt>
                <c:pt idx="16">
                  <c:v>Villamosenergia- gáz</c:v>
                </c:pt>
                <c:pt idx="17">
                  <c:v>Vízellátás, szennyvíz</c:v>
                </c:pt>
              </c:strCache>
            </c:strRef>
          </c:cat>
          <c:val>
            <c:numRef>
              <c:f>'egyszerű deskriptív'!$B$8:$B$25</c:f>
              <c:numCache>
                <c:formatCode>General</c:formatCode>
                <c:ptCount val="18"/>
                <c:pt idx="0">
                  <c:v>5308</c:v>
                </c:pt>
                <c:pt idx="1">
                  <c:v>159</c:v>
                </c:pt>
                <c:pt idx="2">
                  <c:v>13053</c:v>
                </c:pt>
                <c:pt idx="3">
                  <c:v>14678</c:v>
                </c:pt>
                <c:pt idx="4">
                  <c:v>7073</c:v>
                </c:pt>
                <c:pt idx="5">
                  <c:v>5748</c:v>
                </c:pt>
                <c:pt idx="6">
                  <c:v>7790</c:v>
                </c:pt>
                <c:pt idx="7">
                  <c:v>36117</c:v>
                </c:pt>
                <c:pt idx="8">
                  <c:v>28</c:v>
                </c:pt>
                <c:pt idx="9">
                  <c:v>4365</c:v>
                </c:pt>
                <c:pt idx="10">
                  <c:v>2615</c:v>
                </c:pt>
                <c:pt idx="11">
                  <c:v>2031</c:v>
                </c:pt>
                <c:pt idx="12">
                  <c:v>2223</c:v>
                </c:pt>
                <c:pt idx="13">
                  <c:v>16515</c:v>
                </c:pt>
                <c:pt idx="14">
                  <c:v>6279</c:v>
                </c:pt>
                <c:pt idx="15">
                  <c:v>4942</c:v>
                </c:pt>
                <c:pt idx="16">
                  <c:v>157</c:v>
                </c:pt>
                <c:pt idx="17">
                  <c:v>662</c:v>
                </c:pt>
              </c:numCache>
            </c:numRef>
          </c:val>
        </c:ser>
        <c:dLbls>
          <c:showLegendKey val="0"/>
          <c:showVal val="0"/>
          <c:showCatName val="0"/>
          <c:showSerName val="0"/>
          <c:showPercent val="0"/>
          <c:showBubbleSize val="0"/>
        </c:dLbls>
        <c:gapWidth val="150"/>
        <c:axId val="381809248"/>
        <c:axId val="381809640"/>
      </c:barChart>
      <c:catAx>
        <c:axId val="381809248"/>
        <c:scaling>
          <c:orientation val="minMax"/>
        </c:scaling>
        <c:delete val="0"/>
        <c:axPos val="b"/>
        <c:title>
          <c:tx>
            <c:rich>
              <a:bodyPr/>
              <a:lstStyle/>
              <a:p>
                <a:pPr>
                  <a:defRPr lang="en-US"/>
                </a:pPr>
                <a:r>
                  <a:rPr lang="hu-HU"/>
                  <a:t>Iparág</a:t>
                </a:r>
              </a:p>
            </c:rich>
          </c:tx>
          <c:overlay val="0"/>
        </c:title>
        <c:numFmt formatCode="General" sourceLinked="1"/>
        <c:majorTickMark val="out"/>
        <c:minorTickMark val="none"/>
        <c:tickLblPos val="nextTo"/>
        <c:txPr>
          <a:bodyPr/>
          <a:lstStyle/>
          <a:p>
            <a:pPr>
              <a:defRPr lang="en-US"/>
            </a:pPr>
            <a:endParaRPr lang="hu-HU"/>
          </a:p>
        </c:txPr>
        <c:crossAx val="381809640"/>
        <c:crosses val="autoZero"/>
        <c:auto val="1"/>
        <c:lblAlgn val="ctr"/>
        <c:lblOffset val="100"/>
        <c:noMultiLvlLbl val="0"/>
      </c:catAx>
      <c:valAx>
        <c:axId val="381809640"/>
        <c:scaling>
          <c:orientation val="minMax"/>
        </c:scaling>
        <c:delete val="0"/>
        <c:axPos val="l"/>
        <c:majorGridlines/>
        <c:title>
          <c:tx>
            <c:rich>
              <a:bodyPr rot="-5400000" vert="horz"/>
              <a:lstStyle/>
              <a:p>
                <a:pPr>
                  <a:defRPr lang="en-US"/>
                </a:pPr>
                <a:r>
                  <a:rPr lang="hu-HU"/>
                  <a:t>Vállalatok száma</a:t>
                </a:r>
              </a:p>
            </c:rich>
          </c:tx>
          <c:overlay val="0"/>
        </c:title>
        <c:numFmt formatCode="General" sourceLinked="1"/>
        <c:majorTickMark val="out"/>
        <c:minorTickMark val="none"/>
        <c:tickLblPos val="nextTo"/>
        <c:txPr>
          <a:bodyPr/>
          <a:lstStyle/>
          <a:p>
            <a:pPr>
              <a:defRPr lang="en-US"/>
            </a:pPr>
            <a:endParaRPr lang="hu-HU"/>
          </a:p>
        </c:txPr>
        <c:crossAx val="38180924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'exportáló vállalatok'!$A$3</c:f>
              <c:strCache>
                <c:ptCount val="1"/>
                <c:pt idx="0">
                  <c:v>Export-orientált vállalkozások (export/árbev&gt;3%)</c:v>
                </c:pt>
              </c:strCache>
            </c:strRef>
          </c:tx>
          <c:spPr>
            <a:solidFill>
              <a:schemeClr val="bg1">
                <a:lumMod val="75000"/>
              </a:schemeClr>
            </a:solidFill>
          </c:spPr>
          <c:invertIfNegative val="0"/>
          <c:cat>
            <c:strRef>
              <c:f>'exportáló vállalatok'!$A$4:$A$21</c:f>
              <c:strCache>
                <c:ptCount val="18"/>
                <c:pt idx="0">
                  <c:v>Admin. és szolg.tám.</c:v>
                </c:pt>
                <c:pt idx="1">
                  <c:v>Bányászat, kőfejtés</c:v>
                </c:pt>
                <c:pt idx="2">
                  <c:v>Építőipar</c:v>
                </c:pt>
                <c:pt idx="3">
                  <c:v>Feldolgozóipar</c:v>
                </c:pt>
                <c:pt idx="4">
                  <c:v>Humán-egészsügyi szolg.</c:v>
                </c:pt>
                <c:pt idx="5">
                  <c:v>Info-kommunikáció</c:v>
                </c:pt>
                <c:pt idx="6">
                  <c:v>Ingatlanügyek</c:v>
                </c:pt>
                <c:pt idx="7">
                  <c:v>Kereskedelem, gépjárműjav.</c:v>
                </c:pt>
                <c:pt idx="8">
                  <c:v>Közigazgatás, védelem</c:v>
                </c:pt>
                <c:pt idx="9">
                  <c:v>Mg., erdőgazd.</c:v>
                </c:pt>
                <c:pt idx="10">
                  <c:v>Művészet, szórakoztatás</c:v>
                </c:pt>
                <c:pt idx="11">
                  <c:v>Oktatás</c:v>
                </c:pt>
                <c:pt idx="12">
                  <c:v>Pü-i, biztosítási szolg.</c:v>
                </c:pt>
                <c:pt idx="13">
                  <c:v>Szakmai, tudományos tev.</c:v>
                </c:pt>
                <c:pt idx="14">
                  <c:v>Szálláshely-szolgáltatás</c:v>
                </c:pt>
                <c:pt idx="15">
                  <c:v>Szállítás, raktározás</c:v>
                </c:pt>
                <c:pt idx="16">
                  <c:v>Villamosenergia- gáz</c:v>
                </c:pt>
                <c:pt idx="17">
                  <c:v>Vízellátás, szennyvíz</c:v>
                </c:pt>
              </c:strCache>
            </c:strRef>
          </c:cat>
          <c:val>
            <c:numRef>
              <c:f>'exportáló vállalatok'!$B$4:$B$21</c:f>
              <c:numCache>
                <c:formatCode>General</c:formatCode>
                <c:ptCount val="18"/>
                <c:pt idx="0">
                  <c:v>700</c:v>
                </c:pt>
                <c:pt idx="1">
                  <c:v>41</c:v>
                </c:pt>
                <c:pt idx="2">
                  <c:v>1451</c:v>
                </c:pt>
                <c:pt idx="3">
                  <c:v>2885</c:v>
                </c:pt>
                <c:pt idx="4">
                  <c:v>217</c:v>
                </c:pt>
                <c:pt idx="5">
                  <c:v>928</c:v>
                </c:pt>
                <c:pt idx="6">
                  <c:v>1068</c:v>
                </c:pt>
                <c:pt idx="7">
                  <c:v>5556</c:v>
                </c:pt>
                <c:pt idx="8">
                  <c:v>1</c:v>
                </c:pt>
                <c:pt idx="9">
                  <c:v>617</c:v>
                </c:pt>
                <c:pt idx="10">
                  <c:v>225</c:v>
                </c:pt>
                <c:pt idx="11">
                  <c:v>174</c:v>
                </c:pt>
                <c:pt idx="12">
                  <c:v>303</c:v>
                </c:pt>
                <c:pt idx="13">
                  <c:v>2100</c:v>
                </c:pt>
                <c:pt idx="14">
                  <c:v>574</c:v>
                </c:pt>
                <c:pt idx="15">
                  <c:v>1258</c:v>
                </c:pt>
                <c:pt idx="16">
                  <c:v>43</c:v>
                </c:pt>
                <c:pt idx="17">
                  <c:v>50</c:v>
                </c:pt>
              </c:numCache>
            </c:numRef>
          </c:val>
        </c:ser>
        <c:ser>
          <c:idx val="1"/>
          <c:order val="1"/>
          <c:tx>
            <c:strRef>
              <c:f>'exportáló vállalatok'!$C$3</c:f>
              <c:strCache>
                <c:ptCount val="1"/>
                <c:pt idx="0">
                  <c:v>Összes vállalat </c:v>
                </c:pt>
              </c:strCache>
            </c:strRef>
          </c:tx>
          <c:spPr>
            <a:solidFill>
              <a:srgbClr val="B10000"/>
            </a:solidFill>
          </c:spPr>
          <c:invertIfNegative val="0"/>
          <c:cat>
            <c:strRef>
              <c:f>'exportáló vállalatok'!$A$4:$A$21</c:f>
              <c:strCache>
                <c:ptCount val="18"/>
                <c:pt idx="0">
                  <c:v>Admin. és szolg.tám.</c:v>
                </c:pt>
                <c:pt idx="1">
                  <c:v>Bányászat, kőfejtés</c:v>
                </c:pt>
                <c:pt idx="2">
                  <c:v>Építőipar</c:v>
                </c:pt>
                <c:pt idx="3">
                  <c:v>Feldolgozóipar</c:v>
                </c:pt>
                <c:pt idx="4">
                  <c:v>Humán-egészsügyi szolg.</c:v>
                </c:pt>
                <c:pt idx="5">
                  <c:v>Info-kommunikáció</c:v>
                </c:pt>
                <c:pt idx="6">
                  <c:v>Ingatlanügyek</c:v>
                </c:pt>
                <c:pt idx="7">
                  <c:v>Kereskedelem, gépjárműjav.</c:v>
                </c:pt>
                <c:pt idx="8">
                  <c:v>Közigazgatás, védelem</c:v>
                </c:pt>
                <c:pt idx="9">
                  <c:v>Mg., erdőgazd.</c:v>
                </c:pt>
                <c:pt idx="10">
                  <c:v>Művészet, szórakoztatás</c:v>
                </c:pt>
                <c:pt idx="11">
                  <c:v>Oktatás</c:v>
                </c:pt>
                <c:pt idx="12">
                  <c:v>Pü-i, biztosítási szolg.</c:v>
                </c:pt>
                <c:pt idx="13">
                  <c:v>Szakmai, tudományos tev.</c:v>
                </c:pt>
                <c:pt idx="14">
                  <c:v>Szálláshely-szolgáltatás</c:v>
                </c:pt>
                <c:pt idx="15">
                  <c:v>Szállítás, raktározás</c:v>
                </c:pt>
                <c:pt idx="16">
                  <c:v>Villamosenergia- gáz</c:v>
                </c:pt>
                <c:pt idx="17">
                  <c:v>Vízellátás, szennyvíz</c:v>
                </c:pt>
              </c:strCache>
            </c:strRef>
          </c:cat>
          <c:val>
            <c:numRef>
              <c:f>'exportáló vállalatok'!$C$4:$C$21</c:f>
              <c:numCache>
                <c:formatCode>General</c:formatCode>
                <c:ptCount val="18"/>
                <c:pt idx="0">
                  <c:v>5383</c:v>
                </c:pt>
                <c:pt idx="1">
                  <c:v>157</c:v>
                </c:pt>
                <c:pt idx="2">
                  <c:v>12971</c:v>
                </c:pt>
                <c:pt idx="3">
                  <c:v>14561</c:v>
                </c:pt>
                <c:pt idx="4">
                  <c:v>7048</c:v>
                </c:pt>
                <c:pt idx="5">
                  <c:v>5719</c:v>
                </c:pt>
                <c:pt idx="6">
                  <c:v>7834</c:v>
                </c:pt>
                <c:pt idx="7">
                  <c:v>35972</c:v>
                </c:pt>
                <c:pt idx="8">
                  <c:v>25</c:v>
                </c:pt>
                <c:pt idx="9">
                  <c:v>4305</c:v>
                </c:pt>
                <c:pt idx="10">
                  <c:v>2648</c:v>
                </c:pt>
                <c:pt idx="11">
                  <c:v>2072</c:v>
                </c:pt>
                <c:pt idx="12">
                  <c:v>2291</c:v>
                </c:pt>
                <c:pt idx="13">
                  <c:v>16694</c:v>
                </c:pt>
                <c:pt idx="14">
                  <c:v>6256</c:v>
                </c:pt>
                <c:pt idx="15">
                  <c:v>4963</c:v>
                </c:pt>
                <c:pt idx="16">
                  <c:v>155</c:v>
                </c:pt>
                <c:pt idx="17">
                  <c:v>665</c:v>
                </c:pt>
              </c:numCache>
            </c:numRef>
          </c:val>
        </c:ser>
        <c:dLbls>
          <c:showLegendKey val="0"/>
          <c:showVal val="0"/>
          <c:showCatName val="0"/>
          <c:showSerName val="0"/>
          <c:showPercent val="0"/>
          <c:showBubbleSize val="0"/>
        </c:dLbls>
        <c:gapWidth val="150"/>
        <c:overlap val="100"/>
        <c:axId val="418050688"/>
        <c:axId val="418049904"/>
      </c:barChart>
      <c:catAx>
        <c:axId val="418050688"/>
        <c:scaling>
          <c:orientation val="minMax"/>
        </c:scaling>
        <c:delete val="0"/>
        <c:axPos val="b"/>
        <c:numFmt formatCode="General" sourceLinked="0"/>
        <c:majorTickMark val="out"/>
        <c:minorTickMark val="none"/>
        <c:tickLblPos val="nextTo"/>
        <c:txPr>
          <a:bodyPr/>
          <a:lstStyle/>
          <a:p>
            <a:pPr>
              <a:defRPr lang="en-US"/>
            </a:pPr>
            <a:endParaRPr lang="hu-HU"/>
          </a:p>
        </c:txPr>
        <c:crossAx val="418049904"/>
        <c:crosses val="autoZero"/>
        <c:auto val="1"/>
        <c:lblAlgn val="ctr"/>
        <c:lblOffset val="100"/>
        <c:noMultiLvlLbl val="0"/>
      </c:catAx>
      <c:valAx>
        <c:axId val="418049904"/>
        <c:scaling>
          <c:orientation val="minMax"/>
        </c:scaling>
        <c:delete val="0"/>
        <c:axPos val="l"/>
        <c:majorGridlines/>
        <c:numFmt formatCode="General" sourceLinked="1"/>
        <c:majorTickMark val="out"/>
        <c:minorTickMark val="none"/>
        <c:tickLblPos val="nextTo"/>
        <c:txPr>
          <a:bodyPr/>
          <a:lstStyle/>
          <a:p>
            <a:pPr>
              <a:defRPr lang="en-US"/>
            </a:pPr>
            <a:endParaRPr lang="hu-HU"/>
          </a:p>
        </c:txPr>
        <c:crossAx val="418050688"/>
        <c:crosses val="autoZero"/>
        <c:crossBetween val="between"/>
      </c:valAx>
    </c:plotArea>
    <c:legend>
      <c:legendPos val="b"/>
      <c:overlay val="0"/>
      <c:txPr>
        <a:bodyPr/>
        <a:lstStyle/>
        <a:p>
          <a:pPr>
            <a:defRPr lang="en-US"/>
          </a:pPr>
          <a:endParaRPr lang="hu-HU"/>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B10000"/>
              </a:solidFill>
            </c:spPr>
          </c:dPt>
          <c:dPt>
            <c:idx val="1"/>
            <c:bubble3D val="0"/>
            <c:spPr>
              <a:solidFill>
                <a:schemeClr val="bg1">
                  <a:lumMod val="75000"/>
                </a:schemeClr>
              </a:solidFill>
            </c:spPr>
          </c:dPt>
          <c:dPt>
            <c:idx val="2"/>
            <c:bubble3D val="0"/>
            <c:spPr>
              <a:noFill/>
            </c:spPr>
          </c:dPt>
          <c:dLbls>
            <c:numFmt formatCode="0.0%" sourceLinked="0"/>
            <c:spPr>
              <a:noFill/>
              <a:ln>
                <a:noFill/>
              </a:ln>
              <a:effectLst/>
            </c:spPr>
            <c:txPr>
              <a:bodyPr/>
              <a:lstStyle/>
              <a:p>
                <a:pPr>
                  <a:defRPr lang="en-US"/>
                </a:pPr>
                <a:endParaRPr lang="hu-HU"/>
              </a:p>
            </c:txPr>
            <c:showLegendKey val="0"/>
            <c:showVal val="0"/>
            <c:showCatName val="0"/>
            <c:showSerName val="0"/>
            <c:showPercent val="1"/>
            <c:showBubbleSize val="0"/>
            <c:showLeaderLines val="1"/>
            <c:extLst>
              <c:ext xmlns:c15="http://schemas.microsoft.com/office/drawing/2012/chart" uri="{CE6537A1-D6FC-4f65-9D91-7224C49458BB}"/>
            </c:extLst>
          </c:dLbls>
          <c:cat>
            <c:strRef>
              <c:f>'egyszerű deskriptív'!$A$86:$A$88</c:f>
              <c:strCache>
                <c:ptCount val="3"/>
                <c:pt idx="0">
                  <c:v>0-5</c:v>
                </c:pt>
                <c:pt idx="1">
                  <c:v>6-19</c:v>
                </c:pt>
                <c:pt idx="2">
                  <c:v>20-99</c:v>
                </c:pt>
              </c:strCache>
            </c:strRef>
          </c:cat>
          <c:val>
            <c:numRef>
              <c:f>'egyszerű deskriptív'!$B$86:$B$88</c:f>
              <c:numCache>
                <c:formatCode>General</c:formatCode>
                <c:ptCount val="3"/>
                <c:pt idx="0">
                  <c:v>105078</c:v>
                </c:pt>
                <c:pt idx="1">
                  <c:v>22022</c:v>
                </c:pt>
                <c:pt idx="2">
                  <c:v>5428</c:v>
                </c:pt>
              </c:numCache>
            </c:numRef>
          </c:val>
        </c:ser>
        <c:dLbls>
          <c:showLegendKey val="0"/>
          <c:showVal val="0"/>
          <c:showCatName val="0"/>
          <c:showSerName val="0"/>
          <c:showPercent val="1"/>
          <c:showBubbleSize val="0"/>
          <c:showLeaderLines val="1"/>
        </c:dLbls>
        <c:firstSliceAng val="0"/>
      </c:pieChart>
    </c:plotArea>
    <c:legend>
      <c:legendPos val="t"/>
      <c:layout>
        <c:manualLayout>
          <c:xMode val="edge"/>
          <c:yMode val="edge"/>
          <c:x val="0.64060267038716801"/>
          <c:y val="0.21072309547249499"/>
          <c:w val="0.28722259570891701"/>
          <c:h val="0.15673828425064601"/>
        </c:manualLayout>
      </c:layout>
      <c:overlay val="0"/>
      <c:txPr>
        <a:bodyPr/>
        <a:lstStyle/>
        <a:p>
          <a:pPr>
            <a:defRPr lang="en-US"/>
          </a:pPr>
          <a:endParaRPr lang="hu-HU"/>
        </a:p>
      </c:txPr>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percentStacked"/>
        <c:varyColors val="0"/>
        <c:ser>
          <c:idx val="0"/>
          <c:order val="0"/>
          <c:tx>
            <c:strRef>
              <c:f>'egyszerű deskriptív'!$K$32</c:f>
              <c:strCache>
                <c:ptCount val="1"/>
                <c:pt idx="0">
                  <c:v>0-4 év</c:v>
                </c:pt>
              </c:strCache>
            </c:strRef>
          </c:tx>
          <c:invertIfNegative val="0"/>
          <c:cat>
            <c:strRef>
              <c:f>'egyszerű deskriptív'!$J$33:$J$50</c:f>
              <c:strCache>
                <c:ptCount val="18"/>
                <c:pt idx="0">
                  <c:v>Admin. és szolg.tám.</c:v>
                </c:pt>
                <c:pt idx="1">
                  <c:v>Bányászat, kőfejtés</c:v>
                </c:pt>
                <c:pt idx="2">
                  <c:v>Építőipar</c:v>
                </c:pt>
                <c:pt idx="3">
                  <c:v>Feldolgozóipar</c:v>
                </c:pt>
                <c:pt idx="4">
                  <c:v>Humán-egészs.ügyi szolg.</c:v>
                </c:pt>
                <c:pt idx="5">
                  <c:v>Info-kommunikáció</c:v>
                </c:pt>
                <c:pt idx="6">
                  <c:v>Ingatlanügyek</c:v>
                </c:pt>
                <c:pt idx="7">
                  <c:v>Kereskedelem, gépjárműjav.</c:v>
                </c:pt>
                <c:pt idx="8">
                  <c:v>Közigazgatás, védelem</c:v>
                </c:pt>
                <c:pt idx="9">
                  <c:v>Mg., erdőgazd.</c:v>
                </c:pt>
                <c:pt idx="10">
                  <c:v>Művészet, szórakoztatás</c:v>
                </c:pt>
                <c:pt idx="11">
                  <c:v>Oktatás</c:v>
                </c:pt>
                <c:pt idx="12">
                  <c:v>Pü-i, biztosítási szolg.</c:v>
                </c:pt>
                <c:pt idx="13">
                  <c:v>Szakmai, tudományos tev.</c:v>
                </c:pt>
                <c:pt idx="14">
                  <c:v>Szálláshely-szolgáltatás</c:v>
                </c:pt>
                <c:pt idx="15">
                  <c:v>Szállítás, raktározás</c:v>
                </c:pt>
                <c:pt idx="16">
                  <c:v>Villamosenergia- gáz</c:v>
                </c:pt>
                <c:pt idx="17">
                  <c:v>Vízellátás, szennyvíz</c:v>
                </c:pt>
              </c:strCache>
            </c:strRef>
          </c:cat>
          <c:val>
            <c:numRef>
              <c:f>'egyszerű deskriptív'!$K$33:$K$50</c:f>
              <c:numCache>
                <c:formatCode>General</c:formatCode>
                <c:ptCount val="18"/>
                <c:pt idx="0">
                  <c:v>1.62</c:v>
                </c:pt>
                <c:pt idx="1">
                  <c:v>0.03</c:v>
                </c:pt>
                <c:pt idx="2">
                  <c:v>3.98</c:v>
                </c:pt>
                <c:pt idx="3">
                  <c:v>2.87</c:v>
                </c:pt>
                <c:pt idx="4">
                  <c:v>1.28</c:v>
                </c:pt>
                <c:pt idx="5">
                  <c:v>1.63</c:v>
                </c:pt>
                <c:pt idx="6">
                  <c:v>2.1800000000000002</c:v>
                </c:pt>
                <c:pt idx="7">
                  <c:v>8.69</c:v>
                </c:pt>
                <c:pt idx="8">
                  <c:v>0.01</c:v>
                </c:pt>
                <c:pt idx="9">
                  <c:v>0.69</c:v>
                </c:pt>
                <c:pt idx="10">
                  <c:v>0.56999999999999995</c:v>
                </c:pt>
                <c:pt idx="11">
                  <c:v>0.56000000000000005</c:v>
                </c:pt>
                <c:pt idx="12">
                  <c:v>0.67000000000000104</c:v>
                </c:pt>
                <c:pt idx="13">
                  <c:v>4.22</c:v>
                </c:pt>
                <c:pt idx="14">
                  <c:v>1.59</c:v>
                </c:pt>
                <c:pt idx="15">
                  <c:v>1.4</c:v>
                </c:pt>
                <c:pt idx="16">
                  <c:v>0.06</c:v>
                </c:pt>
                <c:pt idx="17">
                  <c:v>0.16</c:v>
                </c:pt>
              </c:numCache>
            </c:numRef>
          </c:val>
        </c:ser>
        <c:ser>
          <c:idx val="1"/>
          <c:order val="1"/>
          <c:tx>
            <c:strRef>
              <c:f>'egyszerű deskriptív'!$L$32</c:f>
              <c:strCache>
                <c:ptCount val="1"/>
                <c:pt idx="0">
                  <c:v>5-9 év</c:v>
                </c:pt>
              </c:strCache>
            </c:strRef>
          </c:tx>
          <c:invertIfNegative val="0"/>
          <c:cat>
            <c:strRef>
              <c:f>'egyszerű deskriptív'!$J$33:$J$50</c:f>
              <c:strCache>
                <c:ptCount val="18"/>
                <c:pt idx="0">
                  <c:v>Admin. és szolg.tám.</c:v>
                </c:pt>
                <c:pt idx="1">
                  <c:v>Bányászat, kőfejtés</c:v>
                </c:pt>
                <c:pt idx="2">
                  <c:v>Építőipar</c:v>
                </c:pt>
                <c:pt idx="3">
                  <c:v>Feldolgozóipar</c:v>
                </c:pt>
                <c:pt idx="4">
                  <c:v>Humán-egészs.ügyi szolg.</c:v>
                </c:pt>
                <c:pt idx="5">
                  <c:v>Info-kommunikáció</c:v>
                </c:pt>
                <c:pt idx="6">
                  <c:v>Ingatlanügyek</c:v>
                </c:pt>
                <c:pt idx="7">
                  <c:v>Kereskedelem, gépjárműjav.</c:v>
                </c:pt>
                <c:pt idx="8">
                  <c:v>Közigazgatás, védelem</c:v>
                </c:pt>
                <c:pt idx="9">
                  <c:v>Mg., erdőgazd.</c:v>
                </c:pt>
                <c:pt idx="10">
                  <c:v>Művészet, szórakoztatás</c:v>
                </c:pt>
                <c:pt idx="11">
                  <c:v>Oktatás</c:v>
                </c:pt>
                <c:pt idx="12">
                  <c:v>Pü-i, biztosítási szolg.</c:v>
                </c:pt>
                <c:pt idx="13">
                  <c:v>Szakmai, tudományos tev.</c:v>
                </c:pt>
                <c:pt idx="14">
                  <c:v>Szálláshely-szolgáltatás</c:v>
                </c:pt>
                <c:pt idx="15">
                  <c:v>Szállítás, raktározás</c:v>
                </c:pt>
                <c:pt idx="16">
                  <c:v>Villamosenergia- gáz</c:v>
                </c:pt>
                <c:pt idx="17">
                  <c:v>Vízellátás, szennyvíz</c:v>
                </c:pt>
              </c:strCache>
            </c:strRef>
          </c:cat>
          <c:val>
            <c:numRef>
              <c:f>'egyszerű deskriptív'!$L$33:$L$50</c:f>
              <c:numCache>
                <c:formatCode>General</c:formatCode>
                <c:ptCount val="18"/>
                <c:pt idx="0">
                  <c:v>1.27</c:v>
                </c:pt>
                <c:pt idx="1">
                  <c:v>0.04</c:v>
                </c:pt>
                <c:pt idx="2">
                  <c:v>3</c:v>
                </c:pt>
                <c:pt idx="3">
                  <c:v>3.34</c:v>
                </c:pt>
                <c:pt idx="4">
                  <c:v>2.16</c:v>
                </c:pt>
                <c:pt idx="5">
                  <c:v>1.35</c:v>
                </c:pt>
                <c:pt idx="6">
                  <c:v>1.680000000000001</c:v>
                </c:pt>
                <c:pt idx="7">
                  <c:v>8.42</c:v>
                </c:pt>
                <c:pt idx="8">
                  <c:v>0.01</c:v>
                </c:pt>
                <c:pt idx="9">
                  <c:v>1.06</c:v>
                </c:pt>
                <c:pt idx="10">
                  <c:v>0.69</c:v>
                </c:pt>
                <c:pt idx="11">
                  <c:v>0.53</c:v>
                </c:pt>
                <c:pt idx="12">
                  <c:v>0.56999999999999995</c:v>
                </c:pt>
                <c:pt idx="13">
                  <c:v>3.8499999999999992</c:v>
                </c:pt>
                <c:pt idx="14">
                  <c:v>1.51</c:v>
                </c:pt>
                <c:pt idx="15">
                  <c:v>1.170000000000001</c:v>
                </c:pt>
                <c:pt idx="16">
                  <c:v>0.03</c:v>
                </c:pt>
                <c:pt idx="17">
                  <c:v>0.14000000000000001</c:v>
                </c:pt>
              </c:numCache>
            </c:numRef>
          </c:val>
        </c:ser>
        <c:ser>
          <c:idx val="2"/>
          <c:order val="2"/>
          <c:tx>
            <c:strRef>
              <c:f>'egyszerű deskriptív'!$M$32</c:f>
              <c:strCache>
                <c:ptCount val="1"/>
                <c:pt idx="0">
                  <c:v>10-14 év</c:v>
                </c:pt>
              </c:strCache>
            </c:strRef>
          </c:tx>
          <c:invertIfNegative val="0"/>
          <c:cat>
            <c:strRef>
              <c:f>'egyszerű deskriptív'!$J$33:$J$50</c:f>
              <c:strCache>
                <c:ptCount val="18"/>
                <c:pt idx="0">
                  <c:v>Admin. és szolg.tám.</c:v>
                </c:pt>
                <c:pt idx="1">
                  <c:v>Bányászat, kőfejtés</c:v>
                </c:pt>
                <c:pt idx="2">
                  <c:v>Építőipar</c:v>
                </c:pt>
                <c:pt idx="3">
                  <c:v>Feldolgozóipar</c:v>
                </c:pt>
                <c:pt idx="4">
                  <c:v>Humán-egészs.ügyi szolg.</c:v>
                </c:pt>
                <c:pt idx="5">
                  <c:v>Info-kommunikáció</c:v>
                </c:pt>
                <c:pt idx="6">
                  <c:v>Ingatlanügyek</c:v>
                </c:pt>
                <c:pt idx="7">
                  <c:v>Kereskedelem, gépjárműjav.</c:v>
                </c:pt>
                <c:pt idx="8">
                  <c:v>Közigazgatás, védelem</c:v>
                </c:pt>
                <c:pt idx="9">
                  <c:v>Mg., erdőgazd.</c:v>
                </c:pt>
                <c:pt idx="10">
                  <c:v>Művészet, szórakoztatás</c:v>
                </c:pt>
                <c:pt idx="11">
                  <c:v>Oktatás</c:v>
                </c:pt>
                <c:pt idx="12">
                  <c:v>Pü-i, biztosítási szolg.</c:v>
                </c:pt>
                <c:pt idx="13">
                  <c:v>Szakmai, tudományos tev.</c:v>
                </c:pt>
                <c:pt idx="14">
                  <c:v>Szálláshely-szolgáltatás</c:v>
                </c:pt>
                <c:pt idx="15">
                  <c:v>Szállítás, raktározás</c:v>
                </c:pt>
                <c:pt idx="16">
                  <c:v>Villamosenergia- gáz</c:v>
                </c:pt>
                <c:pt idx="17">
                  <c:v>Vízellátás, szennyvíz</c:v>
                </c:pt>
              </c:strCache>
            </c:strRef>
          </c:cat>
          <c:val>
            <c:numRef>
              <c:f>'egyszerű deskriptív'!$M$33:$M$50</c:f>
              <c:numCache>
                <c:formatCode>General</c:formatCode>
                <c:ptCount val="18"/>
                <c:pt idx="0">
                  <c:v>0.81</c:v>
                </c:pt>
                <c:pt idx="1">
                  <c:v>0.04</c:v>
                </c:pt>
                <c:pt idx="2">
                  <c:v>2.02</c:v>
                </c:pt>
                <c:pt idx="3">
                  <c:v>3.3</c:v>
                </c:pt>
                <c:pt idx="4">
                  <c:v>1.78</c:v>
                </c:pt>
                <c:pt idx="5">
                  <c:v>0.95</c:v>
                </c:pt>
                <c:pt idx="6">
                  <c:v>1.38</c:v>
                </c:pt>
                <c:pt idx="7">
                  <c:v>7.45</c:v>
                </c:pt>
                <c:pt idx="8">
                  <c:v>0.01</c:v>
                </c:pt>
                <c:pt idx="9">
                  <c:v>1.1299999999999979</c:v>
                </c:pt>
                <c:pt idx="10">
                  <c:v>0.6</c:v>
                </c:pt>
                <c:pt idx="11">
                  <c:v>0.33</c:v>
                </c:pt>
                <c:pt idx="12">
                  <c:v>0.32</c:v>
                </c:pt>
                <c:pt idx="13">
                  <c:v>3</c:v>
                </c:pt>
                <c:pt idx="14">
                  <c:v>1.1200000000000001</c:v>
                </c:pt>
                <c:pt idx="15">
                  <c:v>0.9</c:v>
                </c:pt>
                <c:pt idx="16">
                  <c:v>0.03</c:v>
                </c:pt>
                <c:pt idx="17">
                  <c:v>0.16</c:v>
                </c:pt>
              </c:numCache>
            </c:numRef>
          </c:val>
        </c:ser>
        <c:ser>
          <c:idx val="3"/>
          <c:order val="3"/>
          <c:tx>
            <c:strRef>
              <c:f>'egyszerű deskriptív'!$N$32</c:f>
              <c:strCache>
                <c:ptCount val="1"/>
                <c:pt idx="0">
                  <c:v>15+ év</c:v>
                </c:pt>
              </c:strCache>
            </c:strRef>
          </c:tx>
          <c:invertIfNegative val="0"/>
          <c:cat>
            <c:strRef>
              <c:f>'egyszerű deskriptív'!$J$33:$J$50</c:f>
              <c:strCache>
                <c:ptCount val="18"/>
                <c:pt idx="0">
                  <c:v>Admin. és szolg.tám.</c:v>
                </c:pt>
                <c:pt idx="1">
                  <c:v>Bányászat, kőfejtés</c:v>
                </c:pt>
                <c:pt idx="2">
                  <c:v>Építőipar</c:v>
                </c:pt>
                <c:pt idx="3">
                  <c:v>Feldolgozóipar</c:v>
                </c:pt>
                <c:pt idx="4">
                  <c:v>Humán-egészs.ügyi szolg.</c:v>
                </c:pt>
                <c:pt idx="5">
                  <c:v>Info-kommunikáció</c:v>
                </c:pt>
                <c:pt idx="6">
                  <c:v>Ingatlanügyek</c:v>
                </c:pt>
                <c:pt idx="7">
                  <c:v>Kereskedelem, gépjárműjav.</c:v>
                </c:pt>
                <c:pt idx="8">
                  <c:v>Közigazgatás, védelem</c:v>
                </c:pt>
                <c:pt idx="9">
                  <c:v>Mg., erdőgazd.</c:v>
                </c:pt>
                <c:pt idx="10">
                  <c:v>Művészet, szórakoztatás</c:v>
                </c:pt>
                <c:pt idx="11">
                  <c:v>Oktatás</c:v>
                </c:pt>
                <c:pt idx="12">
                  <c:v>Pü-i, biztosítási szolg.</c:v>
                </c:pt>
                <c:pt idx="13">
                  <c:v>Szakmai, tudományos tev.</c:v>
                </c:pt>
                <c:pt idx="14">
                  <c:v>Szálláshely-szolgáltatás</c:v>
                </c:pt>
                <c:pt idx="15">
                  <c:v>Szállítás, raktározás</c:v>
                </c:pt>
                <c:pt idx="16">
                  <c:v>Villamosenergia- gáz</c:v>
                </c:pt>
                <c:pt idx="17">
                  <c:v>Vízellátás, szennyvíz</c:v>
                </c:pt>
              </c:strCache>
            </c:strRef>
          </c:cat>
          <c:val>
            <c:numRef>
              <c:f>'egyszerű deskriptív'!$N$33:$N$50</c:f>
              <c:numCache>
                <c:formatCode>General</c:formatCode>
                <c:ptCount val="18"/>
                <c:pt idx="0">
                  <c:v>0.3</c:v>
                </c:pt>
                <c:pt idx="1">
                  <c:v>0.01</c:v>
                </c:pt>
                <c:pt idx="2">
                  <c:v>0.85</c:v>
                </c:pt>
                <c:pt idx="3">
                  <c:v>1.57</c:v>
                </c:pt>
                <c:pt idx="4">
                  <c:v>0.11</c:v>
                </c:pt>
                <c:pt idx="5">
                  <c:v>0.41</c:v>
                </c:pt>
                <c:pt idx="6">
                  <c:v>0.64000000000000101</c:v>
                </c:pt>
                <c:pt idx="7">
                  <c:v>2.69</c:v>
                </c:pt>
                <c:pt idx="8">
                  <c:v>0</c:v>
                </c:pt>
                <c:pt idx="9">
                  <c:v>0.4</c:v>
                </c:pt>
                <c:pt idx="10">
                  <c:v>0.11</c:v>
                </c:pt>
                <c:pt idx="11">
                  <c:v>0.12</c:v>
                </c:pt>
                <c:pt idx="12">
                  <c:v>0.12</c:v>
                </c:pt>
                <c:pt idx="13">
                  <c:v>1.39</c:v>
                </c:pt>
                <c:pt idx="14">
                  <c:v>0.52</c:v>
                </c:pt>
                <c:pt idx="15">
                  <c:v>0.25</c:v>
                </c:pt>
                <c:pt idx="16">
                  <c:v>0.01</c:v>
                </c:pt>
                <c:pt idx="17">
                  <c:v>0.04</c:v>
                </c:pt>
              </c:numCache>
            </c:numRef>
          </c:val>
        </c:ser>
        <c:dLbls>
          <c:showLegendKey val="0"/>
          <c:showVal val="0"/>
          <c:showCatName val="0"/>
          <c:showSerName val="0"/>
          <c:showPercent val="0"/>
          <c:showBubbleSize val="0"/>
        </c:dLbls>
        <c:gapWidth val="75"/>
        <c:overlap val="100"/>
        <c:axId val="385320856"/>
        <c:axId val="385320072"/>
      </c:barChart>
      <c:catAx>
        <c:axId val="385320856"/>
        <c:scaling>
          <c:orientation val="minMax"/>
        </c:scaling>
        <c:delete val="0"/>
        <c:axPos val="b"/>
        <c:numFmt formatCode="General" sourceLinked="1"/>
        <c:majorTickMark val="none"/>
        <c:minorTickMark val="none"/>
        <c:tickLblPos val="nextTo"/>
        <c:txPr>
          <a:bodyPr/>
          <a:lstStyle/>
          <a:p>
            <a:pPr>
              <a:defRPr lang="en-US"/>
            </a:pPr>
            <a:endParaRPr lang="hu-HU"/>
          </a:p>
        </c:txPr>
        <c:crossAx val="385320072"/>
        <c:crosses val="autoZero"/>
        <c:auto val="1"/>
        <c:lblAlgn val="ctr"/>
        <c:lblOffset val="100"/>
        <c:noMultiLvlLbl val="0"/>
      </c:catAx>
      <c:valAx>
        <c:axId val="385320072"/>
        <c:scaling>
          <c:orientation val="minMax"/>
        </c:scaling>
        <c:delete val="0"/>
        <c:axPos val="l"/>
        <c:majorGridlines/>
        <c:numFmt formatCode="0%" sourceLinked="1"/>
        <c:majorTickMark val="none"/>
        <c:minorTickMark val="none"/>
        <c:tickLblPos val="nextTo"/>
        <c:spPr>
          <a:ln w="9525">
            <a:noFill/>
          </a:ln>
        </c:spPr>
        <c:txPr>
          <a:bodyPr/>
          <a:lstStyle/>
          <a:p>
            <a:pPr>
              <a:defRPr lang="en-US"/>
            </a:pPr>
            <a:endParaRPr lang="hu-HU"/>
          </a:p>
        </c:txPr>
        <c:crossAx val="385320856"/>
        <c:crosses val="autoZero"/>
        <c:crossBetween val="between"/>
      </c:valAx>
    </c:plotArea>
    <c:legend>
      <c:legendPos val="b"/>
      <c:overlay val="0"/>
      <c:txPr>
        <a:bodyPr/>
        <a:lstStyle/>
        <a:p>
          <a:pPr>
            <a:defRPr lang="en-US"/>
          </a:pPr>
          <a:endParaRPr lang="hu-HU"/>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numFmt formatCode="0.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'egyszerű deskriptív'!$E$317:$E$323</c:f>
              <c:strCache>
                <c:ptCount val="7"/>
                <c:pt idx="0">
                  <c:v>Közép-Magyarország</c:v>
                </c:pt>
                <c:pt idx="1">
                  <c:v>Közép-Dunántúl</c:v>
                </c:pt>
                <c:pt idx="2">
                  <c:v>Nyugat-Dunántúl</c:v>
                </c:pt>
                <c:pt idx="3">
                  <c:v>Dél-Dunántúl</c:v>
                </c:pt>
                <c:pt idx="4">
                  <c:v>Észak-Magyarország</c:v>
                </c:pt>
                <c:pt idx="5">
                  <c:v>Észak-Alföld</c:v>
                </c:pt>
                <c:pt idx="6">
                  <c:v>Dél-Alföld</c:v>
                </c:pt>
              </c:strCache>
            </c:strRef>
          </c:cat>
          <c:val>
            <c:numRef>
              <c:f>'egyszerű deskriptív'!$F$317:$F$323</c:f>
              <c:numCache>
                <c:formatCode>General</c:formatCode>
                <c:ptCount val="7"/>
                <c:pt idx="0">
                  <c:v>332</c:v>
                </c:pt>
                <c:pt idx="1">
                  <c:v>269</c:v>
                </c:pt>
                <c:pt idx="2">
                  <c:v>307</c:v>
                </c:pt>
                <c:pt idx="3">
                  <c:v>261</c:v>
                </c:pt>
                <c:pt idx="4">
                  <c:v>261</c:v>
                </c:pt>
                <c:pt idx="5">
                  <c:v>348</c:v>
                </c:pt>
                <c:pt idx="6">
                  <c:v>398</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bg1">
                  <a:lumMod val="75000"/>
                </a:schemeClr>
              </a:solidFill>
            </c:spPr>
          </c:dPt>
          <c:dPt>
            <c:idx val="1"/>
            <c:bubble3D val="0"/>
            <c:spPr>
              <a:solidFill>
                <a:srgbClr val="B10000"/>
              </a:solidFill>
            </c:spPr>
          </c:dPt>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'egyszerű deskriptív'!$J$241:$J$242</c:f>
              <c:strCache>
                <c:ptCount val="2"/>
                <c:pt idx="0">
                  <c:v>NEM LHH</c:v>
                </c:pt>
                <c:pt idx="1">
                  <c:v>LHH</c:v>
                </c:pt>
              </c:strCache>
            </c:strRef>
          </c:cat>
          <c:val>
            <c:numRef>
              <c:f>'egyszerű deskriptív'!$K$241:$K$242</c:f>
              <c:numCache>
                <c:formatCode>General</c:formatCode>
                <c:ptCount val="2"/>
                <c:pt idx="0">
                  <c:v>1949</c:v>
                </c:pt>
                <c:pt idx="1">
                  <c:v>227</c:v>
                </c:pt>
              </c:numCache>
            </c:numRef>
          </c:val>
        </c:ser>
        <c:dLbls>
          <c:showLegendKey val="0"/>
          <c:showVal val="0"/>
          <c:showCatName val="0"/>
          <c:showSerName val="0"/>
          <c:showPercent val="1"/>
          <c:showBubbleSize val="0"/>
          <c:showLeaderLines val="0"/>
        </c:dLbls>
        <c:firstSliceAng val="0"/>
      </c:pieChart>
    </c:plotArea>
    <c:legend>
      <c:legendPos val="t"/>
      <c:layout>
        <c:manualLayout>
          <c:xMode val="edge"/>
          <c:yMode val="edge"/>
          <c:x val="0.694880754153689"/>
          <c:y val="0.37461883639554899"/>
          <c:w val="0.261608766942937"/>
          <c:h val="0.15673828425064701"/>
        </c:manualLayout>
      </c:layout>
      <c:overlay val="0"/>
      <c:txPr>
        <a:bodyPr/>
        <a:lstStyle/>
        <a:p>
          <a:pPr>
            <a:defRPr lang="en-US"/>
          </a:pPr>
          <a:endParaRPr lang="hu-HU"/>
        </a:p>
      </c:txPr>
    </c:legend>
    <c:plotVisOnly val="1"/>
    <c:dispBlanksAs val="zero"/>
    <c:showDLblsOverMax val="0"/>
  </c:chart>
  <c:externalData r:id="rId2">
    <c:autoUpdate val="0"/>
  </c:externalData>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47144-BBEB-400A-BA5A-2C73006B8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100</Pages>
  <Words>20002</Words>
  <Characters>138019</Characters>
  <Application>Microsoft Office Word</Application>
  <DocSecurity>0</DocSecurity>
  <Lines>1150</Lines>
  <Paragraphs>315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GOP211 - Hatásvizsgálat</vt:lpstr>
      <vt:lpstr>GOP211 - Hatásvizsgálat</vt:lpstr>
    </vt:vector>
  </TitlesOfParts>
  <Manager>Reszkető Petra Edina</Manager>
  <Company>Budapest Intézet</Company>
  <LinksUpToDate>false</LinksUpToDate>
  <CharactersWithSpaces>157706</CharactersWithSpaces>
  <SharedDoc>false</SharedDoc>
  <HyperlinkBase/>
  <HLinks>
    <vt:vector size="78" baseType="variant">
      <vt:variant>
        <vt:i4>1703942</vt:i4>
      </vt:variant>
      <vt:variant>
        <vt:i4>170</vt:i4>
      </vt:variant>
      <vt:variant>
        <vt:i4>0</vt:i4>
      </vt:variant>
      <vt:variant>
        <vt:i4>5</vt:i4>
      </vt:variant>
      <vt:variant>
        <vt:lpwstr/>
      </vt:variant>
      <vt:variant>
        <vt:lpwstr>_Toc355358336</vt:lpwstr>
      </vt:variant>
      <vt:variant>
        <vt:i4>1703941</vt:i4>
      </vt:variant>
      <vt:variant>
        <vt:i4>164</vt:i4>
      </vt:variant>
      <vt:variant>
        <vt:i4>0</vt:i4>
      </vt:variant>
      <vt:variant>
        <vt:i4>5</vt:i4>
      </vt:variant>
      <vt:variant>
        <vt:lpwstr/>
      </vt:variant>
      <vt:variant>
        <vt:lpwstr>_Toc355358335</vt:lpwstr>
      </vt:variant>
      <vt:variant>
        <vt:i4>1703940</vt:i4>
      </vt:variant>
      <vt:variant>
        <vt:i4>158</vt:i4>
      </vt:variant>
      <vt:variant>
        <vt:i4>0</vt:i4>
      </vt:variant>
      <vt:variant>
        <vt:i4>5</vt:i4>
      </vt:variant>
      <vt:variant>
        <vt:lpwstr/>
      </vt:variant>
      <vt:variant>
        <vt:lpwstr>_Toc355358334</vt:lpwstr>
      </vt:variant>
      <vt:variant>
        <vt:i4>1703939</vt:i4>
      </vt:variant>
      <vt:variant>
        <vt:i4>152</vt:i4>
      </vt:variant>
      <vt:variant>
        <vt:i4>0</vt:i4>
      </vt:variant>
      <vt:variant>
        <vt:i4>5</vt:i4>
      </vt:variant>
      <vt:variant>
        <vt:lpwstr/>
      </vt:variant>
      <vt:variant>
        <vt:lpwstr>_Toc355358333</vt:lpwstr>
      </vt:variant>
      <vt:variant>
        <vt:i4>1703938</vt:i4>
      </vt:variant>
      <vt:variant>
        <vt:i4>146</vt:i4>
      </vt:variant>
      <vt:variant>
        <vt:i4>0</vt:i4>
      </vt:variant>
      <vt:variant>
        <vt:i4>5</vt:i4>
      </vt:variant>
      <vt:variant>
        <vt:lpwstr/>
      </vt:variant>
      <vt:variant>
        <vt:lpwstr>_Toc355358332</vt:lpwstr>
      </vt:variant>
      <vt:variant>
        <vt:i4>1703937</vt:i4>
      </vt:variant>
      <vt:variant>
        <vt:i4>140</vt:i4>
      </vt:variant>
      <vt:variant>
        <vt:i4>0</vt:i4>
      </vt:variant>
      <vt:variant>
        <vt:i4>5</vt:i4>
      </vt:variant>
      <vt:variant>
        <vt:lpwstr/>
      </vt:variant>
      <vt:variant>
        <vt:lpwstr>_Toc355358331</vt:lpwstr>
      </vt:variant>
      <vt:variant>
        <vt:i4>1703936</vt:i4>
      </vt:variant>
      <vt:variant>
        <vt:i4>134</vt:i4>
      </vt:variant>
      <vt:variant>
        <vt:i4>0</vt:i4>
      </vt:variant>
      <vt:variant>
        <vt:i4>5</vt:i4>
      </vt:variant>
      <vt:variant>
        <vt:lpwstr/>
      </vt:variant>
      <vt:variant>
        <vt:lpwstr>_Toc355358330</vt:lpwstr>
      </vt:variant>
      <vt:variant>
        <vt:i4>1769481</vt:i4>
      </vt:variant>
      <vt:variant>
        <vt:i4>128</vt:i4>
      </vt:variant>
      <vt:variant>
        <vt:i4>0</vt:i4>
      </vt:variant>
      <vt:variant>
        <vt:i4>5</vt:i4>
      </vt:variant>
      <vt:variant>
        <vt:lpwstr/>
      </vt:variant>
      <vt:variant>
        <vt:lpwstr>_Toc355358329</vt:lpwstr>
      </vt:variant>
      <vt:variant>
        <vt:i4>1769480</vt:i4>
      </vt:variant>
      <vt:variant>
        <vt:i4>122</vt:i4>
      </vt:variant>
      <vt:variant>
        <vt:i4>0</vt:i4>
      </vt:variant>
      <vt:variant>
        <vt:i4>5</vt:i4>
      </vt:variant>
      <vt:variant>
        <vt:lpwstr/>
      </vt:variant>
      <vt:variant>
        <vt:lpwstr>_Toc355358328</vt:lpwstr>
      </vt:variant>
      <vt:variant>
        <vt:i4>1769479</vt:i4>
      </vt:variant>
      <vt:variant>
        <vt:i4>116</vt:i4>
      </vt:variant>
      <vt:variant>
        <vt:i4>0</vt:i4>
      </vt:variant>
      <vt:variant>
        <vt:i4>5</vt:i4>
      </vt:variant>
      <vt:variant>
        <vt:lpwstr/>
      </vt:variant>
      <vt:variant>
        <vt:lpwstr>_Toc355358327</vt:lpwstr>
      </vt:variant>
      <vt:variant>
        <vt:i4>1769478</vt:i4>
      </vt:variant>
      <vt:variant>
        <vt:i4>110</vt:i4>
      </vt:variant>
      <vt:variant>
        <vt:i4>0</vt:i4>
      </vt:variant>
      <vt:variant>
        <vt:i4>5</vt:i4>
      </vt:variant>
      <vt:variant>
        <vt:lpwstr/>
      </vt:variant>
      <vt:variant>
        <vt:lpwstr>_Toc355358326</vt:lpwstr>
      </vt:variant>
      <vt:variant>
        <vt:i4>1769477</vt:i4>
      </vt:variant>
      <vt:variant>
        <vt:i4>104</vt:i4>
      </vt:variant>
      <vt:variant>
        <vt:i4>0</vt:i4>
      </vt:variant>
      <vt:variant>
        <vt:i4>5</vt:i4>
      </vt:variant>
      <vt:variant>
        <vt:lpwstr/>
      </vt:variant>
      <vt:variant>
        <vt:lpwstr>_Toc355358325</vt:lpwstr>
      </vt:variant>
      <vt:variant>
        <vt:i4>1769476</vt:i4>
      </vt:variant>
      <vt:variant>
        <vt:i4>98</vt:i4>
      </vt:variant>
      <vt:variant>
        <vt:i4>0</vt:i4>
      </vt:variant>
      <vt:variant>
        <vt:i4>5</vt:i4>
      </vt:variant>
      <vt:variant>
        <vt:lpwstr/>
      </vt:variant>
      <vt:variant>
        <vt:lpwstr>_Toc355358324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GOP211 - Hatásvizsgálat</dc:title>
  <dc:subject>NFÜ hatávizsgálat, GOP211</dc:subject>
  <dc:creator>Reszkető Petra Edina</dc:creator>
  <cp:keywords>NFÜ, értékelés, hatásvizsgálat</cp:keywords>
  <cp:lastModifiedBy>Győry Adrienn</cp:lastModifiedBy>
  <cp:revision>2</cp:revision>
  <cp:lastPrinted>2013-05-13T08:38:00Z</cp:lastPrinted>
  <dcterms:created xsi:type="dcterms:W3CDTF">2014-10-30T10:03:00Z</dcterms:created>
  <dcterms:modified xsi:type="dcterms:W3CDTF">2014-10-30T10:03:00Z</dcterms:modified>
</cp:coreProperties>
</file>