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FAB" w:rsidRPr="009B7638" w:rsidRDefault="007A72E3" w:rsidP="001B5FAB">
      <w:pPr>
        <w:pStyle w:val="Title"/>
        <w:rPr>
          <w:lang w:val="en-GB"/>
        </w:rPr>
      </w:pPr>
      <w:bookmarkStart w:id="0" w:name="Tytul"/>
      <w:r>
        <w:rPr>
          <w:lang w:val="en-GB"/>
        </w:rPr>
        <w:t>Do the Public Employment Services reach non-employed youths?</w:t>
      </w:r>
    </w:p>
    <w:bookmarkEnd w:id="0"/>
    <w:p w:rsidR="00AA227B" w:rsidRPr="009B7638" w:rsidRDefault="007A72E3" w:rsidP="0061193C">
      <w:pPr>
        <w:pStyle w:val="Subtitle"/>
        <w:rPr>
          <w:lang w:val="en-GB"/>
        </w:rPr>
      </w:pPr>
      <w:r>
        <w:rPr>
          <w:lang w:val="en-GB"/>
        </w:rPr>
        <w:t>A preliminary assessment for Hungary</w:t>
      </w:r>
      <w:r w:rsidR="001B5FAB" w:rsidRPr="009B7638">
        <w:rPr>
          <w:lang w:val="en-GB"/>
        </w:rPr>
        <w:t xml:space="preserve"> </w:t>
      </w:r>
    </w:p>
    <w:p w:rsidR="002D3576" w:rsidRPr="009B7638" w:rsidRDefault="00767B6F" w:rsidP="00796C59">
      <w:pPr>
        <w:pStyle w:val="Autor"/>
        <w:pBdr>
          <w:top w:val="single" w:sz="4" w:space="31" w:color="FFFFFF" w:themeColor="background1"/>
        </w:pBdr>
        <w:rPr>
          <w:sz w:val="28"/>
          <w:szCs w:val="28"/>
          <w:lang w:val="en-GB"/>
        </w:rPr>
      </w:pPr>
      <w:r w:rsidRPr="009B7638">
        <w:rPr>
          <w:sz w:val="28"/>
          <w:szCs w:val="28"/>
          <w:lang w:val="en-GB"/>
        </w:rPr>
        <w:t>Márton Csillag,</w:t>
      </w:r>
      <w:r w:rsidR="002E7E67">
        <w:rPr>
          <w:sz w:val="28"/>
          <w:szCs w:val="28"/>
          <w:lang w:val="en-GB"/>
        </w:rPr>
        <w:t xml:space="preserve"> Tamás Molnár</w:t>
      </w:r>
      <w:r w:rsidRPr="009B7638">
        <w:rPr>
          <w:sz w:val="28"/>
          <w:szCs w:val="28"/>
          <w:lang w:val="en-GB"/>
        </w:rPr>
        <w:t xml:space="preserve"> </w:t>
      </w:r>
      <w:r w:rsidR="009169DE">
        <w:rPr>
          <w:sz w:val="28"/>
          <w:szCs w:val="28"/>
          <w:lang w:val="en-GB"/>
        </w:rPr>
        <w:t xml:space="preserve">and </w:t>
      </w:r>
      <w:r w:rsidR="002D3576" w:rsidRPr="009B7638">
        <w:rPr>
          <w:sz w:val="28"/>
          <w:szCs w:val="28"/>
          <w:lang w:val="en-GB"/>
        </w:rPr>
        <w:t>Ágota Scharle</w:t>
      </w:r>
    </w:p>
    <w:p w:rsidR="00796C59" w:rsidRDefault="00137EBF" w:rsidP="00796C59">
      <w:pPr>
        <w:rPr>
          <w:color w:val="FFFFFF" w:themeColor="background1"/>
          <w:sz w:val="24"/>
          <w:szCs w:val="24"/>
          <w:lang w:val="en-GB"/>
        </w:rPr>
      </w:pPr>
      <w:r w:rsidRPr="009B7638">
        <w:rPr>
          <w:color w:val="FFFFFF" w:themeColor="background1"/>
          <w:sz w:val="24"/>
          <w:szCs w:val="24"/>
          <w:lang w:val="en-GB"/>
        </w:rPr>
        <w:t xml:space="preserve">               </w:t>
      </w:r>
    </w:p>
    <w:p w:rsidR="00796C59" w:rsidRDefault="00796C59" w:rsidP="00796C59">
      <w:pPr>
        <w:rPr>
          <w:color w:val="FFFFFF" w:themeColor="background1"/>
          <w:sz w:val="24"/>
          <w:szCs w:val="24"/>
          <w:lang w:val="en-GB"/>
        </w:rPr>
      </w:pPr>
    </w:p>
    <w:p w:rsidR="00FA6BE4" w:rsidRPr="00796C59" w:rsidRDefault="00796C59" w:rsidP="00796C59">
      <w:pPr>
        <w:rPr>
          <w:caps/>
          <w:color w:val="FFFFFF" w:themeColor="background1"/>
          <w:sz w:val="28"/>
          <w:szCs w:val="28"/>
          <w:lang w:val="en-GB"/>
        </w:rPr>
      </w:pPr>
      <w:r>
        <w:rPr>
          <w:caps/>
          <w:color w:val="FFFFFF" w:themeColor="background1"/>
          <w:sz w:val="28"/>
          <w:szCs w:val="28"/>
          <w:lang w:val="en-GB"/>
        </w:rPr>
        <w:t xml:space="preserve">          </w:t>
      </w:r>
      <w:r w:rsidR="00767B6F" w:rsidRPr="00796C59">
        <w:rPr>
          <w:caps/>
          <w:color w:val="FFFFFF" w:themeColor="background1"/>
          <w:sz w:val="28"/>
          <w:szCs w:val="28"/>
          <w:lang w:val="en-GB"/>
        </w:rPr>
        <w:t xml:space="preserve">BUDAPEST INSTITUTE FOR </w:t>
      </w:r>
      <w:r w:rsidR="00BC39A5" w:rsidRPr="00796C59">
        <w:rPr>
          <w:caps/>
          <w:color w:val="FFFFFF" w:themeColor="background1"/>
          <w:sz w:val="28"/>
          <w:szCs w:val="28"/>
          <w:lang w:val="en-GB"/>
        </w:rPr>
        <w:t>POLICY analysis</w:t>
      </w:r>
      <w:r w:rsidRPr="00796C59">
        <w:rPr>
          <w:caps/>
          <w:color w:val="FFFFFF" w:themeColor="background1"/>
          <w:sz w:val="28"/>
          <w:szCs w:val="28"/>
          <w:lang w:val="en-GB"/>
        </w:rPr>
        <w:t xml:space="preserve">, </w:t>
      </w:r>
      <w:r w:rsidR="009169DE">
        <w:rPr>
          <w:caps/>
          <w:color w:val="FFFFFF" w:themeColor="background1"/>
          <w:sz w:val="28"/>
          <w:szCs w:val="28"/>
          <w:lang w:val="en-GB"/>
        </w:rPr>
        <w:t>October</w:t>
      </w:r>
      <w:r w:rsidRPr="00796C59">
        <w:rPr>
          <w:caps/>
          <w:color w:val="FFFFFF" w:themeColor="background1"/>
          <w:sz w:val="28"/>
          <w:szCs w:val="28"/>
          <w:lang w:val="en-GB"/>
        </w:rPr>
        <w:t xml:space="preserve"> 202</w:t>
      </w:r>
      <w:r w:rsidR="009169DE">
        <w:rPr>
          <w:caps/>
          <w:color w:val="FFFFFF" w:themeColor="background1"/>
          <w:sz w:val="28"/>
          <w:szCs w:val="28"/>
          <w:lang w:val="en-GB"/>
        </w:rPr>
        <w:t>0</w:t>
      </w:r>
    </w:p>
    <w:p w:rsidR="00394F8E" w:rsidRDefault="003041CD" w:rsidP="00767B6F">
      <w:pPr>
        <w:pStyle w:val="Autor"/>
        <w:ind w:left="0"/>
        <w:rPr>
          <w:lang w:val="en-GB"/>
        </w:rPr>
      </w:pPr>
      <w:r>
        <w:rPr>
          <w:lang w:val="en-GB"/>
        </w:rPr>
        <w:lastRenderedPageBreak/>
        <w:t xml:space="preserve"> </w:t>
      </w:r>
      <w:r w:rsidR="000B3CAD">
        <w:rPr>
          <w:lang w:val="en-GB"/>
        </w:rPr>
        <w:t>Octob</w:t>
      </w:r>
      <w:r>
        <w:rPr>
          <w:lang w:val="en-GB"/>
        </w:rPr>
        <w:t xml:space="preserve"> 202</w:t>
      </w:r>
      <w:r w:rsidR="000B3CAD">
        <w:rPr>
          <w:lang w:val="en-GB"/>
        </w:rPr>
        <w:t>0</w:t>
      </w:r>
    </w:p>
    <w:p w:rsidR="00E76B66" w:rsidRPr="009B7638" w:rsidRDefault="000B3CAD" w:rsidP="00767B6F">
      <w:pPr>
        <w:pStyle w:val="Abstrakt-tytu"/>
        <w:ind w:left="0"/>
        <w:rPr>
          <w:sz w:val="32"/>
          <w:szCs w:val="32"/>
          <w:lang w:val="en-GB"/>
        </w:rPr>
      </w:pPr>
      <w:r>
        <w:rPr>
          <w:sz w:val="32"/>
          <w:szCs w:val="32"/>
          <w:lang w:val="en-GB"/>
        </w:rPr>
        <w:t xml:space="preserve">Outreach </w:t>
      </w:r>
      <w:r w:rsidR="004450FD">
        <w:rPr>
          <w:sz w:val="32"/>
          <w:szCs w:val="32"/>
          <w:lang w:val="en-GB"/>
        </w:rPr>
        <w:t>Report</w:t>
      </w:r>
      <w:r>
        <w:rPr>
          <w:sz w:val="32"/>
          <w:szCs w:val="32"/>
          <w:lang w:val="en-GB"/>
        </w:rPr>
        <w:t xml:space="preserve"> Hungary</w:t>
      </w:r>
    </w:p>
    <w:p w:rsidR="00CF2DEF" w:rsidRPr="009B7638" w:rsidRDefault="00E76B66" w:rsidP="0061193C">
      <w:pPr>
        <w:pStyle w:val="Heading4"/>
        <w:rPr>
          <w:lang w:val="en-GB"/>
        </w:rPr>
      </w:pPr>
      <w:r w:rsidRPr="009B7638">
        <w:rPr>
          <w:lang w:val="en-GB"/>
        </w:rPr>
        <w:t>ABSTract</w:t>
      </w:r>
    </w:p>
    <w:p w:rsidR="00112315" w:rsidRPr="00A62EBE" w:rsidRDefault="00F01834" w:rsidP="00BF10D8">
      <w:pPr>
        <w:pStyle w:val="Heading4"/>
        <w:jc w:val="both"/>
        <w:rPr>
          <w:rFonts w:asciiTheme="minorHAnsi" w:eastAsiaTheme="minorHAnsi" w:hAnsiTheme="minorHAnsi" w:cstheme="minorBidi"/>
          <w:iCs w:val="0"/>
          <w:caps w:val="0"/>
          <w:color w:val="auto"/>
          <w:sz w:val="20"/>
          <w:szCs w:val="20"/>
          <w:lang w:val="en-GB"/>
        </w:rPr>
      </w:pPr>
      <w:r w:rsidRPr="00A62EBE">
        <w:rPr>
          <w:rFonts w:asciiTheme="minorHAnsi" w:eastAsiaTheme="minorHAnsi" w:hAnsiTheme="minorHAnsi" w:cstheme="minorBidi"/>
          <w:iCs w:val="0"/>
          <w:caps w:val="0"/>
          <w:noProof/>
          <w:color w:val="auto"/>
          <w:sz w:val="20"/>
          <w:szCs w:val="20"/>
          <w:lang w:val="hu-HU" w:eastAsia="hu-HU"/>
        </w:rPr>
        <w:drawing>
          <wp:anchor distT="0" distB="0" distL="114300" distR="114300" simplePos="0" relativeHeight="251656192" behindDoc="1" locked="0" layoutInCell="1" allowOverlap="1">
            <wp:simplePos x="0" y="0"/>
            <wp:positionH relativeFrom="column">
              <wp:posOffset>-712139</wp:posOffset>
            </wp:positionH>
            <wp:positionV relativeFrom="page">
              <wp:posOffset>8428383</wp:posOffset>
            </wp:positionV>
            <wp:extent cx="7559675" cy="2249170"/>
            <wp:effectExtent l="0" t="0" r="317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rialogotypow.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9675" cy="2249170"/>
                    </a:xfrm>
                    <a:prstGeom prst="rect">
                      <a:avLst/>
                    </a:prstGeom>
                  </pic:spPr>
                </pic:pic>
              </a:graphicData>
            </a:graphic>
          </wp:anchor>
        </w:drawing>
      </w:r>
      <w:r w:rsidR="00285897" w:rsidRPr="00A62EBE">
        <w:rPr>
          <w:rFonts w:asciiTheme="minorHAnsi" w:eastAsiaTheme="minorHAnsi" w:hAnsiTheme="minorHAnsi" w:cstheme="minorBidi"/>
          <w:iCs w:val="0"/>
          <w:caps w:val="0"/>
          <w:color w:val="auto"/>
          <w:sz w:val="20"/>
          <w:szCs w:val="20"/>
          <w:lang w:val="en-GB"/>
        </w:rPr>
        <w:t xml:space="preserve">One of the prime objectives of the Youth Guarantee is to convince young </w:t>
      </w:r>
      <w:proofErr w:type="spellStart"/>
      <w:r w:rsidR="00285897" w:rsidRPr="00A62EBE">
        <w:rPr>
          <w:rFonts w:asciiTheme="minorHAnsi" w:eastAsiaTheme="minorHAnsi" w:hAnsiTheme="minorHAnsi" w:cstheme="minorBidi"/>
          <w:iCs w:val="0"/>
          <w:caps w:val="0"/>
          <w:color w:val="auto"/>
          <w:sz w:val="20"/>
          <w:szCs w:val="20"/>
          <w:lang w:val="en-GB"/>
        </w:rPr>
        <w:t>persons</w:t>
      </w:r>
      <w:proofErr w:type="spellEnd"/>
      <w:r w:rsidR="00285897" w:rsidRPr="00A62EBE">
        <w:rPr>
          <w:rFonts w:asciiTheme="minorHAnsi" w:eastAsiaTheme="minorHAnsi" w:hAnsiTheme="minorHAnsi" w:cstheme="minorBidi"/>
          <w:iCs w:val="0"/>
          <w:caps w:val="0"/>
          <w:color w:val="auto"/>
          <w:sz w:val="20"/>
          <w:szCs w:val="20"/>
          <w:lang w:val="en-GB"/>
        </w:rPr>
        <w:t xml:space="preserve"> not in education or employment to register as jobseekers. This is done such that they can benefit from the services that the YG provides, which is especially important for those with a vulnerable background. However, as we show in this report</w:t>
      </w:r>
      <w:r w:rsidR="00AE4A35" w:rsidRPr="00A62EBE">
        <w:rPr>
          <w:rFonts w:asciiTheme="minorHAnsi" w:eastAsiaTheme="minorHAnsi" w:hAnsiTheme="minorHAnsi" w:cstheme="minorBidi"/>
          <w:iCs w:val="0"/>
          <w:caps w:val="0"/>
          <w:color w:val="auto"/>
          <w:sz w:val="20"/>
          <w:szCs w:val="20"/>
          <w:lang w:val="en-GB"/>
        </w:rPr>
        <w:t xml:space="preserve"> based on Labour Force Survey data</w:t>
      </w:r>
      <w:r w:rsidR="00285897" w:rsidRPr="00A62EBE">
        <w:rPr>
          <w:rFonts w:asciiTheme="minorHAnsi" w:eastAsiaTheme="minorHAnsi" w:hAnsiTheme="minorHAnsi" w:cstheme="minorBidi"/>
          <w:iCs w:val="0"/>
          <w:caps w:val="0"/>
          <w:color w:val="auto"/>
          <w:sz w:val="20"/>
          <w:szCs w:val="20"/>
          <w:lang w:val="en-GB"/>
        </w:rPr>
        <w:t>, the Public Employment Services in Hungary have not been particularly successful in raising registration rates, and this is only partly due to having to work with young persons who are less motivated to search for a job. What is more, we show</w:t>
      </w:r>
      <w:r w:rsidR="00AE4A35" w:rsidRPr="00A62EBE">
        <w:rPr>
          <w:rFonts w:asciiTheme="minorHAnsi" w:eastAsiaTheme="minorHAnsi" w:hAnsiTheme="minorHAnsi" w:cstheme="minorBidi"/>
          <w:iCs w:val="0"/>
          <w:caps w:val="0"/>
          <w:color w:val="auto"/>
          <w:sz w:val="20"/>
          <w:szCs w:val="20"/>
          <w:lang w:val="en-GB"/>
        </w:rPr>
        <w:t>, based on matched administrative, as well as large-sample survey data,</w:t>
      </w:r>
      <w:r w:rsidR="00285897" w:rsidRPr="00A62EBE">
        <w:rPr>
          <w:rFonts w:asciiTheme="minorHAnsi" w:eastAsiaTheme="minorHAnsi" w:hAnsiTheme="minorHAnsi" w:cstheme="minorBidi"/>
          <w:iCs w:val="0"/>
          <w:caps w:val="0"/>
          <w:color w:val="auto"/>
          <w:sz w:val="20"/>
          <w:szCs w:val="20"/>
          <w:lang w:val="en-GB"/>
        </w:rPr>
        <w:t xml:space="preserve"> that there were large regional differences in registration rates of NEETs. This is especially salient when looking at registration rates at the level of local PES offices. While youth in more developed areas</w:t>
      </w:r>
      <w:r w:rsidR="0031035F" w:rsidRPr="00A62EBE">
        <w:rPr>
          <w:rFonts w:asciiTheme="minorHAnsi" w:eastAsiaTheme="minorHAnsi" w:hAnsiTheme="minorHAnsi" w:cstheme="minorBidi"/>
          <w:iCs w:val="0"/>
          <w:caps w:val="0"/>
          <w:color w:val="auto"/>
          <w:sz w:val="20"/>
          <w:szCs w:val="20"/>
          <w:lang w:val="en-GB"/>
        </w:rPr>
        <w:t xml:space="preserve"> seem to</w:t>
      </w:r>
      <w:r w:rsidR="00285897" w:rsidRPr="00A62EBE">
        <w:rPr>
          <w:rFonts w:asciiTheme="minorHAnsi" w:eastAsiaTheme="minorHAnsi" w:hAnsiTheme="minorHAnsi" w:cstheme="minorBidi"/>
          <w:iCs w:val="0"/>
          <w:caps w:val="0"/>
          <w:color w:val="auto"/>
          <w:sz w:val="20"/>
          <w:szCs w:val="20"/>
          <w:lang w:val="en-GB"/>
        </w:rPr>
        <w:t xml:space="preserve"> need the services </w:t>
      </w:r>
      <w:r w:rsidR="0031035F" w:rsidRPr="00A62EBE">
        <w:rPr>
          <w:rFonts w:asciiTheme="minorHAnsi" w:eastAsiaTheme="minorHAnsi" w:hAnsiTheme="minorHAnsi" w:cstheme="minorBidi"/>
          <w:iCs w:val="0"/>
          <w:caps w:val="0"/>
          <w:color w:val="auto"/>
          <w:sz w:val="20"/>
          <w:szCs w:val="20"/>
          <w:lang w:val="en-GB"/>
        </w:rPr>
        <w:t>of the PES</w:t>
      </w:r>
      <w:r w:rsidR="00FD5E5C" w:rsidRPr="00A62EBE">
        <w:rPr>
          <w:rFonts w:asciiTheme="minorHAnsi" w:eastAsiaTheme="minorHAnsi" w:hAnsiTheme="minorHAnsi" w:cstheme="minorBidi"/>
          <w:iCs w:val="0"/>
          <w:caps w:val="0"/>
          <w:color w:val="auto"/>
          <w:sz w:val="20"/>
          <w:szCs w:val="20"/>
          <w:lang w:val="en-GB"/>
        </w:rPr>
        <w:t xml:space="preserve"> less</w:t>
      </w:r>
      <w:r w:rsidR="0031035F" w:rsidRPr="00A62EBE">
        <w:rPr>
          <w:rFonts w:asciiTheme="minorHAnsi" w:eastAsiaTheme="minorHAnsi" w:hAnsiTheme="minorHAnsi" w:cstheme="minorBidi"/>
          <w:iCs w:val="0"/>
          <w:caps w:val="0"/>
          <w:color w:val="auto"/>
          <w:sz w:val="20"/>
          <w:szCs w:val="20"/>
          <w:lang w:val="en-GB"/>
        </w:rPr>
        <w:t>, thanks to better labour market</w:t>
      </w:r>
      <w:r w:rsidR="00AE4A35" w:rsidRPr="00A62EBE">
        <w:rPr>
          <w:rFonts w:asciiTheme="minorHAnsi" w:eastAsiaTheme="minorHAnsi" w:hAnsiTheme="minorHAnsi" w:cstheme="minorBidi"/>
          <w:iCs w:val="0"/>
          <w:caps w:val="0"/>
          <w:color w:val="auto"/>
          <w:sz w:val="20"/>
          <w:szCs w:val="20"/>
          <w:lang w:val="en-GB"/>
        </w:rPr>
        <w:t xml:space="preserve">, there is considerable variation in the propensity to register as jobseeker across micro-regions. </w:t>
      </w:r>
      <w:r w:rsidR="0031035F" w:rsidRPr="00A62EBE">
        <w:rPr>
          <w:rFonts w:asciiTheme="minorHAnsi" w:eastAsiaTheme="minorHAnsi" w:hAnsiTheme="minorHAnsi" w:cstheme="minorBidi"/>
          <w:iCs w:val="0"/>
          <w:caps w:val="0"/>
          <w:color w:val="auto"/>
          <w:sz w:val="20"/>
          <w:szCs w:val="20"/>
          <w:lang w:val="en-GB"/>
        </w:rPr>
        <w:t xml:space="preserve"> </w:t>
      </w:r>
      <w:r w:rsidR="00AE4A35" w:rsidRPr="00A62EBE">
        <w:rPr>
          <w:rFonts w:asciiTheme="minorHAnsi" w:eastAsiaTheme="minorHAnsi" w:hAnsiTheme="minorHAnsi" w:cstheme="minorBidi"/>
          <w:iCs w:val="0"/>
          <w:caps w:val="0"/>
          <w:color w:val="auto"/>
          <w:sz w:val="20"/>
          <w:szCs w:val="20"/>
          <w:lang w:val="en-GB"/>
        </w:rPr>
        <w:t>Relying on a survey of local PES offices, we also find that outreach efforts seem to be modest, and that commitment towards getting NEETs from a vulnerable background to register as jobseeker is mixed. In particular, building active links to a variety of local stakeholders working with youth is restricted, and a considerable portion of local PES do not think that it is their role to attract these youngsters. This is compounded by the lack of time and well-trained personnel</w:t>
      </w:r>
      <w:r w:rsidR="00A62EBE" w:rsidRPr="00A62EBE">
        <w:rPr>
          <w:rFonts w:asciiTheme="minorHAnsi" w:eastAsiaTheme="minorHAnsi" w:hAnsiTheme="minorHAnsi" w:cstheme="minorBidi"/>
          <w:iCs w:val="0"/>
          <w:caps w:val="0"/>
          <w:color w:val="auto"/>
          <w:sz w:val="20"/>
          <w:szCs w:val="20"/>
          <w:lang w:val="en-GB"/>
        </w:rPr>
        <w:t xml:space="preserve"> in local PES offices</w:t>
      </w:r>
      <w:r w:rsidR="00717499">
        <w:rPr>
          <w:rFonts w:asciiTheme="minorHAnsi" w:eastAsiaTheme="minorHAnsi" w:hAnsiTheme="minorHAnsi" w:cstheme="minorBidi"/>
          <w:iCs w:val="0"/>
          <w:caps w:val="0"/>
          <w:color w:val="auto"/>
          <w:sz w:val="20"/>
          <w:szCs w:val="20"/>
          <w:lang w:val="en-GB"/>
        </w:rPr>
        <w:t>.</w:t>
      </w:r>
      <w:r w:rsidR="00A62EBE" w:rsidRPr="00A62EBE">
        <w:rPr>
          <w:rFonts w:asciiTheme="minorHAnsi" w:eastAsiaTheme="minorHAnsi" w:hAnsiTheme="minorHAnsi" w:cstheme="minorBidi"/>
          <w:iCs w:val="0"/>
          <w:caps w:val="0"/>
          <w:color w:val="auto"/>
          <w:sz w:val="20"/>
          <w:szCs w:val="20"/>
          <w:lang w:val="en-GB"/>
        </w:rPr>
        <w:t xml:space="preserve"> </w:t>
      </w:r>
      <w:r w:rsidR="00AE4A35" w:rsidRPr="00A62EBE">
        <w:rPr>
          <w:rFonts w:asciiTheme="minorHAnsi" w:eastAsiaTheme="minorHAnsi" w:hAnsiTheme="minorHAnsi" w:cstheme="minorBidi"/>
          <w:iCs w:val="0"/>
          <w:caps w:val="0"/>
          <w:color w:val="auto"/>
          <w:sz w:val="20"/>
          <w:szCs w:val="20"/>
          <w:lang w:val="en-GB"/>
        </w:rPr>
        <w:t xml:space="preserve">  </w:t>
      </w:r>
      <w:r w:rsidR="00285897" w:rsidRPr="00A62EBE">
        <w:rPr>
          <w:rFonts w:asciiTheme="minorHAnsi" w:eastAsiaTheme="minorHAnsi" w:hAnsiTheme="minorHAnsi" w:cstheme="minorBidi"/>
          <w:iCs w:val="0"/>
          <w:caps w:val="0"/>
          <w:color w:val="auto"/>
          <w:sz w:val="20"/>
          <w:szCs w:val="20"/>
          <w:lang w:val="en-GB"/>
        </w:rPr>
        <w:t xml:space="preserve">    </w:t>
      </w:r>
    </w:p>
    <w:p w:rsidR="00B361D2" w:rsidRPr="009B7638" w:rsidRDefault="00B361D2" w:rsidP="0061193C">
      <w:pPr>
        <w:rPr>
          <w:lang w:val="en-GB"/>
        </w:rPr>
        <w:sectPr w:rsidR="00B361D2" w:rsidRPr="009B7638" w:rsidSect="00015E8D">
          <w:headerReference w:type="default" r:id="rId9"/>
          <w:headerReference w:type="first" r:id="rId10"/>
          <w:pgSz w:w="11906" w:h="16838"/>
          <w:pgMar w:top="3261" w:right="1133" w:bottom="3686" w:left="1134" w:header="708" w:footer="708" w:gutter="0"/>
          <w:cols w:space="708"/>
          <w:titlePg/>
          <w:docGrid w:linePitch="360"/>
        </w:sectPr>
      </w:pPr>
    </w:p>
    <w:sdt>
      <w:sdtPr>
        <w:rPr>
          <w:rFonts w:asciiTheme="minorHAnsi" w:eastAsiaTheme="minorHAnsi" w:hAnsiTheme="minorHAnsi" w:cstheme="minorBidi"/>
          <w:color w:val="auto"/>
          <w:sz w:val="22"/>
          <w:szCs w:val="22"/>
          <w:lang w:val="en-GB" w:eastAsia="en-US"/>
        </w:rPr>
        <w:id w:val="-94327511"/>
        <w:docPartObj>
          <w:docPartGallery w:val="Table of Contents"/>
          <w:docPartUnique/>
        </w:docPartObj>
      </w:sdtPr>
      <w:sdtEndPr>
        <w:rPr>
          <w:b/>
          <w:bCs/>
        </w:rPr>
      </w:sdtEndPr>
      <w:sdtContent>
        <w:p w:rsidR="00C17B48" w:rsidRPr="009B7638" w:rsidRDefault="00E35F6A" w:rsidP="00CB6E93">
          <w:pPr>
            <w:pStyle w:val="TOCHeading"/>
            <w:rPr>
              <w:lang w:val="en-GB"/>
            </w:rPr>
          </w:pPr>
          <w:r w:rsidRPr="009B7638">
            <w:rPr>
              <w:lang w:val="en-GB"/>
            </w:rPr>
            <w:t>Contents</w:t>
          </w:r>
        </w:p>
        <w:p w:rsidR="00F76781" w:rsidRDefault="00383358">
          <w:pPr>
            <w:pStyle w:val="TOC1"/>
            <w:tabs>
              <w:tab w:val="left" w:pos="440"/>
              <w:tab w:val="right" w:leader="dot" w:pos="9629"/>
            </w:tabs>
            <w:rPr>
              <w:rFonts w:eastAsiaTheme="minorEastAsia"/>
              <w:noProof/>
              <w:lang w:val="en-GB" w:eastAsia="en-GB"/>
            </w:rPr>
          </w:pPr>
          <w:r w:rsidRPr="00383358">
            <w:rPr>
              <w:lang w:val="en-GB"/>
            </w:rPr>
            <w:fldChar w:fldCharType="begin"/>
          </w:r>
          <w:r w:rsidR="00C17B48" w:rsidRPr="009B7638">
            <w:rPr>
              <w:lang w:val="en-GB"/>
            </w:rPr>
            <w:instrText xml:space="preserve"> TOC \o "1-3" \h \z \u </w:instrText>
          </w:r>
          <w:r w:rsidRPr="00383358">
            <w:rPr>
              <w:lang w:val="en-GB"/>
            </w:rPr>
            <w:fldChar w:fldCharType="separate"/>
          </w:r>
          <w:hyperlink w:anchor="_Toc85531091" w:history="1">
            <w:r w:rsidR="00F76781" w:rsidRPr="00112930">
              <w:rPr>
                <w:rStyle w:val="Hyperlink"/>
                <w:rFonts w:eastAsia="Calibri"/>
                <w:noProof/>
                <w:lang w:val="en-GB" w:eastAsia="hu-HU"/>
              </w:rPr>
              <w:t>1.</w:t>
            </w:r>
            <w:r w:rsidR="00F76781">
              <w:rPr>
                <w:rFonts w:eastAsiaTheme="minorEastAsia"/>
                <w:noProof/>
                <w:lang w:val="en-GB" w:eastAsia="en-GB"/>
              </w:rPr>
              <w:tab/>
            </w:r>
            <w:r w:rsidR="00F76781" w:rsidRPr="00112930">
              <w:rPr>
                <w:rStyle w:val="Hyperlink"/>
                <w:rFonts w:eastAsia="Calibri"/>
                <w:noProof/>
                <w:lang w:val="en-GB" w:eastAsia="hu-HU"/>
              </w:rPr>
              <w:t>Introduction</w:t>
            </w:r>
            <w:r w:rsidR="00F76781">
              <w:rPr>
                <w:noProof/>
                <w:webHidden/>
              </w:rPr>
              <w:tab/>
            </w:r>
            <w:r>
              <w:rPr>
                <w:noProof/>
                <w:webHidden/>
              </w:rPr>
              <w:fldChar w:fldCharType="begin"/>
            </w:r>
            <w:r w:rsidR="00F76781">
              <w:rPr>
                <w:noProof/>
                <w:webHidden/>
              </w:rPr>
              <w:instrText xml:space="preserve"> PAGEREF _Toc85531091 \h </w:instrText>
            </w:r>
            <w:r>
              <w:rPr>
                <w:noProof/>
                <w:webHidden/>
              </w:rPr>
            </w:r>
            <w:r>
              <w:rPr>
                <w:noProof/>
                <w:webHidden/>
              </w:rPr>
              <w:fldChar w:fldCharType="separate"/>
            </w:r>
            <w:r w:rsidR="00F76781">
              <w:rPr>
                <w:noProof/>
                <w:webHidden/>
              </w:rPr>
              <w:t>4</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2" w:history="1">
            <w:r w:rsidR="00F76781" w:rsidRPr="00112930">
              <w:rPr>
                <w:rStyle w:val="Hyperlink"/>
                <w:rFonts w:eastAsia="Calibri"/>
                <w:noProof/>
                <w:lang w:val="en-GB" w:eastAsia="hu-HU"/>
              </w:rPr>
              <w:t>2.</w:t>
            </w:r>
            <w:r w:rsidR="00F76781">
              <w:rPr>
                <w:rFonts w:eastAsiaTheme="minorEastAsia"/>
                <w:noProof/>
                <w:lang w:val="en-GB" w:eastAsia="en-GB"/>
              </w:rPr>
              <w:tab/>
            </w:r>
            <w:r w:rsidR="00F76781" w:rsidRPr="00112930">
              <w:rPr>
                <w:rStyle w:val="Hyperlink"/>
                <w:rFonts w:eastAsia="Calibri"/>
                <w:noProof/>
                <w:lang w:val="en-GB" w:eastAsia="hu-HU"/>
              </w:rPr>
              <w:t>Institutional and Policy Context</w:t>
            </w:r>
            <w:r w:rsidR="00F76781">
              <w:rPr>
                <w:noProof/>
                <w:webHidden/>
              </w:rPr>
              <w:tab/>
            </w:r>
            <w:r>
              <w:rPr>
                <w:noProof/>
                <w:webHidden/>
              </w:rPr>
              <w:fldChar w:fldCharType="begin"/>
            </w:r>
            <w:r w:rsidR="00F76781">
              <w:rPr>
                <w:noProof/>
                <w:webHidden/>
              </w:rPr>
              <w:instrText xml:space="preserve"> PAGEREF _Toc85531092 \h </w:instrText>
            </w:r>
            <w:r>
              <w:rPr>
                <w:noProof/>
                <w:webHidden/>
              </w:rPr>
            </w:r>
            <w:r>
              <w:rPr>
                <w:noProof/>
                <w:webHidden/>
              </w:rPr>
              <w:fldChar w:fldCharType="separate"/>
            </w:r>
            <w:r w:rsidR="00F76781">
              <w:rPr>
                <w:noProof/>
                <w:webHidden/>
              </w:rPr>
              <w:t>5</w:t>
            </w:r>
            <w:r>
              <w:rPr>
                <w:noProof/>
                <w:webHidden/>
              </w:rPr>
              <w:fldChar w:fldCharType="end"/>
            </w:r>
          </w:hyperlink>
        </w:p>
        <w:p w:rsidR="00F76781" w:rsidRDefault="00383358">
          <w:pPr>
            <w:pStyle w:val="TOC2"/>
            <w:tabs>
              <w:tab w:val="left" w:pos="880"/>
              <w:tab w:val="right" w:leader="dot" w:pos="9629"/>
            </w:tabs>
            <w:rPr>
              <w:rFonts w:eastAsiaTheme="minorEastAsia"/>
              <w:noProof/>
              <w:lang w:val="en-GB" w:eastAsia="en-GB"/>
            </w:rPr>
          </w:pPr>
          <w:hyperlink w:anchor="_Toc85531093" w:history="1">
            <w:r w:rsidR="00F76781" w:rsidRPr="00112930">
              <w:rPr>
                <w:rStyle w:val="Hyperlink"/>
                <w:rFonts w:eastAsia="Calibri"/>
                <w:noProof/>
                <w:lang w:val="en-GB" w:eastAsia="hu-HU"/>
              </w:rPr>
              <w:t>2.1.</w:t>
            </w:r>
            <w:r w:rsidR="00F76781">
              <w:rPr>
                <w:rFonts w:eastAsiaTheme="minorEastAsia"/>
                <w:noProof/>
                <w:lang w:val="en-GB" w:eastAsia="en-GB"/>
              </w:rPr>
              <w:tab/>
            </w:r>
            <w:r w:rsidR="00F76781" w:rsidRPr="00112930">
              <w:rPr>
                <w:rStyle w:val="Hyperlink"/>
                <w:rFonts w:eastAsia="Calibri"/>
                <w:noProof/>
                <w:lang w:val="en-GB" w:eastAsia="hu-HU"/>
              </w:rPr>
              <w:t>Institutional Context</w:t>
            </w:r>
            <w:r w:rsidR="00F76781">
              <w:rPr>
                <w:noProof/>
                <w:webHidden/>
              </w:rPr>
              <w:tab/>
            </w:r>
            <w:r>
              <w:rPr>
                <w:noProof/>
                <w:webHidden/>
              </w:rPr>
              <w:fldChar w:fldCharType="begin"/>
            </w:r>
            <w:r w:rsidR="00F76781">
              <w:rPr>
                <w:noProof/>
                <w:webHidden/>
              </w:rPr>
              <w:instrText xml:space="preserve"> PAGEREF _Toc85531093 \h </w:instrText>
            </w:r>
            <w:r>
              <w:rPr>
                <w:noProof/>
                <w:webHidden/>
              </w:rPr>
            </w:r>
            <w:r>
              <w:rPr>
                <w:noProof/>
                <w:webHidden/>
              </w:rPr>
              <w:fldChar w:fldCharType="separate"/>
            </w:r>
            <w:r w:rsidR="00F76781">
              <w:rPr>
                <w:noProof/>
                <w:webHidden/>
              </w:rPr>
              <w:t>5</w:t>
            </w:r>
            <w:r>
              <w:rPr>
                <w:noProof/>
                <w:webHidden/>
              </w:rPr>
              <w:fldChar w:fldCharType="end"/>
            </w:r>
          </w:hyperlink>
        </w:p>
        <w:p w:rsidR="00F76781" w:rsidRDefault="00383358">
          <w:pPr>
            <w:pStyle w:val="TOC2"/>
            <w:tabs>
              <w:tab w:val="left" w:pos="880"/>
              <w:tab w:val="right" w:leader="dot" w:pos="9629"/>
            </w:tabs>
            <w:rPr>
              <w:rFonts w:eastAsiaTheme="minorEastAsia"/>
              <w:noProof/>
              <w:lang w:val="en-GB" w:eastAsia="en-GB"/>
            </w:rPr>
          </w:pPr>
          <w:hyperlink w:anchor="_Toc85531094" w:history="1">
            <w:r w:rsidR="00F76781" w:rsidRPr="00112930">
              <w:rPr>
                <w:rStyle w:val="Hyperlink"/>
                <w:rFonts w:eastAsia="Calibri"/>
                <w:noProof/>
                <w:lang w:val="en-GB" w:eastAsia="hu-HU"/>
              </w:rPr>
              <w:t>2.2.</w:t>
            </w:r>
            <w:r w:rsidR="00F76781">
              <w:rPr>
                <w:rFonts w:eastAsiaTheme="minorEastAsia"/>
                <w:noProof/>
                <w:lang w:val="en-GB" w:eastAsia="en-GB"/>
              </w:rPr>
              <w:tab/>
            </w:r>
            <w:r w:rsidR="00F76781" w:rsidRPr="00112930">
              <w:rPr>
                <w:rStyle w:val="Hyperlink"/>
                <w:rFonts w:eastAsia="Calibri"/>
                <w:noProof/>
                <w:lang w:val="en-GB" w:eastAsia="hu-HU"/>
              </w:rPr>
              <w:t>Policy Context</w:t>
            </w:r>
            <w:r w:rsidR="00F76781">
              <w:rPr>
                <w:noProof/>
                <w:webHidden/>
              </w:rPr>
              <w:tab/>
            </w:r>
            <w:r>
              <w:rPr>
                <w:noProof/>
                <w:webHidden/>
              </w:rPr>
              <w:fldChar w:fldCharType="begin"/>
            </w:r>
            <w:r w:rsidR="00F76781">
              <w:rPr>
                <w:noProof/>
                <w:webHidden/>
              </w:rPr>
              <w:instrText xml:space="preserve"> PAGEREF _Toc85531094 \h </w:instrText>
            </w:r>
            <w:r>
              <w:rPr>
                <w:noProof/>
                <w:webHidden/>
              </w:rPr>
            </w:r>
            <w:r>
              <w:rPr>
                <w:noProof/>
                <w:webHidden/>
              </w:rPr>
              <w:fldChar w:fldCharType="separate"/>
            </w:r>
            <w:r w:rsidR="00F76781">
              <w:rPr>
                <w:noProof/>
                <w:webHidden/>
              </w:rPr>
              <w:t>5</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5" w:history="1">
            <w:r w:rsidR="00F76781" w:rsidRPr="00112930">
              <w:rPr>
                <w:rStyle w:val="Hyperlink"/>
                <w:rFonts w:eastAsia="Calibri"/>
                <w:noProof/>
                <w:lang w:val="en-GB" w:eastAsia="hu-HU"/>
              </w:rPr>
              <w:t>3.</w:t>
            </w:r>
            <w:r w:rsidR="00F76781">
              <w:rPr>
                <w:rFonts w:eastAsiaTheme="minorEastAsia"/>
                <w:noProof/>
                <w:lang w:val="en-GB" w:eastAsia="en-GB"/>
              </w:rPr>
              <w:tab/>
            </w:r>
            <w:r w:rsidR="00F76781" w:rsidRPr="00112930">
              <w:rPr>
                <w:rStyle w:val="Hyperlink"/>
                <w:rFonts w:eastAsia="Calibri"/>
                <w:noProof/>
                <w:lang w:val="en-GB" w:eastAsia="hu-HU"/>
              </w:rPr>
              <w:t>Data and definitions</w:t>
            </w:r>
            <w:r w:rsidR="00F76781">
              <w:rPr>
                <w:noProof/>
                <w:webHidden/>
              </w:rPr>
              <w:tab/>
            </w:r>
            <w:r>
              <w:rPr>
                <w:noProof/>
                <w:webHidden/>
              </w:rPr>
              <w:fldChar w:fldCharType="begin"/>
            </w:r>
            <w:r w:rsidR="00F76781">
              <w:rPr>
                <w:noProof/>
                <w:webHidden/>
              </w:rPr>
              <w:instrText xml:space="preserve"> PAGEREF _Toc85531095 \h </w:instrText>
            </w:r>
            <w:r>
              <w:rPr>
                <w:noProof/>
                <w:webHidden/>
              </w:rPr>
            </w:r>
            <w:r>
              <w:rPr>
                <w:noProof/>
                <w:webHidden/>
              </w:rPr>
              <w:fldChar w:fldCharType="separate"/>
            </w:r>
            <w:r w:rsidR="00F76781">
              <w:rPr>
                <w:noProof/>
                <w:webHidden/>
              </w:rPr>
              <w:t>6</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6" w:history="1">
            <w:r w:rsidR="00F76781" w:rsidRPr="00112930">
              <w:rPr>
                <w:rStyle w:val="Hyperlink"/>
                <w:rFonts w:eastAsia="Calibri"/>
                <w:noProof/>
                <w:lang w:val="en-GB" w:eastAsia="hu-HU"/>
              </w:rPr>
              <w:t>4.</w:t>
            </w:r>
            <w:r w:rsidR="00F76781">
              <w:rPr>
                <w:rFonts w:eastAsiaTheme="minorEastAsia"/>
                <w:noProof/>
                <w:lang w:val="en-GB" w:eastAsia="en-GB"/>
              </w:rPr>
              <w:tab/>
            </w:r>
            <w:r w:rsidR="00F76781" w:rsidRPr="00112930">
              <w:rPr>
                <w:rStyle w:val="Hyperlink"/>
                <w:rFonts w:eastAsia="Calibri"/>
                <w:noProof/>
                <w:lang w:val="en-GB" w:eastAsia="hu-HU"/>
              </w:rPr>
              <w:t>EVOLUTION OF THE COMPOSITION OF NEETS AND THEIR REGISTRATION PROPENSITY</w:t>
            </w:r>
            <w:r w:rsidR="00F76781">
              <w:rPr>
                <w:noProof/>
                <w:webHidden/>
              </w:rPr>
              <w:tab/>
            </w:r>
            <w:r>
              <w:rPr>
                <w:noProof/>
                <w:webHidden/>
              </w:rPr>
              <w:fldChar w:fldCharType="begin"/>
            </w:r>
            <w:r w:rsidR="00F76781">
              <w:rPr>
                <w:noProof/>
                <w:webHidden/>
              </w:rPr>
              <w:instrText xml:space="preserve"> PAGEREF _Toc85531096 \h </w:instrText>
            </w:r>
            <w:r>
              <w:rPr>
                <w:noProof/>
                <w:webHidden/>
              </w:rPr>
            </w:r>
            <w:r>
              <w:rPr>
                <w:noProof/>
                <w:webHidden/>
              </w:rPr>
              <w:fldChar w:fldCharType="separate"/>
            </w:r>
            <w:r w:rsidR="00F76781">
              <w:rPr>
                <w:noProof/>
                <w:webHidden/>
              </w:rPr>
              <w:t>8</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7" w:history="1">
            <w:r w:rsidR="00F76781" w:rsidRPr="00112930">
              <w:rPr>
                <w:rStyle w:val="Hyperlink"/>
                <w:rFonts w:eastAsia="Calibri"/>
                <w:noProof/>
                <w:lang w:val="en-GB" w:eastAsia="hu-HU"/>
              </w:rPr>
              <w:t>5.</w:t>
            </w:r>
            <w:r w:rsidR="00F76781">
              <w:rPr>
                <w:rFonts w:eastAsiaTheme="minorEastAsia"/>
                <w:noProof/>
                <w:lang w:val="en-GB" w:eastAsia="en-GB"/>
              </w:rPr>
              <w:tab/>
            </w:r>
            <w:r w:rsidR="00F76781" w:rsidRPr="00112930">
              <w:rPr>
                <w:rStyle w:val="Hyperlink"/>
                <w:rFonts w:eastAsia="Calibri"/>
                <w:noProof/>
                <w:lang w:val="en-GB" w:eastAsia="hu-HU"/>
              </w:rPr>
              <w:t>REGIONAL VARIATION IN REGISTRATION PROPENSITY</w:t>
            </w:r>
            <w:r w:rsidR="00F76781">
              <w:rPr>
                <w:noProof/>
                <w:webHidden/>
              </w:rPr>
              <w:tab/>
            </w:r>
            <w:r>
              <w:rPr>
                <w:noProof/>
                <w:webHidden/>
              </w:rPr>
              <w:fldChar w:fldCharType="begin"/>
            </w:r>
            <w:r w:rsidR="00F76781">
              <w:rPr>
                <w:noProof/>
                <w:webHidden/>
              </w:rPr>
              <w:instrText xml:space="preserve"> PAGEREF _Toc85531097 \h </w:instrText>
            </w:r>
            <w:r>
              <w:rPr>
                <w:noProof/>
                <w:webHidden/>
              </w:rPr>
            </w:r>
            <w:r>
              <w:rPr>
                <w:noProof/>
                <w:webHidden/>
              </w:rPr>
              <w:fldChar w:fldCharType="separate"/>
            </w:r>
            <w:r w:rsidR="00F76781">
              <w:rPr>
                <w:noProof/>
                <w:webHidden/>
              </w:rPr>
              <w:t>12</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8" w:history="1">
            <w:r w:rsidR="00F76781" w:rsidRPr="00112930">
              <w:rPr>
                <w:rStyle w:val="Hyperlink"/>
                <w:rFonts w:eastAsia="Calibri"/>
                <w:noProof/>
                <w:lang w:val="en-GB" w:eastAsia="hu-HU"/>
              </w:rPr>
              <w:t>6.</w:t>
            </w:r>
            <w:r w:rsidR="00F76781">
              <w:rPr>
                <w:rFonts w:eastAsiaTheme="minorEastAsia"/>
                <w:noProof/>
                <w:lang w:val="en-GB" w:eastAsia="en-GB"/>
              </w:rPr>
              <w:tab/>
            </w:r>
            <w:r w:rsidR="00F76781" w:rsidRPr="00112930">
              <w:rPr>
                <w:rStyle w:val="Hyperlink"/>
                <w:rFonts w:eastAsia="Calibri"/>
                <w:noProof/>
                <w:lang w:val="en-GB" w:eastAsia="hu-HU"/>
              </w:rPr>
              <w:t>Outreach activities of PES local offices: first results from a survey</w:t>
            </w:r>
            <w:r w:rsidR="00F76781">
              <w:rPr>
                <w:noProof/>
                <w:webHidden/>
              </w:rPr>
              <w:tab/>
            </w:r>
            <w:r>
              <w:rPr>
                <w:noProof/>
                <w:webHidden/>
              </w:rPr>
              <w:fldChar w:fldCharType="begin"/>
            </w:r>
            <w:r w:rsidR="00F76781">
              <w:rPr>
                <w:noProof/>
                <w:webHidden/>
              </w:rPr>
              <w:instrText xml:space="preserve"> PAGEREF _Toc85531098 \h </w:instrText>
            </w:r>
            <w:r>
              <w:rPr>
                <w:noProof/>
                <w:webHidden/>
              </w:rPr>
            </w:r>
            <w:r>
              <w:rPr>
                <w:noProof/>
                <w:webHidden/>
              </w:rPr>
              <w:fldChar w:fldCharType="separate"/>
            </w:r>
            <w:r w:rsidR="00F76781">
              <w:rPr>
                <w:noProof/>
                <w:webHidden/>
              </w:rPr>
              <w:t>16</w:t>
            </w:r>
            <w:r>
              <w:rPr>
                <w:noProof/>
                <w:webHidden/>
              </w:rPr>
              <w:fldChar w:fldCharType="end"/>
            </w:r>
          </w:hyperlink>
        </w:p>
        <w:p w:rsidR="00F76781" w:rsidRDefault="00383358">
          <w:pPr>
            <w:pStyle w:val="TOC1"/>
            <w:tabs>
              <w:tab w:val="left" w:pos="440"/>
              <w:tab w:val="right" w:leader="dot" w:pos="9629"/>
            </w:tabs>
            <w:rPr>
              <w:rFonts w:eastAsiaTheme="minorEastAsia"/>
              <w:noProof/>
              <w:lang w:val="en-GB" w:eastAsia="en-GB"/>
            </w:rPr>
          </w:pPr>
          <w:hyperlink w:anchor="_Toc85531099" w:history="1">
            <w:r w:rsidR="00F76781" w:rsidRPr="00112930">
              <w:rPr>
                <w:rStyle w:val="Hyperlink"/>
                <w:rFonts w:eastAsia="Calibri"/>
                <w:noProof/>
                <w:lang w:val="en-GB" w:eastAsia="hu-HU"/>
              </w:rPr>
              <w:t>7.</w:t>
            </w:r>
            <w:r w:rsidR="00F76781">
              <w:rPr>
                <w:rFonts w:eastAsiaTheme="minorEastAsia"/>
                <w:noProof/>
                <w:lang w:val="en-GB" w:eastAsia="en-GB"/>
              </w:rPr>
              <w:tab/>
            </w:r>
            <w:r w:rsidR="00F76781" w:rsidRPr="00112930">
              <w:rPr>
                <w:rStyle w:val="Hyperlink"/>
                <w:rFonts w:eastAsia="Calibri"/>
                <w:noProof/>
                <w:lang w:val="en-GB" w:eastAsia="hu-HU"/>
              </w:rPr>
              <w:t>Conclusion</w:t>
            </w:r>
            <w:r w:rsidR="00F76781">
              <w:rPr>
                <w:noProof/>
                <w:webHidden/>
              </w:rPr>
              <w:tab/>
            </w:r>
            <w:r>
              <w:rPr>
                <w:noProof/>
                <w:webHidden/>
              </w:rPr>
              <w:fldChar w:fldCharType="begin"/>
            </w:r>
            <w:r w:rsidR="00F76781">
              <w:rPr>
                <w:noProof/>
                <w:webHidden/>
              </w:rPr>
              <w:instrText xml:space="preserve"> PAGEREF _Toc85531099 \h </w:instrText>
            </w:r>
            <w:r>
              <w:rPr>
                <w:noProof/>
                <w:webHidden/>
              </w:rPr>
            </w:r>
            <w:r>
              <w:rPr>
                <w:noProof/>
                <w:webHidden/>
              </w:rPr>
              <w:fldChar w:fldCharType="separate"/>
            </w:r>
            <w:r w:rsidR="00F76781">
              <w:rPr>
                <w:noProof/>
                <w:webHidden/>
              </w:rPr>
              <w:t>18</w:t>
            </w:r>
            <w:r>
              <w:rPr>
                <w:noProof/>
                <w:webHidden/>
              </w:rPr>
              <w:fldChar w:fldCharType="end"/>
            </w:r>
          </w:hyperlink>
        </w:p>
        <w:p w:rsidR="00F76781" w:rsidRDefault="00383358">
          <w:pPr>
            <w:pStyle w:val="TOC1"/>
            <w:tabs>
              <w:tab w:val="right" w:leader="dot" w:pos="9629"/>
            </w:tabs>
            <w:rPr>
              <w:rFonts w:eastAsiaTheme="minorEastAsia"/>
              <w:noProof/>
              <w:lang w:val="en-GB" w:eastAsia="en-GB"/>
            </w:rPr>
          </w:pPr>
          <w:hyperlink w:anchor="_Toc85531100" w:history="1">
            <w:r w:rsidR="00F76781" w:rsidRPr="00112930">
              <w:rPr>
                <w:rStyle w:val="Hyperlink"/>
                <w:noProof/>
                <w:lang w:val="en-GB"/>
              </w:rPr>
              <w:t>Bibliography</w:t>
            </w:r>
            <w:r w:rsidR="00F76781">
              <w:rPr>
                <w:noProof/>
                <w:webHidden/>
              </w:rPr>
              <w:tab/>
            </w:r>
            <w:r>
              <w:rPr>
                <w:noProof/>
                <w:webHidden/>
              </w:rPr>
              <w:fldChar w:fldCharType="begin"/>
            </w:r>
            <w:r w:rsidR="00F76781">
              <w:rPr>
                <w:noProof/>
                <w:webHidden/>
              </w:rPr>
              <w:instrText xml:space="preserve"> PAGEREF _Toc85531100 \h </w:instrText>
            </w:r>
            <w:r>
              <w:rPr>
                <w:noProof/>
                <w:webHidden/>
              </w:rPr>
            </w:r>
            <w:r>
              <w:rPr>
                <w:noProof/>
                <w:webHidden/>
              </w:rPr>
              <w:fldChar w:fldCharType="separate"/>
            </w:r>
            <w:r w:rsidR="00F76781">
              <w:rPr>
                <w:noProof/>
                <w:webHidden/>
              </w:rPr>
              <w:t>18</w:t>
            </w:r>
            <w:r>
              <w:rPr>
                <w:noProof/>
                <w:webHidden/>
              </w:rPr>
              <w:fldChar w:fldCharType="end"/>
            </w:r>
          </w:hyperlink>
        </w:p>
        <w:p w:rsidR="00F76781" w:rsidRDefault="00383358">
          <w:pPr>
            <w:pStyle w:val="TOC1"/>
            <w:tabs>
              <w:tab w:val="right" w:leader="dot" w:pos="9629"/>
            </w:tabs>
            <w:rPr>
              <w:rFonts w:eastAsiaTheme="minorEastAsia"/>
              <w:noProof/>
              <w:lang w:val="en-GB" w:eastAsia="en-GB"/>
            </w:rPr>
          </w:pPr>
          <w:hyperlink w:anchor="_Toc85531101" w:history="1">
            <w:r w:rsidR="00F76781" w:rsidRPr="00112930">
              <w:rPr>
                <w:rStyle w:val="Hyperlink"/>
                <w:noProof/>
                <w:lang w:val="en-GB"/>
              </w:rPr>
              <w:t>Appendix</w:t>
            </w:r>
            <w:r w:rsidR="00F76781">
              <w:rPr>
                <w:noProof/>
                <w:webHidden/>
              </w:rPr>
              <w:tab/>
            </w:r>
            <w:r>
              <w:rPr>
                <w:noProof/>
                <w:webHidden/>
              </w:rPr>
              <w:fldChar w:fldCharType="begin"/>
            </w:r>
            <w:r w:rsidR="00F76781">
              <w:rPr>
                <w:noProof/>
                <w:webHidden/>
              </w:rPr>
              <w:instrText xml:space="preserve"> PAGEREF _Toc85531101 \h </w:instrText>
            </w:r>
            <w:r>
              <w:rPr>
                <w:noProof/>
                <w:webHidden/>
              </w:rPr>
            </w:r>
            <w:r>
              <w:rPr>
                <w:noProof/>
                <w:webHidden/>
              </w:rPr>
              <w:fldChar w:fldCharType="separate"/>
            </w:r>
            <w:r w:rsidR="00F76781">
              <w:rPr>
                <w:noProof/>
                <w:webHidden/>
              </w:rPr>
              <w:t>19</w:t>
            </w:r>
            <w:r>
              <w:rPr>
                <w:noProof/>
                <w:webHidden/>
              </w:rPr>
              <w:fldChar w:fldCharType="end"/>
            </w:r>
          </w:hyperlink>
        </w:p>
        <w:p w:rsidR="00C17B48" w:rsidRPr="009B7638" w:rsidRDefault="00383358" w:rsidP="00BD7F5C">
          <w:pPr>
            <w:pStyle w:val="Bezwcicia"/>
            <w:rPr>
              <w:lang w:val="en-GB"/>
            </w:rPr>
          </w:pPr>
          <w:r w:rsidRPr="009B7638">
            <w:rPr>
              <w:b/>
              <w:bCs/>
              <w:lang w:val="en-GB"/>
            </w:rPr>
            <w:fldChar w:fldCharType="end"/>
          </w:r>
        </w:p>
      </w:sdtContent>
    </w:sdt>
    <w:p w:rsidR="00B52EA0" w:rsidRPr="009B7638" w:rsidRDefault="00B52EA0" w:rsidP="00BD7F5C">
      <w:pPr>
        <w:pStyle w:val="Bezwcicia"/>
        <w:rPr>
          <w:lang w:val="en-GB"/>
        </w:rPr>
      </w:pPr>
    </w:p>
    <w:p w:rsidR="00B52EA0" w:rsidRDefault="00B52EA0"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Default="007144C3" w:rsidP="00BD7F5C">
      <w:pPr>
        <w:pStyle w:val="Bezwcicia"/>
        <w:rPr>
          <w:lang w:val="en-GB"/>
        </w:rPr>
      </w:pPr>
    </w:p>
    <w:p w:rsidR="007144C3" w:rsidRPr="009B7638" w:rsidRDefault="007144C3" w:rsidP="00BD7F5C">
      <w:pPr>
        <w:pStyle w:val="Bezwcicia"/>
        <w:rPr>
          <w:lang w:val="en-GB"/>
        </w:rPr>
      </w:pPr>
    </w:p>
    <w:p w:rsidR="001B5FAB" w:rsidRPr="009B7638" w:rsidRDefault="003E0031" w:rsidP="003E0031">
      <w:pPr>
        <w:pStyle w:val="Heading1"/>
        <w:rPr>
          <w:rFonts w:eastAsia="Calibri"/>
          <w:lang w:val="en-GB" w:eastAsia="hu-HU"/>
        </w:rPr>
      </w:pPr>
      <w:bookmarkStart w:id="1" w:name="_Toc85531091"/>
      <w:r w:rsidRPr="009B7638">
        <w:rPr>
          <w:rFonts w:eastAsia="Calibri"/>
          <w:lang w:val="en-GB" w:eastAsia="hu-HU"/>
        </w:rPr>
        <w:lastRenderedPageBreak/>
        <w:t>I</w:t>
      </w:r>
      <w:r w:rsidR="001B5FAB" w:rsidRPr="009B7638">
        <w:rPr>
          <w:rFonts w:eastAsia="Calibri"/>
          <w:lang w:val="en-GB" w:eastAsia="hu-HU"/>
        </w:rPr>
        <w:t>ntroduction</w:t>
      </w:r>
      <w:bookmarkEnd w:id="1"/>
    </w:p>
    <w:p w:rsidR="00AB5C71" w:rsidRDefault="00AB5C71" w:rsidP="00AB5C71">
      <w:pPr>
        <w:widowControl w:val="0"/>
        <w:spacing w:after="0" w:line="360" w:lineRule="auto"/>
        <w:ind w:left="0"/>
      </w:pPr>
      <w:r>
        <w:rPr>
          <w:rFonts w:ascii="Calibri" w:eastAsia="Helvetica Neue" w:hAnsi="Calibri" w:cs="Calibri"/>
          <w:color w:val="000000"/>
          <w:bdr w:val="nil"/>
          <w:lang w:val="en-GB" w:eastAsia="es-ES_tradnl"/>
        </w:rPr>
        <w:t xml:space="preserve">One of the main objectives of the Youth Guarantee is to provide support to those young people who need it the most due to low educational attainment or long-term non-employment. However, these vulnerable young </w:t>
      </w:r>
      <w:proofErr w:type="spellStart"/>
      <w:r>
        <w:rPr>
          <w:rFonts w:ascii="Calibri" w:eastAsia="Helvetica Neue" w:hAnsi="Calibri" w:cs="Calibri"/>
          <w:color w:val="000000"/>
          <w:bdr w:val="nil"/>
          <w:lang w:val="en-GB" w:eastAsia="es-ES_tradnl"/>
        </w:rPr>
        <w:t>persons</w:t>
      </w:r>
      <w:proofErr w:type="spellEnd"/>
      <w:r>
        <w:rPr>
          <w:rFonts w:ascii="Calibri" w:eastAsia="Helvetica Neue" w:hAnsi="Calibri" w:cs="Calibri"/>
          <w:color w:val="000000"/>
          <w:bdr w:val="nil"/>
          <w:lang w:val="en-GB" w:eastAsia="es-ES_tradnl"/>
        </w:rPr>
        <w:t xml:space="preserve"> typically are disengaged and have low trust in public institutions. Hence, a vital first step is to convince these young </w:t>
      </w:r>
      <w:proofErr w:type="spellStart"/>
      <w:r>
        <w:rPr>
          <w:rFonts w:ascii="Calibri" w:eastAsia="Helvetica Neue" w:hAnsi="Calibri" w:cs="Calibri"/>
          <w:color w:val="000000"/>
          <w:bdr w:val="nil"/>
          <w:lang w:val="en-GB" w:eastAsia="es-ES_tradnl"/>
        </w:rPr>
        <w:t>persons</w:t>
      </w:r>
      <w:proofErr w:type="spellEnd"/>
      <w:r>
        <w:rPr>
          <w:rFonts w:ascii="Calibri" w:eastAsia="Helvetica Neue" w:hAnsi="Calibri" w:cs="Calibri"/>
          <w:color w:val="000000"/>
          <w:bdr w:val="nil"/>
          <w:lang w:val="en-GB" w:eastAsia="es-ES_tradnl"/>
        </w:rPr>
        <w:t xml:space="preserve"> </w:t>
      </w:r>
      <w:r w:rsidR="000644D0">
        <w:rPr>
          <w:rFonts w:ascii="Calibri" w:eastAsia="Helvetica Neue" w:hAnsi="Calibri" w:cs="Calibri"/>
          <w:color w:val="000000"/>
          <w:bdr w:val="nil"/>
          <w:lang w:val="en-GB" w:eastAsia="es-ES_tradnl"/>
        </w:rPr>
        <w:t xml:space="preserve">to contact the Youth Guarantee </w:t>
      </w:r>
      <w:r>
        <w:rPr>
          <w:rFonts w:ascii="Calibri" w:eastAsia="Helvetica Neue" w:hAnsi="Calibri" w:cs="Calibri"/>
          <w:color w:val="000000"/>
          <w:bdr w:val="nil"/>
          <w:lang w:val="en-GB" w:eastAsia="es-ES_tradnl"/>
        </w:rPr>
        <w:t>implementing institution, which effectively means to register as jobseeker at the Public Employment Services</w:t>
      </w:r>
      <w:r w:rsidR="0038593E">
        <w:rPr>
          <w:rFonts w:ascii="Calibri" w:eastAsia="Helvetica Neue" w:hAnsi="Calibri" w:cs="Calibri"/>
          <w:color w:val="000000"/>
          <w:bdr w:val="nil"/>
          <w:lang w:val="en-GB" w:eastAsia="es-ES_tradnl"/>
        </w:rPr>
        <w:t>. The Hungarian YG Implementation Plan pointed out “</w:t>
      </w:r>
      <w:r w:rsidR="000644D0">
        <w:rPr>
          <w:rFonts w:ascii="Calibri" w:eastAsia="Helvetica Neue" w:hAnsi="Calibri" w:cs="Calibri"/>
          <w:color w:val="000000"/>
          <w:bdr w:val="nil"/>
          <w:lang w:val="en-GB" w:eastAsia="es-ES_tradnl"/>
        </w:rPr>
        <w:t>[the Youth Guarant</w:t>
      </w:r>
      <w:r w:rsidR="0016782B">
        <w:rPr>
          <w:rFonts w:ascii="Calibri" w:eastAsia="Helvetica Neue" w:hAnsi="Calibri" w:cs="Calibri"/>
          <w:color w:val="000000"/>
          <w:bdr w:val="nil"/>
          <w:lang w:val="en-GB" w:eastAsia="es-ES_tradnl"/>
        </w:rPr>
        <w:t>ee]</w:t>
      </w:r>
      <w:r w:rsidR="0038593E">
        <w:rPr>
          <w:rFonts w:ascii="Calibri" w:eastAsia="Helvetica Neue" w:hAnsi="Calibri" w:cs="Calibri"/>
          <w:color w:val="000000"/>
          <w:bdr w:val="nil"/>
          <w:lang w:val="en-GB" w:eastAsia="es-ES_tradnl"/>
        </w:rPr>
        <w:t>…</w:t>
      </w:r>
      <w:r w:rsidR="0038593E">
        <w:t xml:space="preserve">requires enhanced policy co-ordination and inter-sectoral  co-operation involving networks of governmental and nongovernmental local services of public education, youth and social integration services to reach out effectively to NEET youth.“ </w:t>
      </w:r>
    </w:p>
    <w:p w:rsidR="0038593E" w:rsidRDefault="0038593E" w:rsidP="00AB5C71">
      <w:pPr>
        <w:widowControl w:val="0"/>
        <w:spacing w:after="0" w:line="360" w:lineRule="auto"/>
        <w:ind w:left="0"/>
        <w:rPr>
          <w:lang w:val="en-GB"/>
        </w:rPr>
      </w:pPr>
      <w:r w:rsidRPr="0038593E">
        <w:rPr>
          <w:lang w:val="en-GB"/>
        </w:rPr>
        <w:t xml:space="preserve">In order to </w:t>
      </w:r>
      <w:r w:rsidR="00FC1C7B">
        <w:rPr>
          <w:lang w:val="en-GB"/>
        </w:rPr>
        <w:t xml:space="preserve">understand to what extent the outreach activities were effective, we will need to </w:t>
      </w:r>
      <w:r w:rsidR="000D2E97">
        <w:rPr>
          <w:lang w:val="en-GB"/>
        </w:rPr>
        <w:t>first map out which groups of NEETs have the highest registration propensity, and how the composition (and number of NEETs) evolved throughout the implementation of the Youth Guarantee.</w:t>
      </w:r>
      <w:r w:rsidR="000644D0">
        <w:rPr>
          <w:lang w:val="en-GB"/>
        </w:rPr>
        <w:t xml:space="preserve"> Naturally, those non-employed </w:t>
      </w:r>
      <w:r w:rsidR="000D2E97">
        <w:rPr>
          <w:lang w:val="en-GB"/>
        </w:rPr>
        <w:t xml:space="preserve">who would like to work, and especially those who are actively looking for a job are the ones who are the most interested in registering as jobseeker with the PES, as they would benefit from job offers.  We find however that even among these groups, registration rates are relatively modest. Furthermore, as the implementation of the YG coincided with an ameliorating economic </w:t>
      </w:r>
      <w:proofErr w:type="gramStart"/>
      <w:r w:rsidR="000D2E97">
        <w:rPr>
          <w:lang w:val="en-GB"/>
        </w:rPr>
        <w:t>situation,</w:t>
      </w:r>
      <w:proofErr w:type="gramEnd"/>
      <w:r w:rsidR="000D2E97">
        <w:rPr>
          <w:lang w:val="en-GB"/>
        </w:rPr>
        <w:t xml:space="preserve"> and the number of NEETs closest to the labour market thus decreased, the PES faced a</w:t>
      </w:r>
      <w:r w:rsidR="00BB1C8F">
        <w:rPr>
          <w:lang w:val="en-GB"/>
        </w:rPr>
        <w:t xml:space="preserve">n increasingly difficult task. </w:t>
      </w:r>
    </w:p>
    <w:p w:rsidR="00BB1C8F" w:rsidRPr="0038593E" w:rsidRDefault="00BB1C8F" w:rsidP="00AB5C71">
      <w:pPr>
        <w:widowControl w:val="0"/>
        <w:spacing w:after="0" w:line="360" w:lineRule="auto"/>
        <w:ind w:left="0"/>
        <w:rPr>
          <w:rFonts w:ascii="Calibri" w:eastAsia="Helvetica Neue" w:hAnsi="Calibri" w:cs="Calibri"/>
          <w:color w:val="000000"/>
          <w:bdr w:val="nil"/>
          <w:lang w:val="en-GB" w:eastAsia="es-ES_tradnl"/>
        </w:rPr>
      </w:pPr>
      <w:r>
        <w:rPr>
          <w:lang w:val="en-GB"/>
        </w:rPr>
        <w:t xml:space="preserve">In order to further understand outreach, we will map regional differences in the registration rates of NEETs. If there is a large variation across regions, and it is not fully explained by the composition of NEETs and the state of the local labour market, then we can suspect that it is related to the variation in outreach activities and their effectiveness across regions. This is what we will map out using both survey data and </w:t>
      </w:r>
      <w:r w:rsidR="00CD0CE8">
        <w:rPr>
          <w:lang w:val="en-GB"/>
        </w:rPr>
        <w:t xml:space="preserve">linked </w:t>
      </w:r>
      <w:r>
        <w:rPr>
          <w:lang w:val="en-GB"/>
        </w:rPr>
        <w:t>administ</w:t>
      </w:r>
      <w:r w:rsidR="00CD0CE8">
        <w:rPr>
          <w:lang w:val="en-GB"/>
        </w:rPr>
        <w:t xml:space="preserve">rative datasets. We can go beyond </w:t>
      </w:r>
      <w:r w:rsidR="000F27B1">
        <w:rPr>
          <w:lang w:val="en-GB"/>
        </w:rPr>
        <w:t xml:space="preserve">standard regional analysis at the NUTS2 level, since we have data at the micro-region (LAU1) level. Our analysis shows very large variations, a small part of which can be attributed to the composition of NEETs, and we find that in micro-regions with higher levels of development, a smaller portion of NEETs are registered as jobseekers. At the same time, we suspect that the implementation of the YG was far from </w:t>
      </w:r>
      <w:proofErr w:type="gramStart"/>
      <w:r w:rsidR="000F27B1">
        <w:rPr>
          <w:lang w:val="en-GB"/>
        </w:rPr>
        <w:t>universal,</w:t>
      </w:r>
      <w:proofErr w:type="gramEnd"/>
      <w:r w:rsidR="000F27B1">
        <w:rPr>
          <w:lang w:val="en-GB"/>
        </w:rPr>
        <w:t xml:space="preserve"> </w:t>
      </w:r>
      <w:r w:rsidR="00AC1272">
        <w:rPr>
          <w:lang w:val="en-GB"/>
        </w:rPr>
        <w:t>hence we carried out a survey of PES local labour offices about their outreach activities.</w:t>
      </w:r>
      <w:r w:rsidR="000F27B1">
        <w:rPr>
          <w:lang w:val="en-GB"/>
        </w:rPr>
        <w:t xml:space="preserve"> </w:t>
      </w:r>
    </w:p>
    <w:p w:rsidR="001B5FAB" w:rsidRPr="009B7638" w:rsidRDefault="001B5FAB" w:rsidP="001B5FAB">
      <w:pPr>
        <w:pBdr>
          <w:top w:val="nil"/>
          <w:left w:val="nil"/>
          <w:bottom w:val="nil"/>
          <w:right w:val="nil"/>
          <w:between w:val="nil"/>
          <w:bar w:val="nil"/>
        </w:pBdr>
        <w:spacing w:after="0" w:line="240" w:lineRule="auto"/>
        <w:ind w:left="0" w:firstLine="720"/>
        <w:jc w:val="left"/>
        <w:rPr>
          <w:rFonts w:ascii="Times New Roman" w:eastAsia="Arial Unicode MS" w:hAnsi="Times New Roman" w:cs="Times New Roman"/>
          <w:sz w:val="24"/>
          <w:szCs w:val="24"/>
          <w:bdr w:val="nil"/>
          <w:lang w:val="en-GB"/>
        </w:rPr>
      </w:pPr>
    </w:p>
    <w:p w:rsidR="001B5FAB" w:rsidRPr="009B7638" w:rsidRDefault="001B5FAB" w:rsidP="001B5FAB">
      <w:pPr>
        <w:pBdr>
          <w:top w:val="nil"/>
          <w:left w:val="nil"/>
          <w:bottom w:val="nil"/>
          <w:right w:val="nil"/>
          <w:between w:val="nil"/>
          <w:bar w:val="nil"/>
        </w:pBdr>
        <w:spacing w:after="0" w:line="240" w:lineRule="auto"/>
        <w:ind w:left="0"/>
        <w:jc w:val="left"/>
        <w:rPr>
          <w:rFonts w:ascii="Times New Roman" w:eastAsia="Arial Unicode MS" w:hAnsi="Times New Roman" w:cs="Times New Roman"/>
          <w:sz w:val="24"/>
          <w:szCs w:val="24"/>
          <w:bdr w:val="nil"/>
          <w:lang w:val="en-GB"/>
        </w:rPr>
      </w:pPr>
    </w:p>
    <w:p w:rsidR="001B5FAB" w:rsidRPr="009B7638" w:rsidRDefault="00D35F42" w:rsidP="003E0031">
      <w:pPr>
        <w:pStyle w:val="Heading1"/>
        <w:rPr>
          <w:rFonts w:eastAsia="Calibri"/>
          <w:lang w:val="en-GB" w:eastAsia="hu-HU"/>
        </w:rPr>
      </w:pPr>
      <w:bookmarkStart w:id="2" w:name="_Toc85531092"/>
      <w:r>
        <w:rPr>
          <w:rFonts w:eastAsia="Calibri"/>
          <w:lang w:val="en-GB" w:eastAsia="hu-HU"/>
        </w:rPr>
        <w:lastRenderedPageBreak/>
        <w:t>Institutional and Policy Context</w:t>
      </w:r>
      <w:bookmarkEnd w:id="2"/>
    </w:p>
    <w:p w:rsidR="001B5FAB" w:rsidRPr="009B7638" w:rsidRDefault="002E7E67" w:rsidP="003E0031">
      <w:pPr>
        <w:pStyle w:val="Heading2"/>
        <w:rPr>
          <w:rFonts w:eastAsia="Calibri"/>
          <w:lang w:val="en-GB" w:eastAsia="hu-HU"/>
        </w:rPr>
      </w:pPr>
      <w:bookmarkStart w:id="3" w:name="_Toc85531093"/>
      <w:r>
        <w:rPr>
          <w:rFonts w:eastAsia="Calibri"/>
          <w:lang w:val="en-GB" w:eastAsia="hu-HU"/>
        </w:rPr>
        <w:t>Institutional Context</w:t>
      </w:r>
      <w:bookmarkEnd w:id="3"/>
      <w:r w:rsidR="001B5FAB" w:rsidRPr="009B7638">
        <w:rPr>
          <w:rFonts w:eastAsia="Calibri"/>
          <w:lang w:val="en-GB" w:eastAsia="hu-HU"/>
        </w:rPr>
        <w:t xml:space="preserve"> </w:t>
      </w:r>
    </w:p>
    <w:p w:rsidR="00D9186A" w:rsidRPr="00D9186A" w:rsidRDefault="00D9186A" w:rsidP="00D9186A">
      <w:pPr>
        <w:pBdr>
          <w:top w:val="nil"/>
          <w:left w:val="nil"/>
          <w:bottom w:val="nil"/>
          <w:right w:val="nil"/>
          <w:between w:val="nil"/>
          <w:bar w:val="nil"/>
        </w:pBdr>
        <w:spacing w:after="0" w:line="360" w:lineRule="auto"/>
        <w:ind w:left="0"/>
        <w:rPr>
          <w:rFonts w:ascii="Calibri" w:eastAsia="Arial Unicode MS" w:hAnsi="Calibri" w:cs="Calibri"/>
          <w:bdr w:val="nil"/>
          <w:lang w:val="en-GB"/>
        </w:rPr>
      </w:pPr>
      <w:r w:rsidRPr="00D9186A">
        <w:rPr>
          <w:rFonts w:ascii="Calibri" w:eastAsia="Arial Unicode MS" w:hAnsi="Calibri" w:cs="Calibri"/>
          <w:bdr w:val="nil"/>
          <w:lang w:val="en-GB"/>
        </w:rPr>
        <w:t xml:space="preserve">NFSZ (PES) is an executive agency of the government. It is responsible for the disbursement of insured unemployment benefit and the means-tested unemployment allowance. The NFSZ was integrated into the general government offices in 2015, both at the county (NUTS3) and micro-region (LAU1) level. The 152 local units report to county level NFSZ offices, which in turn report to three ministries (Economy, Interior and Human Capacities). The human resources and infrastructure of the PES network is controlled by the Prime Minister’s Office, while the data system (supporting both policy makers and frontline staff) is under the supervision of the Ministry of Interior. </w:t>
      </w:r>
    </w:p>
    <w:p w:rsidR="001460FE" w:rsidRDefault="00D9186A" w:rsidP="00D9186A">
      <w:pPr>
        <w:pBdr>
          <w:top w:val="nil"/>
          <w:left w:val="nil"/>
          <w:bottom w:val="nil"/>
          <w:right w:val="nil"/>
          <w:between w:val="nil"/>
          <w:bar w:val="nil"/>
        </w:pBdr>
        <w:spacing w:after="0" w:line="360" w:lineRule="auto"/>
        <w:ind w:left="0"/>
        <w:rPr>
          <w:rFonts w:ascii="Calibri" w:eastAsia="Arial Unicode MS" w:hAnsi="Calibri" w:cs="Calibri"/>
          <w:bdr w:val="nil"/>
          <w:lang w:val="en-GB"/>
        </w:rPr>
      </w:pPr>
      <w:r w:rsidRPr="00D9186A">
        <w:rPr>
          <w:rFonts w:ascii="Calibri" w:eastAsia="Arial Unicode MS" w:hAnsi="Calibri" w:cs="Calibri"/>
          <w:bdr w:val="nil"/>
          <w:lang w:val="en-GB"/>
        </w:rPr>
        <w:t>Governance of the PES is simultaneously centralized and fragmented. The effectiveness of PES services may be impaired by the overly complex allocation of responsibilities in that the core functions of the PES are supervised by the Ministry for National Economy, but public works are governed by the Ministry of Interior and rehabilitation services are controlled by the Ministry of Human Capacities. Accordingly, strategic management is divided between the different Ministries. The planning of ALMP measures supervised by the Ministry for National Economy is to some extent based on labour market forecasts and local needs and targets are negotiated between the county level and the ministry. In terms of the implementation of active measures and services, county level has some flexibility, but this typically is limited to how to combine active measures with services.</w:t>
      </w:r>
    </w:p>
    <w:p w:rsidR="00D35F42" w:rsidRPr="009B7638" w:rsidRDefault="00D35F42" w:rsidP="00D35F42">
      <w:pPr>
        <w:pStyle w:val="Heading2"/>
        <w:rPr>
          <w:rFonts w:eastAsia="Calibri"/>
          <w:lang w:val="en-GB" w:eastAsia="hu-HU"/>
        </w:rPr>
      </w:pPr>
      <w:bookmarkStart w:id="4" w:name="_Toc85531094"/>
      <w:r>
        <w:rPr>
          <w:rFonts w:eastAsia="Calibri"/>
          <w:lang w:val="en-GB" w:eastAsia="hu-HU"/>
        </w:rPr>
        <w:t>Policy Context</w:t>
      </w:r>
      <w:bookmarkEnd w:id="4"/>
      <w:r w:rsidRPr="009B7638">
        <w:rPr>
          <w:rFonts w:eastAsia="Calibri"/>
          <w:lang w:val="en-GB" w:eastAsia="hu-HU"/>
        </w:rPr>
        <w:t xml:space="preserve"> </w:t>
      </w:r>
    </w:p>
    <w:p w:rsidR="00A92C2A" w:rsidRPr="00A92C2A" w:rsidRDefault="00A92C2A" w:rsidP="00A92C2A">
      <w:pPr>
        <w:pBdr>
          <w:top w:val="nil"/>
          <w:left w:val="nil"/>
          <w:bottom w:val="nil"/>
          <w:right w:val="nil"/>
          <w:between w:val="nil"/>
          <w:bar w:val="nil"/>
        </w:pBdr>
        <w:spacing w:after="0" w:line="360" w:lineRule="auto"/>
        <w:ind w:left="0"/>
        <w:rPr>
          <w:rFonts w:ascii="Calibri" w:eastAsia="Arial Unicode MS" w:hAnsi="Calibri" w:cs="Calibri"/>
          <w:bdr w:val="nil"/>
          <w:lang w:val="en-GB"/>
        </w:rPr>
      </w:pPr>
      <w:r w:rsidRPr="00A92C2A">
        <w:rPr>
          <w:rFonts w:ascii="Calibri" w:eastAsia="Arial Unicode MS" w:hAnsi="Calibri" w:cs="Calibri"/>
          <w:bdr w:val="nil"/>
          <w:lang w:val="en-GB"/>
        </w:rPr>
        <w:t xml:space="preserve">Hungary started the YG implementation gradually: from January 2015 the programme guaranteed an offer within 6 months for those who had been registered with PES for at least 6 months, starting from June 30 2016 it provided help within 4 months for those who had been registered for at least 4 months, and finally from January 2018 it guarantees an offer within 4 months for all NEETs. In 2015, there was also a staggered rollout strategy of the YG. More precisely: in the six regions where the financing of the programme relied on YEI/ESF funds, the programme started on the 1st of January 2015, while in Central Hungary, where a combination of national and ESF funding was used, the implementation started only after the 1st of October 2015. </w:t>
      </w:r>
    </w:p>
    <w:p w:rsidR="00A92C2A" w:rsidRPr="00A92C2A" w:rsidRDefault="00A92C2A" w:rsidP="00A92C2A">
      <w:pPr>
        <w:pBdr>
          <w:top w:val="nil"/>
          <w:left w:val="nil"/>
          <w:bottom w:val="nil"/>
          <w:right w:val="nil"/>
          <w:between w:val="nil"/>
          <w:bar w:val="nil"/>
        </w:pBdr>
        <w:spacing w:after="0" w:line="360" w:lineRule="auto"/>
        <w:ind w:left="0"/>
        <w:rPr>
          <w:rFonts w:ascii="Calibri" w:eastAsia="Arial Unicode MS" w:hAnsi="Calibri" w:cs="Calibri"/>
          <w:bdr w:val="nil"/>
          <w:lang w:val="en-GB"/>
        </w:rPr>
      </w:pPr>
      <w:r w:rsidRPr="00A92C2A">
        <w:rPr>
          <w:rFonts w:ascii="Calibri" w:eastAsia="Arial Unicode MS" w:hAnsi="Calibri" w:cs="Calibri"/>
          <w:bdr w:val="nil"/>
          <w:lang w:val="en-GB"/>
        </w:rPr>
        <w:lastRenderedPageBreak/>
        <w:t xml:space="preserve">It is important to point out that most funds were used for ALMPs, and services had a relatively small budget. One of the novelties of the national YG framework was to employ YG mentors. At the local level, they should contact the YG participants in order to convince them to participate in the YG, and then support them throughout their programme participation. However, regular mentoring was only launched in January 2017, and mentors had very little time to perform outreach activities.  Similarly, very little financing was reserved for the promotion of the YG at the local </w:t>
      </w:r>
      <w:proofErr w:type="gramStart"/>
      <w:r w:rsidRPr="00A92C2A">
        <w:rPr>
          <w:rFonts w:ascii="Calibri" w:eastAsia="Arial Unicode MS" w:hAnsi="Calibri" w:cs="Calibri"/>
          <w:bdr w:val="nil"/>
          <w:lang w:val="en-GB"/>
        </w:rPr>
        <w:t>level,</w:t>
      </w:r>
      <w:proofErr w:type="gramEnd"/>
      <w:r w:rsidRPr="00A92C2A">
        <w:rPr>
          <w:rFonts w:ascii="Calibri" w:eastAsia="Arial Unicode MS" w:hAnsi="Calibri" w:cs="Calibri"/>
          <w:bdr w:val="nil"/>
          <w:lang w:val="en-GB"/>
        </w:rPr>
        <w:t xml:space="preserve"> some of this was done at the county level. In line with the initial goal of enrolling those who have been on the dole for a significant amount of time, there was not much attention devoted to outreach. Effectively, these activities were encouraged only starting in 2018, when the stock of young unemployed persons was significantly decreasing, partly due to economic growth. </w:t>
      </w:r>
    </w:p>
    <w:p w:rsidR="001B5FAB" w:rsidRPr="009B7638" w:rsidRDefault="00A92C2A" w:rsidP="007D68E2">
      <w:pPr>
        <w:pBdr>
          <w:top w:val="nil"/>
          <w:left w:val="nil"/>
          <w:bottom w:val="nil"/>
          <w:right w:val="nil"/>
          <w:between w:val="nil"/>
          <w:bar w:val="nil"/>
        </w:pBdr>
        <w:spacing w:after="0" w:line="360" w:lineRule="auto"/>
        <w:ind w:left="0"/>
        <w:rPr>
          <w:rFonts w:ascii="Calibri" w:eastAsia="Helvetica Neue" w:hAnsi="Calibri" w:cs="Calibri"/>
          <w:color w:val="000000"/>
          <w:bdr w:val="nil"/>
          <w:lang w:val="en-GB" w:eastAsia="es-ES_tradnl"/>
        </w:rPr>
      </w:pPr>
      <w:r w:rsidRPr="00A92C2A">
        <w:rPr>
          <w:rFonts w:ascii="Calibri" w:eastAsia="Arial Unicode MS" w:hAnsi="Calibri" w:cs="Calibri"/>
          <w:bdr w:val="nil"/>
          <w:lang w:val="en-GB"/>
        </w:rPr>
        <w:t>It is worth mentioning the importance of the public works programme in</w:t>
      </w:r>
      <w:r w:rsidR="000644D0">
        <w:rPr>
          <w:rFonts w:ascii="Calibri" w:eastAsia="Arial Unicode MS" w:hAnsi="Calibri" w:cs="Calibri"/>
          <w:bdr w:val="nil"/>
          <w:lang w:val="en-GB"/>
        </w:rPr>
        <w:t xml:space="preserve"> the Hungarian context. </w:t>
      </w:r>
      <w:proofErr w:type="gramStart"/>
      <w:r w:rsidR="000644D0">
        <w:rPr>
          <w:rFonts w:ascii="Calibri" w:eastAsia="Arial Unicode MS" w:hAnsi="Calibri" w:cs="Calibri"/>
          <w:bdr w:val="nil"/>
          <w:lang w:val="en-GB"/>
        </w:rPr>
        <w:t xml:space="preserve">This is </w:t>
      </w:r>
      <w:r w:rsidRPr="00A92C2A">
        <w:rPr>
          <w:rFonts w:ascii="Calibri" w:eastAsia="Arial Unicode MS" w:hAnsi="Calibri" w:cs="Calibri"/>
          <w:bdr w:val="nil"/>
          <w:lang w:val="en-GB"/>
        </w:rPr>
        <w:t>essentially a workfare programme, giving access to an income higher than unemployment assistance, but lower</w:t>
      </w:r>
      <w:proofErr w:type="gramEnd"/>
      <w:r w:rsidRPr="00A92C2A">
        <w:rPr>
          <w:rFonts w:ascii="Calibri" w:eastAsia="Arial Unicode MS" w:hAnsi="Calibri" w:cs="Calibri"/>
          <w:bdr w:val="nil"/>
          <w:lang w:val="en-GB"/>
        </w:rPr>
        <w:t xml:space="preserve"> than the minimum wage, and is essentially a dead-end. Prior to the introduction of the YG, in 2014, there were on average around 200 thousand participants, while there were on the order of 400 thousand registered unemployed nationwide. While the proportion of those on public works among young </w:t>
      </w:r>
      <w:proofErr w:type="spellStart"/>
      <w:r w:rsidRPr="00A92C2A">
        <w:rPr>
          <w:rFonts w:ascii="Calibri" w:eastAsia="Arial Unicode MS" w:hAnsi="Calibri" w:cs="Calibri"/>
          <w:bdr w:val="nil"/>
          <w:lang w:val="en-GB"/>
        </w:rPr>
        <w:t>persons</w:t>
      </w:r>
      <w:proofErr w:type="spellEnd"/>
      <w:r w:rsidRPr="00A92C2A">
        <w:rPr>
          <w:rFonts w:ascii="Calibri" w:eastAsia="Arial Unicode MS" w:hAnsi="Calibri" w:cs="Calibri"/>
          <w:bdr w:val="nil"/>
          <w:lang w:val="en-GB"/>
        </w:rPr>
        <w:t xml:space="preserve"> was much lower, it was non-negligible. As </w:t>
      </w:r>
      <w:proofErr w:type="spellStart"/>
      <w:r w:rsidRPr="00A92C2A">
        <w:rPr>
          <w:rFonts w:ascii="Calibri" w:eastAsia="Arial Unicode MS" w:hAnsi="Calibri" w:cs="Calibri"/>
          <w:bdr w:val="nil"/>
          <w:lang w:val="en-GB"/>
        </w:rPr>
        <w:t>Molnár</w:t>
      </w:r>
      <w:proofErr w:type="spellEnd"/>
      <w:r w:rsidRPr="00A92C2A">
        <w:rPr>
          <w:rFonts w:ascii="Calibri" w:eastAsia="Arial Unicode MS" w:hAnsi="Calibri" w:cs="Calibri"/>
          <w:bdr w:val="nil"/>
          <w:lang w:val="en-GB"/>
        </w:rPr>
        <w:t xml:space="preserve"> (2019) showed, the proportion of those below age 20 among entrants into public works programmes was above 10 percent in 2015-2016. Thus, due the fear was that young </w:t>
      </w:r>
      <w:proofErr w:type="spellStart"/>
      <w:r w:rsidRPr="00A92C2A">
        <w:rPr>
          <w:rFonts w:ascii="Calibri" w:eastAsia="Arial Unicode MS" w:hAnsi="Calibri" w:cs="Calibri"/>
          <w:bdr w:val="nil"/>
          <w:lang w:val="en-GB"/>
        </w:rPr>
        <w:t>persons</w:t>
      </w:r>
      <w:proofErr w:type="spellEnd"/>
      <w:r w:rsidRPr="00A92C2A">
        <w:rPr>
          <w:rFonts w:ascii="Calibri" w:eastAsia="Arial Unicode MS" w:hAnsi="Calibri" w:cs="Calibri"/>
          <w:bdr w:val="nil"/>
          <w:lang w:val="en-GB"/>
        </w:rPr>
        <w:t xml:space="preserve"> do not enter the YG (as well as youth not performing well in school and living in poverty dropping out of school to join a public works programme)</w:t>
      </w:r>
      <w:proofErr w:type="gramStart"/>
      <w:r w:rsidRPr="00A92C2A">
        <w:rPr>
          <w:rFonts w:ascii="Calibri" w:eastAsia="Arial Unicode MS" w:hAnsi="Calibri" w:cs="Calibri"/>
          <w:bdr w:val="nil"/>
          <w:lang w:val="en-GB"/>
        </w:rPr>
        <w:t>,</w:t>
      </w:r>
      <w:proofErr w:type="gramEnd"/>
      <w:r w:rsidRPr="00A92C2A">
        <w:rPr>
          <w:rFonts w:ascii="Calibri" w:eastAsia="Arial Unicode MS" w:hAnsi="Calibri" w:cs="Calibri"/>
          <w:bdr w:val="nil"/>
          <w:lang w:val="en-GB"/>
        </w:rPr>
        <w:t xml:space="preserve"> in 2017 the government legislated that for those under age 25, public works can only be used as a last resort. The fact that a non-negligible portion of young </w:t>
      </w:r>
      <w:proofErr w:type="spellStart"/>
      <w:r w:rsidRPr="00A92C2A">
        <w:rPr>
          <w:rFonts w:ascii="Calibri" w:eastAsia="Arial Unicode MS" w:hAnsi="Calibri" w:cs="Calibri"/>
          <w:bdr w:val="nil"/>
          <w:lang w:val="en-GB"/>
        </w:rPr>
        <w:t>persons</w:t>
      </w:r>
      <w:proofErr w:type="spellEnd"/>
      <w:r w:rsidRPr="00A92C2A">
        <w:rPr>
          <w:rFonts w:ascii="Calibri" w:eastAsia="Arial Unicode MS" w:hAnsi="Calibri" w:cs="Calibri"/>
          <w:bdr w:val="nil"/>
          <w:lang w:val="en-GB"/>
        </w:rPr>
        <w:t xml:space="preserve"> is currently in a public works programme has some direct consequences on our estimates of the number of NEETs. In what follows, we will consider public works participants as employed, in line with the official definition.</w:t>
      </w:r>
      <w:r w:rsidR="001B5FAB" w:rsidRPr="009B7638">
        <w:rPr>
          <w:rFonts w:ascii="Calibri" w:eastAsia="Helvetica Neue" w:hAnsi="Calibri" w:cs="Calibri"/>
          <w:color w:val="000000"/>
          <w:bdr w:val="nil"/>
          <w:lang w:val="en-GB" w:eastAsia="es-ES_tradnl"/>
        </w:rPr>
        <w:t xml:space="preserve"> </w:t>
      </w:r>
    </w:p>
    <w:p w:rsidR="001B5FAB" w:rsidRPr="009B7638" w:rsidRDefault="007D68E2" w:rsidP="003E0031">
      <w:pPr>
        <w:pStyle w:val="Heading1"/>
        <w:rPr>
          <w:rFonts w:eastAsia="Calibri"/>
          <w:lang w:val="en-GB" w:eastAsia="hu-HU"/>
        </w:rPr>
      </w:pPr>
      <w:bookmarkStart w:id="5" w:name="_Toc55389864"/>
      <w:bookmarkStart w:id="6" w:name="_Toc85531095"/>
      <w:bookmarkEnd w:id="5"/>
      <w:r>
        <w:rPr>
          <w:rFonts w:eastAsia="Calibri"/>
          <w:lang w:val="en-GB" w:eastAsia="hu-HU"/>
        </w:rPr>
        <w:t>Data and definitions</w:t>
      </w:r>
      <w:bookmarkEnd w:id="6"/>
      <w:r w:rsidR="001B5FAB" w:rsidRPr="009B7638">
        <w:rPr>
          <w:rFonts w:eastAsia="Calibri"/>
          <w:lang w:val="en-GB" w:eastAsia="hu-HU"/>
        </w:rPr>
        <w:t xml:space="preserve"> </w:t>
      </w:r>
    </w:p>
    <w:p w:rsidR="001007E1" w:rsidRPr="009B7638" w:rsidRDefault="001007E1" w:rsidP="001007E1">
      <w:pPr>
        <w:pStyle w:val="Heading4"/>
        <w:rPr>
          <w:rFonts w:eastAsia="Arial Unicode MS"/>
          <w:bdr w:val="nil"/>
          <w:lang w:val="en-GB"/>
        </w:rPr>
      </w:pPr>
      <w:r>
        <w:rPr>
          <w:rFonts w:eastAsia="Arial Unicode MS"/>
          <w:bdr w:val="nil"/>
          <w:lang w:val="en-GB"/>
        </w:rPr>
        <w:t>labour force survey</w:t>
      </w:r>
    </w:p>
    <w:p w:rsidR="00B341BC" w:rsidRDefault="006D56B0" w:rsidP="001007E1">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6D56B0">
        <w:rPr>
          <w:rFonts w:ascii="Calibri" w:eastAsia="Arial Unicode MS" w:hAnsi="Calibri" w:cs="Calibri"/>
          <w:bdr w:val="nil"/>
          <w:lang w:val="en-GB"/>
        </w:rPr>
        <w:t xml:space="preserve">The first dataset we use is the Labour Force Survey, which is collected by the Hungarian Central Statistical Office, in line with </w:t>
      </w:r>
      <w:proofErr w:type="spellStart"/>
      <w:r w:rsidRPr="006D56B0">
        <w:rPr>
          <w:rFonts w:ascii="Calibri" w:eastAsia="Arial Unicode MS" w:hAnsi="Calibri" w:cs="Calibri"/>
          <w:bdr w:val="nil"/>
          <w:lang w:val="en-GB"/>
        </w:rPr>
        <w:t>Eurostat</w:t>
      </w:r>
      <w:proofErr w:type="spellEnd"/>
      <w:r w:rsidRPr="006D56B0">
        <w:rPr>
          <w:rFonts w:ascii="Calibri" w:eastAsia="Arial Unicode MS" w:hAnsi="Calibri" w:cs="Calibri"/>
          <w:bdr w:val="nil"/>
          <w:lang w:val="en-GB"/>
        </w:rPr>
        <w:t xml:space="preserve"> regulations. This means that it contains questions on whether a person is registered as jobseeker at the PES (and whether they receive benefits). We will us</w:t>
      </w:r>
      <w:r w:rsidR="000644D0">
        <w:rPr>
          <w:rFonts w:ascii="Calibri" w:eastAsia="Arial Unicode MS" w:hAnsi="Calibri" w:cs="Calibri"/>
          <w:bdr w:val="nil"/>
          <w:lang w:val="en-GB"/>
        </w:rPr>
        <w:t xml:space="preserve">e all young </w:t>
      </w:r>
      <w:proofErr w:type="spellStart"/>
      <w:r w:rsidR="000644D0">
        <w:rPr>
          <w:rFonts w:ascii="Calibri" w:eastAsia="Arial Unicode MS" w:hAnsi="Calibri" w:cs="Calibri"/>
          <w:bdr w:val="nil"/>
          <w:lang w:val="en-GB"/>
        </w:rPr>
        <w:t>persons</w:t>
      </w:r>
      <w:proofErr w:type="spellEnd"/>
      <w:r w:rsidR="000644D0">
        <w:rPr>
          <w:rFonts w:ascii="Calibri" w:eastAsia="Arial Unicode MS" w:hAnsi="Calibri" w:cs="Calibri"/>
          <w:bdr w:val="nil"/>
          <w:lang w:val="en-GB"/>
        </w:rPr>
        <w:t xml:space="preserve"> age 16 – 29</w:t>
      </w:r>
      <w:r w:rsidRPr="006D56B0">
        <w:rPr>
          <w:rFonts w:ascii="Calibri" w:eastAsia="Arial Unicode MS" w:hAnsi="Calibri" w:cs="Calibri"/>
          <w:bdr w:val="nil"/>
          <w:lang w:val="en-GB"/>
        </w:rPr>
        <w:t xml:space="preserve">, and use standard definitions of NEETs. We use data from 2015-2019, to map the evolution NEETS </w:t>
      </w:r>
      <w:r w:rsidRPr="006D56B0">
        <w:rPr>
          <w:rFonts w:ascii="Calibri" w:eastAsia="Arial Unicode MS" w:hAnsi="Calibri" w:cs="Calibri"/>
          <w:bdr w:val="nil"/>
          <w:lang w:val="en-GB"/>
        </w:rPr>
        <w:lastRenderedPageBreak/>
        <w:t xml:space="preserve">and their registration at the PES from the introduction of the YG to the most recent years. This survey is representative of the population at the NUTS2 region </w:t>
      </w:r>
      <w:proofErr w:type="gramStart"/>
      <w:r w:rsidRPr="006D56B0">
        <w:rPr>
          <w:rFonts w:ascii="Calibri" w:eastAsia="Arial Unicode MS" w:hAnsi="Calibri" w:cs="Calibri"/>
          <w:bdr w:val="nil"/>
          <w:lang w:val="en-GB"/>
        </w:rPr>
        <w:t>level,</w:t>
      </w:r>
      <w:proofErr w:type="gramEnd"/>
      <w:r w:rsidRPr="006D56B0">
        <w:rPr>
          <w:rFonts w:ascii="Calibri" w:eastAsia="Arial Unicode MS" w:hAnsi="Calibri" w:cs="Calibri"/>
          <w:bdr w:val="nil"/>
          <w:lang w:val="en-GB"/>
        </w:rPr>
        <w:t xml:space="preserve"> hence, we will use this disaggregation in most of our analysis. As is usual for LFS, the questionnaire also contains questions about why a person is currently not working/looking for a job, hence is useful for characterizing NEETs (beyond basic demographic trends).</w:t>
      </w:r>
    </w:p>
    <w:p w:rsidR="006D56B0" w:rsidRPr="009B7638" w:rsidRDefault="006D56B0" w:rsidP="006D56B0">
      <w:pPr>
        <w:pStyle w:val="Heading4"/>
        <w:rPr>
          <w:rFonts w:eastAsia="Arial Unicode MS"/>
          <w:bdr w:val="nil"/>
          <w:lang w:val="en-GB"/>
        </w:rPr>
      </w:pPr>
      <w:r>
        <w:rPr>
          <w:rFonts w:eastAsia="Arial Unicode MS"/>
          <w:bdr w:val="nil"/>
          <w:lang w:val="en-GB"/>
        </w:rPr>
        <w:t>Micro-census, 2016</w:t>
      </w:r>
    </w:p>
    <w:p w:rsidR="006D56B0" w:rsidRDefault="00D70921" w:rsidP="006D56B0">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D70921">
        <w:rPr>
          <w:rFonts w:ascii="Calibri" w:eastAsia="Arial Unicode MS" w:hAnsi="Calibri" w:cs="Calibri"/>
          <w:bdr w:val="nil"/>
          <w:lang w:val="en-GB"/>
        </w:rPr>
        <w:t>The Micro-Census is performed in-between Censuses by the Hungarian Central Statistical Office, and it represents a 10 percent random sample of the Hungarian population. This survey was performed in October 2016.  This sampling strategy allows on to calculate basic indices at the level of LAU1 (which roughly corresponds to PES local office level). While the survey contains standard questions on economic activity, and thus we can calculate NEETSs in line with the definition use in the LFS, it does not contain information about registration as jobseeker. Thus, this data will be used to calculate the number of NEETs (and their basic demographic distribution) at the PES local office level.</w:t>
      </w:r>
    </w:p>
    <w:p w:rsidR="00D70921" w:rsidRPr="009B7638" w:rsidRDefault="00D70921" w:rsidP="00D70921">
      <w:pPr>
        <w:pStyle w:val="Heading4"/>
        <w:rPr>
          <w:rFonts w:eastAsia="Arial Unicode MS"/>
          <w:bdr w:val="nil"/>
          <w:lang w:val="en-GB"/>
        </w:rPr>
      </w:pPr>
      <w:r>
        <w:rPr>
          <w:rFonts w:eastAsia="Arial Unicode MS"/>
          <w:bdr w:val="nil"/>
          <w:lang w:val="en-GB"/>
        </w:rPr>
        <w:t>PES register data</w:t>
      </w:r>
    </w:p>
    <w:p w:rsidR="00D70921" w:rsidRDefault="00D70921" w:rsidP="00D70921">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D70921">
        <w:rPr>
          <w:rFonts w:ascii="Calibri" w:eastAsia="Arial Unicode MS" w:hAnsi="Calibri" w:cs="Calibri"/>
          <w:bdr w:val="nil"/>
          <w:lang w:val="en-GB"/>
        </w:rPr>
        <w:t xml:space="preserve">We have access to a 50 percent sample of the PES register data (spell-level) for the period 2009-2017. We use this data to calculate the number of registered jobseekers at the local office (LAU1) level, along with their basic demographic characteristics. These definitions were harmonized with the ones for the </w:t>
      </w:r>
      <w:proofErr w:type="spellStart"/>
      <w:r w:rsidRPr="00D70921">
        <w:rPr>
          <w:rFonts w:ascii="Calibri" w:eastAsia="Arial Unicode MS" w:hAnsi="Calibri" w:cs="Calibri"/>
          <w:bdr w:val="nil"/>
          <w:lang w:val="en-GB"/>
        </w:rPr>
        <w:t>Microcensus</w:t>
      </w:r>
      <w:proofErr w:type="spellEnd"/>
      <w:r w:rsidRPr="00D70921">
        <w:rPr>
          <w:rFonts w:ascii="Calibri" w:eastAsia="Arial Unicode MS" w:hAnsi="Calibri" w:cs="Calibri"/>
          <w:bdr w:val="nil"/>
          <w:lang w:val="en-GB"/>
        </w:rPr>
        <w:t xml:space="preserve"> 2016. Given that our objective is to relate the </w:t>
      </w:r>
      <w:proofErr w:type="spellStart"/>
      <w:r w:rsidRPr="00D70921">
        <w:rPr>
          <w:rFonts w:ascii="Calibri" w:eastAsia="Arial Unicode MS" w:hAnsi="Calibri" w:cs="Calibri"/>
          <w:bdr w:val="nil"/>
          <w:lang w:val="en-GB"/>
        </w:rPr>
        <w:t>Microcensus</w:t>
      </w:r>
      <w:proofErr w:type="spellEnd"/>
      <w:r w:rsidRPr="00D70921">
        <w:rPr>
          <w:rFonts w:ascii="Calibri" w:eastAsia="Arial Unicode MS" w:hAnsi="Calibri" w:cs="Calibri"/>
          <w:bdr w:val="nil"/>
          <w:lang w:val="en-GB"/>
        </w:rPr>
        <w:t xml:space="preserve"> data to the PES register data, we calculated the stock of registered jobseekers for the 1st of October 2016. We only included those youth who had an active unemployment  spell, meaning those whose spell was temporarily ‘suspended’ (this category is primarily composed of public works participants, while training participants are also part of this pool) were not counted as  unemployed.  </w:t>
      </w:r>
    </w:p>
    <w:p w:rsidR="00D70921" w:rsidRPr="009B7638" w:rsidRDefault="00D70921" w:rsidP="00D70921">
      <w:pPr>
        <w:pStyle w:val="Heading4"/>
        <w:rPr>
          <w:rFonts w:eastAsia="Arial Unicode MS"/>
          <w:bdr w:val="nil"/>
          <w:lang w:val="en-GB"/>
        </w:rPr>
      </w:pPr>
      <w:r>
        <w:rPr>
          <w:rFonts w:eastAsia="Arial Unicode MS"/>
          <w:bdr w:val="nil"/>
          <w:lang w:val="en-GB"/>
        </w:rPr>
        <w:t>administrative data</w:t>
      </w:r>
    </w:p>
    <w:p w:rsidR="00D70921" w:rsidRDefault="00F43402" w:rsidP="00D70921">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F43402">
        <w:rPr>
          <w:rFonts w:ascii="Calibri" w:eastAsia="Arial Unicode MS" w:hAnsi="Calibri" w:cs="Calibri"/>
          <w:bdr w:val="nil"/>
          <w:lang w:val="en-GB"/>
        </w:rPr>
        <w:t xml:space="preserve">In addition to the above-mentioned PES register data, we also have access to a number of other </w:t>
      </w:r>
      <w:proofErr w:type="spellStart"/>
      <w:r w:rsidRPr="00F43402">
        <w:rPr>
          <w:rFonts w:ascii="Calibri" w:eastAsia="Arial Unicode MS" w:hAnsi="Calibri" w:cs="Calibri"/>
          <w:bdr w:val="nil"/>
          <w:lang w:val="en-GB"/>
        </w:rPr>
        <w:t>datasources</w:t>
      </w:r>
      <w:proofErr w:type="spellEnd"/>
      <w:r w:rsidRPr="00F43402">
        <w:rPr>
          <w:rFonts w:ascii="Calibri" w:eastAsia="Arial Unicode MS" w:hAnsi="Calibri" w:cs="Calibri"/>
          <w:bdr w:val="nil"/>
          <w:lang w:val="en-GB"/>
        </w:rPr>
        <w:t xml:space="preserve"> (courtesy of the CERS Databank, as part of the ‘Admin3’ database). Of prime importance are (1) the social security (pension register) data and the (2) education register data. From the first, we have information on all those who are (legally) employed – hence, we have no information on those working in </w:t>
      </w:r>
      <w:r w:rsidRPr="00F43402">
        <w:rPr>
          <w:rFonts w:ascii="Calibri" w:eastAsia="Arial Unicode MS" w:hAnsi="Calibri" w:cs="Calibri"/>
          <w:bdr w:val="nil"/>
          <w:lang w:val="en-GB"/>
        </w:rPr>
        <w:lastRenderedPageBreak/>
        <w:t xml:space="preserve">the ‘black economy’. From the second, we know which young participated in formal training (provided by a recognised secondary or tertiary education institution). </w:t>
      </w:r>
      <w:proofErr w:type="gramStart"/>
      <w:r w:rsidRPr="00F43402">
        <w:rPr>
          <w:rFonts w:ascii="Calibri" w:eastAsia="Arial Unicode MS" w:hAnsi="Calibri" w:cs="Calibri"/>
          <w:bdr w:val="nil"/>
          <w:lang w:val="en-GB"/>
        </w:rPr>
        <w:t>This latter means that we do not have information on those who participate in adult education, language education or similar courses (as these are typically provided by other types of institutions).</w:t>
      </w:r>
      <w:proofErr w:type="gramEnd"/>
      <w:r w:rsidRPr="00F43402">
        <w:rPr>
          <w:rFonts w:ascii="Calibri" w:eastAsia="Arial Unicode MS" w:hAnsi="Calibri" w:cs="Calibri"/>
          <w:bdr w:val="nil"/>
          <w:lang w:val="en-GB"/>
        </w:rPr>
        <w:t xml:space="preserve">  Based on these pieces of data, we can provide an alternative estimate of the number of NEETs. Clearly, this number will provide an upper bound NEETs, due to the omission of the categories mentioned above, and who would count as working or in training based on survey data.</w:t>
      </w:r>
    </w:p>
    <w:p w:rsidR="00F43402" w:rsidRPr="009B7638" w:rsidRDefault="00F43402" w:rsidP="00F43402">
      <w:pPr>
        <w:pStyle w:val="Heading4"/>
        <w:rPr>
          <w:rFonts w:eastAsia="Arial Unicode MS"/>
          <w:bdr w:val="nil"/>
          <w:lang w:val="en-GB"/>
        </w:rPr>
      </w:pPr>
      <w:r>
        <w:rPr>
          <w:rFonts w:eastAsia="Arial Unicode MS"/>
          <w:bdr w:val="nil"/>
          <w:lang w:val="en-GB"/>
        </w:rPr>
        <w:t>pes local office survey data</w:t>
      </w:r>
    </w:p>
    <w:p w:rsidR="00F43402" w:rsidRDefault="00F43402"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F43402">
        <w:rPr>
          <w:rFonts w:ascii="Calibri" w:eastAsia="Arial Unicode MS" w:hAnsi="Calibri" w:cs="Calibri"/>
          <w:bdr w:val="nil"/>
          <w:lang w:val="en-GB"/>
        </w:rPr>
        <w:t xml:space="preserve">We collected data at the PES local office (as well as county office) level in June 2019. This was done via an internet survey (emailed to PES local office heads), and we had a response rate of 95 percent. The objective of this survey was three-fold. </w:t>
      </w:r>
      <w:proofErr w:type="gramStart"/>
      <w:r w:rsidRPr="00F43402">
        <w:rPr>
          <w:rFonts w:ascii="Calibri" w:eastAsia="Arial Unicode MS" w:hAnsi="Calibri" w:cs="Calibri"/>
          <w:bdr w:val="nil"/>
          <w:lang w:val="en-GB"/>
        </w:rPr>
        <w:t>First, to obtain some information about what local offices are actually doing in terms of outreach to NEETs.</w:t>
      </w:r>
      <w:proofErr w:type="gramEnd"/>
      <w:r w:rsidRPr="00F43402">
        <w:rPr>
          <w:rFonts w:ascii="Calibri" w:eastAsia="Arial Unicode MS" w:hAnsi="Calibri" w:cs="Calibri"/>
          <w:bdr w:val="nil"/>
          <w:lang w:val="en-GB"/>
        </w:rPr>
        <w:t xml:space="preserve"> </w:t>
      </w:r>
      <w:proofErr w:type="gramStart"/>
      <w:r w:rsidRPr="00F43402">
        <w:rPr>
          <w:rFonts w:ascii="Calibri" w:eastAsia="Arial Unicode MS" w:hAnsi="Calibri" w:cs="Calibri"/>
          <w:bdr w:val="nil"/>
          <w:lang w:val="en-GB"/>
        </w:rPr>
        <w:t>Second, to obtain some information about their opinion of the importance of outreach to youths, and their attitudes towards it (including what hinders/helps outreach activities).</w:t>
      </w:r>
      <w:proofErr w:type="gramEnd"/>
      <w:r w:rsidRPr="00F43402">
        <w:rPr>
          <w:rFonts w:ascii="Calibri" w:eastAsia="Arial Unicode MS" w:hAnsi="Calibri" w:cs="Calibri"/>
          <w:bdr w:val="nil"/>
          <w:lang w:val="en-GB"/>
        </w:rPr>
        <w:t xml:space="preserve"> Third, this survey was to elicit willingness to participate in an outreach experiment.</w:t>
      </w:r>
    </w:p>
    <w:p w:rsidR="00F43402" w:rsidRPr="009B7638" w:rsidRDefault="00F76781" w:rsidP="00F43402">
      <w:pPr>
        <w:pStyle w:val="Heading1"/>
        <w:rPr>
          <w:rFonts w:eastAsia="Calibri"/>
          <w:lang w:val="en-GB" w:eastAsia="hu-HU"/>
        </w:rPr>
      </w:pPr>
      <w:r>
        <w:rPr>
          <w:rFonts w:eastAsia="Calibri"/>
          <w:lang w:val="en-GB" w:eastAsia="hu-HU"/>
        </w:rPr>
        <w:t>Evolution of the composition of NEETs and their registration propensity</w:t>
      </w:r>
      <w:r w:rsidR="00F43402" w:rsidRPr="009B7638">
        <w:rPr>
          <w:rFonts w:eastAsia="Calibri"/>
          <w:lang w:val="en-GB" w:eastAsia="hu-HU"/>
        </w:rPr>
        <w:t xml:space="preserve"> </w:t>
      </w:r>
    </w:p>
    <w:p w:rsidR="00F43402" w:rsidRPr="009B7638" w:rsidRDefault="005551A8" w:rsidP="00F43402">
      <w:pPr>
        <w:pStyle w:val="Heading4"/>
        <w:rPr>
          <w:rFonts w:eastAsia="Arial Unicode MS"/>
          <w:bdr w:val="nil"/>
          <w:lang w:val="en-GB"/>
        </w:rPr>
      </w:pPr>
      <w:r w:rsidRPr="005551A8">
        <w:rPr>
          <w:rFonts w:eastAsia="Arial Unicode MS"/>
          <w:bdr w:val="nil"/>
          <w:lang w:val="en-GB"/>
        </w:rPr>
        <w:t>THE NUMBER OF NEETS, CATEGORISED BY CLOSENESS TO THE LABOUR MARKET</w:t>
      </w:r>
    </w:p>
    <w:p w:rsidR="00F43402" w:rsidRDefault="00B7398F"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B7398F">
        <w:rPr>
          <w:rFonts w:ascii="Calibri" w:eastAsia="Arial Unicode MS" w:hAnsi="Calibri" w:cs="Calibri"/>
          <w:bdr w:val="nil"/>
          <w:lang w:val="en-GB"/>
        </w:rPr>
        <w:t>In recent years, the number of young people not in education, employment or training (NEET) has decreased, and their composition has also changed significantly. Young people not in education, training or employment were divided into seven groups following a categorization recently used by (</w:t>
      </w:r>
      <w:proofErr w:type="spellStart"/>
      <w:r w:rsidRPr="00B7398F">
        <w:rPr>
          <w:rFonts w:ascii="Calibri" w:eastAsia="Arial Unicode MS" w:hAnsi="Calibri" w:cs="Calibri"/>
          <w:bdr w:val="nil"/>
          <w:lang w:val="en-GB"/>
        </w:rPr>
        <w:t>Mascherini–Ledermaier</w:t>
      </w:r>
      <w:proofErr w:type="spellEnd"/>
      <w:r w:rsidRPr="00B7398F">
        <w:rPr>
          <w:rFonts w:ascii="Calibri" w:eastAsia="Arial Unicode MS" w:hAnsi="Calibri" w:cs="Calibri"/>
          <w:bdr w:val="nil"/>
          <w:lang w:val="en-GB"/>
        </w:rPr>
        <w:t>, 2016). Re-entrants who will soon start to study or work at a particular job, short-term unemployed looking for a job for less than 1 year and long-term unemployed looking for a job for over a year. Discouraged workers who want to work but are not actively looking for work because they think they will not find a relevant job. Those unavailable due to illness or disability who are not able to go to work because of their illness, while those unavailable due to family responsibilities who cannot work because they are typically caring for children or other family members. The other category includes everyone who could not be classified in the above groups due to lack of data or for other reasons.</w:t>
      </w:r>
    </w:p>
    <w:p w:rsidR="0030493B" w:rsidRPr="006B63D5" w:rsidRDefault="0030493B" w:rsidP="0030493B">
      <w:pPr>
        <w:pStyle w:val="Caption"/>
        <w:jc w:val="center"/>
        <w:rPr>
          <w:rFonts w:ascii="Calibri" w:eastAsia="Helvetica Neue" w:hAnsi="Calibri" w:cs="Calibri"/>
          <w:bCs/>
          <w:iCs w:val="0"/>
          <w:color w:val="68686C"/>
          <w:sz w:val="22"/>
          <w:szCs w:val="22"/>
          <w:lang w:val="en-GB" w:eastAsia="es-ES_tradnl"/>
        </w:rPr>
      </w:pPr>
      <w:r w:rsidRPr="006B63D5">
        <w:rPr>
          <w:rFonts w:ascii="Calibri" w:eastAsia="Helvetica Neue" w:hAnsi="Calibri" w:cs="Calibri"/>
          <w:bCs/>
          <w:iCs w:val="0"/>
          <w:color w:val="68686C"/>
          <w:sz w:val="22"/>
          <w:szCs w:val="22"/>
          <w:lang w:val="en-GB" w:eastAsia="es-ES_tradnl"/>
        </w:rPr>
        <w:lastRenderedPageBreak/>
        <w:t xml:space="preserve">Figure </w:t>
      </w:r>
      <w:r>
        <w:rPr>
          <w:rFonts w:ascii="Calibri" w:eastAsia="Helvetica Neue" w:hAnsi="Calibri" w:cs="Calibri"/>
          <w:bCs/>
          <w:iCs w:val="0"/>
          <w:color w:val="68686C"/>
          <w:sz w:val="22"/>
          <w:szCs w:val="22"/>
          <w:lang w:val="en-GB" w:eastAsia="es-ES_tradnl"/>
        </w:rPr>
        <w:t>1</w:t>
      </w:r>
      <w:r w:rsidRPr="006B63D5">
        <w:rPr>
          <w:rFonts w:ascii="Calibri" w:eastAsia="Helvetica Neue" w:hAnsi="Calibri" w:cs="Calibri"/>
          <w:bCs/>
          <w:iCs w:val="0"/>
          <w:color w:val="68686C"/>
          <w:sz w:val="22"/>
          <w:szCs w:val="22"/>
          <w:lang w:val="en-GB" w:eastAsia="es-ES_tradnl"/>
        </w:rPr>
        <w:t xml:space="preserve">: </w:t>
      </w:r>
      <w:r>
        <w:rPr>
          <w:rFonts w:ascii="Calibri" w:eastAsia="Helvetica Neue" w:hAnsi="Calibri" w:cs="Calibri"/>
          <w:bCs/>
          <w:iCs w:val="0"/>
          <w:color w:val="68686C"/>
          <w:sz w:val="22"/>
          <w:szCs w:val="22"/>
          <w:lang w:val="en-GB" w:eastAsia="es-ES_tradnl"/>
        </w:rPr>
        <w:t xml:space="preserve">Evolution of number of NEETs </w:t>
      </w:r>
      <w:proofErr w:type="gramStart"/>
      <w:r>
        <w:rPr>
          <w:rFonts w:ascii="Calibri" w:eastAsia="Helvetica Neue" w:hAnsi="Calibri" w:cs="Calibri"/>
          <w:bCs/>
          <w:iCs w:val="0"/>
          <w:color w:val="68686C"/>
          <w:sz w:val="22"/>
          <w:szCs w:val="22"/>
          <w:lang w:val="en-GB" w:eastAsia="es-ES_tradnl"/>
        </w:rPr>
        <w:t>between 2015-2019, by distance from labour market (thousand persons)</w:t>
      </w:r>
      <w:proofErr w:type="gramEnd"/>
    </w:p>
    <w:p w:rsidR="0030493B" w:rsidRDefault="0030493B" w:rsidP="0030493B">
      <w:pPr>
        <w:pStyle w:val="Cuerpovietas"/>
        <w:rPr>
          <w:rFonts w:ascii="Calibri" w:eastAsia="Arial Unicode MS" w:hAnsi="Calibri" w:cs="Calibri"/>
          <w:sz w:val="22"/>
          <w:szCs w:val="22"/>
          <w:lang w:val="en-GB"/>
        </w:rPr>
      </w:pPr>
      <w:r>
        <w:rPr>
          <w:rFonts w:ascii="Calibri" w:eastAsia="Arial Unicode MS" w:hAnsi="Calibri" w:cs="Calibri"/>
          <w:noProof/>
          <w:sz w:val="22"/>
          <w:szCs w:val="22"/>
          <w:lang w:val="hu-HU" w:eastAsia="hu-HU"/>
        </w:rPr>
        <w:drawing>
          <wp:inline distT="0" distB="0" distL="0" distR="0">
            <wp:extent cx="5698800" cy="2923200"/>
            <wp:effectExtent l="0" t="0" r="0" b="0"/>
            <wp:docPr id="26" name="Kép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8800" cy="2923200"/>
                    </a:xfrm>
                    <a:prstGeom prst="rect">
                      <a:avLst/>
                    </a:prstGeom>
                    <a:noFill/>
                  </pic:spPr>
                </pic:pic>
              </a:graphicData>
            </a:graphic>
          </wp:inline>
        </w:drawing>
      </w:r>
    </w:p>
    <w:p w:rsidR="0030493B" w:rsidRPr="008048AA" w:rsidRDefault="0030493B" w:rsidP="0030493B">
      <w:pPr>
        <w:pStyle w:val="Cuerpovietas"/>
        <w:rPr>
          <w:rFonts w:ascii="Calibri" w:eastAsia="Arial Unicode MS" w:hAnsi="Calibri" w:cs="Calibri"/>
          <w:sz w:val="22"/>
          <w:szCs w:val="22"/>
          <w:lang w:val="en-GB"/>
        </w:rPr>
      </w:pPr>
    </w:p>
    <w:p w:rsidR="0030493B" w:rsidRDefault="0030493B"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p>
    <w:p w:rsidR="00B7398F" w:rsidRDefault="00B7398F"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B7398F">
        <w:rPr>
          <w:rFonts w:ascii="Calibri" w:eastAsia="Arial Unicode MS" w:hAnsi="Calibri" w:cs="Calibri"/>
          <w:bdr w:val="nil"/>
          <w:lang w:val="en-GB"/>
        </w:rPr>
        <w:t>It can be clearly seen that the recovery from the crisis and the increasing demand for labour have absorbed those unemployed youth who were relatively close to the labour market. The number of short-term unemployed has nearly halved in five years, and their proportion fell from 20 to 14 percent of all NEETS.  Similarly, the number of long-term unemployed has also fallen, and they represented only around 10 percent of NEETS in 2019. By contrast, the number of young persons who were not looking for a job was relatively stable. This means that those furthest from the labour market (those who would not like to or not able to work) represented more than two-thirds of NEETs in 2019.</w:t>
      </w:r>
    </w:p>
    <w:p w:rsidR="002743C4" w:rsidRDefault="002743C4"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EE62AB">
        <w:rPr>
          <w:rFonts w:ascii="Calibri" w:eastAsia="Arial Unicode MS" w:hAnsi="Calibri" w:cs="Calibri"/>
          <w:bdr w:val="nil"/>
          <w:lang w:val="en-GB"/>
        </w:rPr>
        <w:t>Registration as jobseeker among NEETs is rather low and has also been falling in the past five years: it fell from around one-third, to close to one-in-five. Registration as jobseeker at the PES also varies significantly with this simple measure of closeness to the labour market, see in the table above. Registration tends to be higher in groups who want to work and/or also looking actively for a job, while (not surprisingly) registration is very low in other groups. It is worth noting that the registration rate among discouraged workers is also relatively high, close to fifty percent.  Indeed, two processes seem to be driving the fall in registration rate. First, that the proportion of those furthest from the labour market has risen; second, that registration among those closest to the labour market has decreased.</w:t>
      </w:r>
    </w:p>
    <w:p w:rsidR="00D35F42" w:rsidRPr="00D35F42" w:rsidRDefault="00D35F42" w:rsidP="00D35F42">
      <w:pPr>
        <w:keepNext/>
        <w:keepLines/>
        <w:pBdr>
          <w:top w:val="nil"/>
          <w:left w:val="nil"/>
          <w:bottom w:val="nil"/>
          <w:right w:val="nil"/>
          <w:between w:val="nil"/>
          <w:bar w:val="nil"/>
        </w:pBdr>
        <w:spacing w:after="200" w:line="240" w:lineRule="auto"/>
        <w:ind w:left="0"/>
        <w:jc w:val="center"/>
        <w:rPr>
          <w:rFonts w:ascii="Calibri" w:eastAsia="Calibri" w:hAnsi="Calibri" w:cs="Times New Roman"/>
          <w:iCs/>
          <w:color w:val="68686C"/>
          <w:lang w:val="en-GB"/>
        </w:rPr>
      </w:pPr>
      <w:r w:rsidRPr="00D35F42">
        <w:rPr>
          <w:rFonts w:ascii="Calibri" w:eastAsia="Arial Unicode MS" w:hAnsi="Calibri" w:cs="Times New Roman"/>
          <w:i/>
          <w:iCs/>
          <w:color w:val="68686C"/>
          <w:bdr w:val="nil"/>
          <w:lang w:val="en-GB"/>
        </w:rPr>
        <w:lastRenderedPageBreak/>
        <w:t xml:space="preserve">Table 1: Descriptive evidence on registration rates by distance from labour market </w:t>
      </w:r>
    </w:p>
    <w:tbl>
      <w:tblPr>
        <w:tblW w:w="0" w:type="auto"/>
        <w:tblInd w:w="-30" w:type="dxa"/>
        <w:tblLayout w:type="fixed"/>
        <w:tblLook w:val="0000"/>
      </w:tblPr>
      <w:tblGrid>
        <w:gridCol w:w="3926"/>
        <w:gridCol w:w="984"/>
        <w:gridCol w:w="984"/>
      </w:tblGrid>
      <w:tr w:rsidR="00D35F42" w:rsidRPr="00D35F42" w:rsidTr="000644D0">
        <w:trPr>
          <w:trHeight w:val="290"/>
        </w:trPr>
        <w:tc>
          <w:tcPr>
            <w:tcW w:w="3926" w:type="dxa"/>
            <w:tcBorders>
              <w:top w:val="single" w:sz="4" w:space="0" w:color="auto"/>
              <w:left w:val="nil"/>
              <w:bottom w:val="nil"/>
              <w:right w:val="nil"/>
            </w:tcBorders>
          </w:tcPr>
          <w:p w:rsidR="00D35F42" w:rsidRPr="00D35F42" w:rsidRDefault="00D35F42" w:rsidP="00D35F42">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c>
          <w:tcPr>
            <w:tcW w:w="984" w:type="dxa"/>
            <w:tcBorders>
              <w:top w:val="single" w:sz="4" w:space="0" w:color="auto"/>
              <w:left w:val="nil"/>
              <w:bottom w:val="nil"/>
              <w:right w:val="nil"/>
            </w:tcBorders>
          </w:tcPr>
          <w:p w:rsidR="00D35F42" w:rsidRPr="00D35F42" w:rsidRDefault="00D35F42" w:rsidP="00D35F42">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35F42">
              <w:rPr>
                <w:rFonts w:ascii="Calibri" w:eastAsia="Arial Unicode MS" w:hAnsi="Calibri" w:cs="Calibri"/>
                <w:color w:val="000000"/>
                <w:sz w:val="20"/>
                <w:szCs w:val="20"/>
                <w:bdr w:val="nil"/>
                <w:lang w:val="en-GB" w:eastAsia="es-ES_tradnl"/>
              </w:rPr>
              <w:t>2015</w:t>
            </w:r>
          </w:p>
        </w:tc>
        <w:tc>
          <w:tcPr>
            <w:tcW w:w="984" w:type="dxa"/>
            <w:tcBorders>
              <w:top w:val="single" w:sz="4" w:space="0" w:color="auto"/>
              <w:left w:val="nil"/>
              <w:bottom w:val="nil"/>
              <w:right w:val="nil"/>
            </w:tcBorders>
          </w:tcPr>
          <w:p w:rsidR="00D35F42" w:rsidRPr="00D35F42" w:rsidRDefault="00D35F42" w:rsidP="00D35F42">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35F42">
              <w:rPr>
                <w:rFonts w:ascii="Calibri" w:eastAsia="Arial Unicode MS" w:hAnsi="Calibri" w:cs="Calibri"/>
                <w:color w:val="000000"/>
                <w:sz w:val="20"/>
                <w:szCs w:val="20"/>
                <w:bdr w:val="nil"/>
                <w:lang w:val="en-GB" w:eastAsia="es-ES_tradnl"/>
              </w:rPr>
              <w:t>2019</w:t>
            </w:r>
          </w:p>
        </w:tc>
      </w:tr>
      <w:tr w:rsidR="00D35F42" w:rsidRPr="00D35F42" w:rsidTr="000644D0">
        <w:trPr>
          <w:trHeight w:val="290"/>
        </w:trPr>
        <w:tc>
          <w:tcPr>
            <w:tcW w:w="3926" w:type="dxa"/>
            <w:tcBorders>
              <w:top w:val="nil"/>
              <w:left w:val="nil"/>
              <w:bottom w:val="single" w:sz="6" w:space="0" w:color="auto"/>
              <w:right w:val="nil"/>
            </w:tcBorders>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i/>
                <w:iCs/>
                <w:color w:val="000000"/>
                <w:sz w:val="20"/>
                <w:szCs w:val="20"/>
                <w:bdr w:val="nil"/>
                <w:lang w:val="en-GB" w:eastAsia="es-ES_tradnl"/>
              </w:rPr>
              <w:t>Distance from labour marke</w:t>
            </w:r>
            <w:r w:rsidRPr="00D35F42">
              <w:rPr>
                <w:rFonts w:eastAsia="Arial Unicode MS" w:cstheme="minorHAnsi"/>
                <w:color w:val="000000"/>
                <w:sz w:val="20"/>
                <w:szCs w:val="20"/>
                <w:bdr w:val="nil"/>
                <w:lang w:val="en-GB" w:eastAsia="es-ES_tradnl"/>
              </w:rPr>
              <w:t>t</w:t>
            </w:r>
          </w:p>
        </w:tc>
        <w:tc>
          <w:tcPr>
            <w:tcW w:w="984" w:type="dxa"/>
            <w:tcBorders>
              <w:top w:val="nil"/>
              <w:left w:val="nil"/>
              <w:bottom w:val="single" w:sz="6" w:space="0" w:color="auto"/>
              <w:right w:val="nil"/>
            </w:tcBorders>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p>
        </w:tc>
        <w:tc>
          <w:tcPr>
            <w:tcW w:w="984" w:type="dxa"/>
            <w:tcBorders>
              <w:top w:val="nil"/>
              <w:left w:val="nil"/>
              <w:bottom w:val="single" w:sz="6" w:space="0" w:color="auto"/>
              <w:right w:val="nil"/>
            </w:tcBorders>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2743C4"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Pr>
                <w:rFonts w:eastAsia="Arial Unicode MS" w:cstheme="minorHAnsi"/>
                <w:sz w:val="20"/>
                <w:szCs w:val="20"/>
                <w:bdr w:val="nil"/>
                <w:lang w:val="hu-HU"/>
              </w:rPr>
              <w:t>W</w:t>
            </w:r>
            <w:r w:rsidR="00D35F42" w:rsidRPr="00D35F42">
              <w:rPr>
                <w:rFonts w:eastAsia="Arial Unicode MS" w:cstheme="minorHAnsi"/>
                <w:sz w:val="20"/>
                <w:szCs w:val="20"/>
                <w:bdr w:val="nil"/>
                <w:lang w:val="hu-HU"/>
              </w:rPr>
              <w:t>aits for a recall</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53</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43</w:t>
            </w: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hu-HU"/>
              </w:rPr>
              <w:t>ST unemployed</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74</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56</w:t>
            </w: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hu-HU"/>
              </w:rPr>
              <w:t>LT unemployed</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53</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63</w:t>
            </w: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hu-HU"/>
              </w:rPr>
              <w:t>Discouraged</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46</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49</w:t>
            </w: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2743C4"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Pr>
                <w:rFonts w:eastAsia="Arial Unicode MS" w:cstheme="minorHAnsi"/>
                <w:sz w:val="20"/>
                <w:szCs w:val="20"/>
                <w:bdr w:val="nil"/>
                <w:lang w:val="hu-HU"/>
              </w:rPr>
              <w:t>L</w:t>
            </w:r>
            <w:r w:rsidR="00D35F42" w:rsidRPr="00D35F42">
              <w:rPr>
                <w:rFonts w:eastAsia="Arial Unicode MS" w:cstheme="minorHAnsi"/>
                <w:sz w:val="20"/>
                <w:szCs w:val="20"/>
                <w:bdr w:val="nil"/>
                <w:lang w:val="hu-HU"/>
              </w:rPr>
              <w:t>ong-term ill</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10</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2</w:t>
            </w:r>
          </w:p>
        </w:tc>
      </w:tr>
      <w:tr w:rsidR="00D35F42" w:rsidRPr="00D35F42" w:rsidTr="000644D0">
        <w:trPr>
          <w:trHeight w:val="290"/>
        </w:trPr>
        <w:tc>
          <w:tcPr>
            <w:tcW w:w="3926" w:type="dxa"/>
            <w:tcBorders>
              <w:top w:val="nil"/>
              <w:left w:val="nil"/>
              <w:bottom w:val="nil"/>
              <w:right w:val="nil"/>
            </w:tcBorders>
            <w:vAlign w:val="bottom"/>
          </w:tcPr>
          <w:p w:rsidR="00D35F42" w:rsidRPr="00D35F42" w:rsidRDefault="002743C4"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Pr>
                <w:rFonts w:eastAsia="Arial Unicode MS" w:cstheme="minorHAnsi"/>
                <w:sz w:val="20"/>
                <w:szCs w:val="20"/>
                <w:bdr w:val="nil"/>
                <w:lang w:val="hu-HU"/>
              </w:rPr>
              <w:t>C</w:t>
            </w:r>
            <w:r w:rsidR="00D35F42" w:rsidRPr="00D35F42">
              <w:rPr>
                <w:rFonts w:eastAsia="Arial Unicode MS" w:cstheme="minorHAnsi"/>
                <w:sz w:val="20"/>
                <w:szCs w:val="20"/>
                <w:bdr w:val="nil"/>
                <w:lang w:val="hu-HU"/>
              </w:rPr>
              <w:t>are obligations</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3</w:t>
            </w:r>
          </w:p>
        </w:tc>
        <w:tc>
          <w:tcPr>
            <w:tcW w:w="984" w:type="dxa"/>
            <w:tcBorders>
              <w:top w:val="nil"/>
              <w:left w:val="nil"/>
              <w:bottom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3</w:t>
            </w:r>
          </w:p>
        </w:tc>
      </w:tr>
      <w:tr w:rsidR="00D35F42" w:rsidRPr="00D35F42" w:rsidTr="000644D0">
        <w:trPr>
          <w:trHeight w:val="290"/>
        </w:trPr>
        <w:tc>
          <w:tcPr>
            <w:tcW w:w="3926" w:type="dxa"/>
            <w:tcBorders>
              <w:top w:val="nil"/>
              <w:left w:val="nil"/>
              <w:right w:val="nil"/>
            </w:tcBorders>
            <w:vAlign w:val="bottom"/>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hu-HU"/>
              </w:rPr>
              <w:t>Other</w:t>
            </w:r>
          </w:p>
        </w:tc>
        <w:tc>
          <w:tcPr>
            <w:tcW w:w="984" w:type="dxa"/>
            <w:tcBorders>
              <w:top w:val="nil"/>
              <w:left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15</w:t>
            </w:r>
          </w:p>
        </w:tc>
        <w:tc>
          <w:tcPr>
            <w:tcW w:w="984" w:type="dxa"/>
            <w:tcBorders>
              <w:top w:val="nil"/>
              <w:left w:val="nil"/>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11</w:t>
            </w:r>
          </w:p>
        </w:tc>
      </w:tr>
      <w:tr w:rsidR="00D35F42" w:rsidRPr="00D35F42" w:rsidTr="000644D0">
        <w:trPr>
          <w:trHeight w:val="290"/>
        </w:trPr>
        <w:tc>
          <w:tcPr>
            <w:tcW w:w="3926" w:type="dxa"/>
            <w:tcBorders>
              <w:top w:val="nil"/>
              <w:left w:val="nil"/>
              <w:bottom w:val="single" w:sz="4" w:space="0" w:color="auto"/>
              <w:right w:val="nil"/>
            </w:tcBorders>
            <w:vAlign w:val="bottom"/>
          </w:tcPr>
          <w:p w:rsidR="00D35F42" w:rsidRPr="00D35F42" w:rsidRDefault="00D35F42" w:rsidP="00D35F42">
            <w:pPr>
              <w:autoSpaceDE w:val="0"/>
              <w:autoSpaceDN w:val="0"/>
              <w:adjustRightInd w:val="0"/>
              <w:spacing w:after="0" w:line="240" w:lineRule="auto"/>
              <w:ind w:left="0"/>
              <w:jc w:val="left"/>
              <w:rPr>
                <w:rFonts w:eastAsia="Arial Unicode MS" w:cstheme="minorHAnsi"/>
                <w:color w:val="000000"/>
                <w:sz w:val="20"/>
                <w:szCs w:val="20"/>
                <w:bdr w:val="nil"/>
                <w:lang w:val="en-GB" w:eastAsia="es-ES_tradnl"/>
              </w:rPr>
            </w:pPr>
            <w:r w:rsidRPr="00D35F42">
              <w:rPr>
                <w:rFonts w:eastAsia="Arial Unicode MS" w:cstheme="minorHAnsi"/>
                <w:b/>
                <w:bCs/>
                <w:sz w:val="20"/>
                <w:szCs w:val="20"/>
                <w:bdr w:val="nil"/>
                <w:lang w:val="hu-HU"/>
              </w:rPr>
              <w:t>Total</w:t>
            </w:r>
          </w:p>
        </w:tc>
        <w:tc>
          <w:tcPr>
            <w:tcW w:w="984" w:type="dxa"/>
            <w:tcBorders>
              <w:top w:val="nil"/>
              <w:left w:val="nil"/>
              <w:bottom w:val="single" w:sz="4" w:space="0" w:color="auto"/>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32</w:t>
            </w:r>
          </w:p>
        </w:tc>
        <w:tc>
          <w:tcPr>
            <w:tcW w:w="984" w:type="dxa"/>
            <w:tcBorders>
              <w:top w:val="nil"/>
              <w:left w:val="nil"/>
              <w:bottom w:val="single" w:sz="4" w:space="0" w:color="auto"/>
              <w:right w:val="nil"/>
            </w:tcBorders>
            <w:vAlign w:val="bottom"/>
          </w:tcPr>
          <w:p w:rsidR="00D35F42" w:rsidRPr="00D35F42" w:rsidRDefault="00D35F42" w:rsidP="00D35F42">
            <w:pPr>
              <w:autoSpaceDE w:val="0"/>
              <w:autoSpaceDN w:val="0"/>
              <w:adjustRightInd w:val="0"/>
              <w:spacing w:after="0" w:line="240" w:lineRule="auto"/>
              <w:ind w:left="0"/>
              <w:jc w:val="right"/>
              <w:rPr>
                <w:rFonts w:eastAsia="Arial Unicode MS" w:cstheme="minorHAnsi"/>
                <w:color w:val="000000"/>
                <w:sz w:val="20"/>
                <w:szCs w:val="20"/>
                <w:bdr w:val="nil"/>
                <w:lang w:val="en-GB" w:eastAsia="es-ES_tradnl"/>
              </w:rPr>
            </w:pPr>
            <w:r w:rsidRPr="00D35F42">
              <w:rPr>
                <w:rFonts w:eastAsia="Arial Unicode MS" w:cstheme="minorHAnsi"/>
                <w:sz w:val="20"/>
                <w:szCs w:val="20"/>
                <w:bdr w:val="nil"/>
                <w:lang w:val="en-US"/>
              </w:rPr>
              <w:t>22</w:t>
            </w:r>
          </w:p>
        </w:tc>
      </w:tr>
    </w:tbl>
    <w:p w:rsidR="00D35F42" w:rsidRPr="00D35F42" w:rsidRDefault="00D35F42" w:rsidP="00D35F42">
      <w:pPr>
        <w:widowControl w:val="0"/>
        <w:pBdr>
          <w:top w:val="nil"/>
          <w:left w:val="nil"/>
          <w:bottom w:val="nil"/>
          <w:right w:val="nil"/>
          <w:between w:val="nil"/>
          <w:bar w:val="nil"/>
        </w:pBdr>
        <w:spacing w:after="0" w:line="360" w:lineRule="auto"/>
        <w:ind w:left="0" w:firstLine="720"/>
        <w:rPr>
          <w:rFonts w:ascii="Calibri" w:eastAsia="Calibri" w:hAnsi="Calibri" w:cs="Times New Roman"/>
          <w:i/>
          <w:lang w:val="en-GB"/>
        </w:rPr>
      </w:pPr>
    </w:p>
    <w:p w:rsidR="00EE62AB" w:rsidRDefault="00EE62AB" w:rsidP="00F43402">
      <w:pPr>
        <w:pBdr>
          <w:top w:val="nil"/>
          <w:left w:val="nil"/>
          <w:bottom w:val="nil"/>
          <w:right w:val="nil"/>
          <w:between w:val="nil"/>
          <w:bar w:val="nil"/>
        </w:pBdr>
        <w:spacing w:after="100" w:line="360" w:lineRule="auto"/>
        <w:ind w:left="0"/>
        <w:rPr>
          <w:rFonts w:ascii="Calibri" w:eastAsia="Arial Unicode MS" w:hAnsi="Calibri" w:cs="Calibri"/>
          <w:bdr w:val="nil"/>
          <w:lang w:val="en-GB"/>
        </w:rPr>
      </w:pPr>
    </w:p>
    <w:p w:rsidR="001D27FB" w:rsidRPr="009B7638" w:rsidRDefault="001D27FB" w:rsidP="001D27FB">
      <w:pPr>
        <w:pStyle w:val="Heading4"/>
        <w:rPr>
          <w:rFonts w:eastAsia="Arial Unicode MS"/>
          <w:bdr w:val="nil"/>
          <w:lang w:val="en-GB"/>
        </w:rPr>
      </w:pPr>
      <w:r>
        <w:rPr>
          <w:rFonts w:eastAsia="Arial Unicode MS"/>
          <w:bdr w:val="nil"/>
          <w:lang w:val="en-GB"/>
        </w:rPr>
        <w:t>does job search and pes registration matter?</w:t>
      </w:r>
    </w:p>
    <w:p w:rsidR="00177B9B" w:rsidRPr="00177B9B" w:rsidRDefault="00177B9B" w:rsidP="00177B9B">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177B9B">
        <w:rPr>
          <w:rFonts w:ascii="Calibri" w:eastAsia="Arial Unicode MS" w:hAnsi="Calibri" w:cs="Calibri"/>
          <w:bdr w:val="nil"/>
          <w:lang w:val="en-GB"/>
        </w:rPr>
        <w:t xml:space="preserve">It begs the question whether the categories used above are meaningful in the case of youth, thus we analyse to what extent job search and motivation are conducive to job finding. Furthermore, we look at the correlation between being a registered jobseeker and job finding.  We perform an analysis similar to the work of </w:t>
      </w:r>
      <w:proofErr w:type="spellStart"/>
      <w:r w:rsidRPr="00177B9B">
        <w:rPr>
          <w:rFonts w:ascii="Calibri" w:eastAsia="Arial Unicode MS" w:hAnsi="Calibri" w:cs="Calibri"/>
          <w:bdr w:val="nil"/>
          <w:lang w:val="en-GB"/>
        </w:rPr>
        <w:t>Micklewright</w:t>
      </w:r>
      <w:proofErr w:type="spellEnd"/>
      <w:r w:rsidRPr="00177B9B">
        <w:rPr>
          <w:rFonts w:ascii="Calibri" w:eastAsia="Arial Unicode MS" w:hAnsi="Calibri" w:cs="Calibri"/>
          <w:bdr w:val="nil"/>
          <w:lang w:val="en-GB"/>
        </w:rPr>
        <w:t>–Nagy (1999)</w:t>
      </w:r>
      <w:proofErr w:type="gramStart"/>
      <w:r w:rsidRPr="00177B9B">
        <w:rPr>
          <w:rFonts w:ascii="Calibri" w:eastAsia="Arial Unicode MS" w:hAnsi="Calibri" w:cs="Calibri"/>
          <w:bdr w:val="nil"/>
          <w:lang w:val="en-GB"/>
        </w:rPr>
        <w:t>,</w:t>
      </w:r>
      <w:proofErr w:type="gramEnd"/>
      <w:r w:rsidRPr="00177B9B">
        <w:rPr>
          <w:rFonts w:ascii="Calibri" w:eastAsia="Arial Unicode MS" w:hAnsi="Calibri" w:cs="Calibri"/>
          <w:bdr w:val="nil"/>
          <w:lang w:val="en-GB"/>
        </w:rPr>
        <w:t xml:space="preserve"> we used Labo</w:t>
      </w:r>
      <w:r w:rsidR="00D904A6">
        <w:rPr>
          <w:rFonts w:ascii="Calibri" w:eastAsia="Arial Unicode MS" w:hAnsi="Calibri" w:cs="Calibri"/>
          <w:bdr w:val="nil"/>
          <w:lang w:val="en-GB"/>
        </w:rPr>
        <w:t>u</w:t>
      </w:r>
      <w:r w:rsidRPr="00177B9B">
        <w:rPr>
          <w:rFonts w:ascii="Calibri" w:eastAsia="Arial Unicode MS" w:hAnsi="Calibri" w:cs="Calibri"/>
          <w:bdr w:val="nil"/>
          <w:lang w:val="en-GB"/>
        </w:rPr>
        <w:t>r Force Survey individual data from 2015 to 2018 to investigate the factors that influence the employment prospects of 15–29-year-old NEETs. Thus, we use the rotating panel structure of the LFS in order to estimate survival models, using an inflow sample (note that have at most six quarters available for each individual). As output variable we used the time until exiting the NEET status, and we controlled for - among others- level of education, age, gender, region, and quarter. Leaving NEET status to study has not been taken into account here.</w:t>
      </w:r>
    </w:p>
    <w:p w:rsidR="001D27FB" w:rsidRDefault="00177B9B" w:rsidP="00177B9B">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177B9B">
        <w:rPr>
          <w:rFonts w:ascii="Calibri" w:eastAsia="Arial Unicode MS" w:hAnsi="Calibri" w:cs="Calibri"/>
          <w:bdr w:val="nil"/>
          <w:lang w:val="en-GB"/>
        </w:rPr>
        <w:t>In addition to labour demand and individual motivation, help from the public employment services can also shorten the duration of job search through providing jobseekers with specific job offers, training or advice to improve the effectiveness of individual job search. Identifying the causal effect is difficult because there is a two-way relationship: registration can improve the efficiency of job search, but registration itself can be a step towards job search.  Therefore, our analysis is descriptive: in survival models, we estimated how motivation and job search affect the length of time to return to work or return to school.  The results are shown in the table below.</w:t>
      </w:r>
    </w:p>
    <w:p w:rsidR="00D904A6" w:rsidRPr="00D904A6" w:rsidRDefault="00D904A6" w:rsidP="00D904A6">
      <w:pPr>
        <w:keepNext/>
        <w:keepLines/>
        <w:pBdr>
          <w:top w:val="nil"/>
          <w:left w:val="nil"/>
          <w:bottom w:val="nil"/>
          <w:right w:val="nil"/>
          <w:between w:val="nil"/>
          <w:bar w:val="nil"/>
        </w:pBdr>
        <w:spacing w:after="200" w:line="240" w:lineRule="auto"/>
        <w:ind w:left="0"/>
        <w:jc w:val="center"/>
        <w:rPr>
          <w:rFonts w:ascii="Calibri" w:eastAsia="Calibri" w:hAnsi="Calibri" w:cs="Times New Roman"/>
          <w:iCs/>
          <w:color w:val="68686C"/>
          <w:lang w:val="en-GB"/>
        </w:rPr>
      </w:pPr>
      <w:r w:rsidRPr="00D904A6">
        <w:rPr>
          <w:rFonts w:ascii="Calibri" w:eastAsia="Arial Unicode MS" w:hAnsi="Calibri" w:cs="Times New Roman"/>
          <w:i/>
          <w:iCs/>
          <w:color w:val="68686C"/>
          <w:bdr w:val="nil"/>
          <w:lang w:val="en-GB"/>
        </w:rPr>
        <w:lastRenderedPageBreak/>
        <w:t xml:space="preserve">Table 2: Correlation of various factors with the time until exit from NEET status to employment and to education, 2015–2018 </w:t>
      </w:r>
    </w:p>
    <w:tbl>
      <w:tblPr>
        <w:tblW w:w="5104" w:type="dxa"/>
        <w:tblLook w:val="04A0"/>
      </w:tblPr>
      <w:tblGrid>
        <w:gridCol w:w="2268"/>
        <w:gridCol w:w="1275"/>
        <w:gridCol w:w="1561"/>
      </w:tblGrid>
      <w:tr w:rsidR="00D904A6" w:rsidRPr="00D904A6" w:rsidTr="00D904A6">
        <w:trPr>
          <w:trHeight w:val="765"/>
        </w:trPr>
        <w:tc>
          <w:tcPr>
            <w:tcW w:w="2268" w:type="dxa"/>
            <w:tcBorders>
              <w:top w:val="single" w:sz="4" w:space="0" w:color="auto"/>
              <w:left w:val="nil"/>
              <w:bottom w:val="single" w:sz="4" w:space="0" w:color="auto"/>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hu-HU" w:eastAsia="en-GB"/>
              </w:rPr>
            </w:pPr>
          </w:p>
        </w:tc>
        <w:tc>
          <w:tcPr>
            <w:tcW w:w="1275" w:type="dxa"/>
            <w:tcBorders>
              <w:top w:val="single" w:sz="4" w:space="0" w:color="auto"/>
              <w:left w:val="nil"/>
              <w:bottom w:val="single" w:sz="4" w:space="0" w:color="auto"/>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Exit to employment</w:t>
            </w:r>
          </w:p>
        </w:tc>
        <w:tc>
          <w:tcPr>
            <w:tcW w:w="1561" w:type="dxa"/>
            <w:tcBorders>
              <w:top w:val="single" w:sz="4" w:space="0" w:color="auto"/>
              <w:left w:val="nil"/>
              <w:bottom w:val="single" w:sz="4" w:space="0" w:color="auto"/>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Exit to further education</w:t>
            </w:r>
          </w:p>
        </w:tc>
      </w:tr>
      <w:tr w:rsidR="00D904A6" w:rsidRPr="00D904A6" w:rsidTr="00D904A6">
        <w:trPr>
          <w:trHeight w:val="510"/>
        </w:trPr>
        <w:tc>
          <w:tcPr>
            <w:tcW w:w="2268" w:type="dxa"/>
            <w:tcBorders>
              <w:top w:val="single" w:sz="4" w:space="0" w:color="auto"/>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Wants to work, not seeking a job actively, not available</w:t>
            </w:r>
          </w:p>
        </w:tc>
        <w:tc>
          <w:tcPr>
            <w:tcW w:w="1275" w:type="dxa"/>
            <w:tcBorders>
              <w:top w:val="single" w:sz="4" w:space="0" w:color="auto"/>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0.6480</w:t>
            </w:r>
          </w:p>
        </w:tc>
        <w:tc>
          <w:tcPr>
            <w:tcW w:w="1561" w:type="dxa"/>
            <w:tcBorders>
              <w:top w:val="single" w:sz="4" w:space="0" w:color="auto"/>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1.0878</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(0.2348)</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(0.2157)</w:t>
            </w:r>
          </w:p>
        </w:tc>
      </w:tr>
      <w:tr w:rsidR="00D904A6" w:rsidRPr="00D904A6" w:rsidTr="00D904A6">
        <w:trPr>
          <w:trHeight w:val="510"/>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Wants to work, not seeking a job actively, available</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2.4735</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0.6922</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(0.3800)</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(0.1800)</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Wants to work and actively seeks a job</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2.8805</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0.9875</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(0.3943)</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(0.2084)</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Re-entrant</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3.6825</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1.0715</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(0.8888)</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(0.5595)</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Age</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1.0687</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0.8356</w:t>
            </w:r>
            <w:r w:rsidRPr="00D904A6">
              <w:rPr>
                <w:rFonts w:ascii="Calibri" w:eastAsia="Times New Roman" w:hAnsi="Calibri" w:cs="Calibri"/>
                <w:sz w:val="20"/>
                <w:szCs w:val="20"/>
                <w:bdr w:val="nil"/>
                <w:vertAlign w:val="superscript"/>
                <w:lang w:val="en-US" w:eastAsia="en-GB"/>
              </w:rPr>
              <w:t>***</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(0.01386)</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(0.01597)</w:t>
            </w:r>
          </w:p>
        </w:tc>
      </w:tr>
      <w:tr w:rsidR="00D904A6" w:rsidRPr="00D904A6" w:rsidTr="00D904A6">
        <w:trPr>
          <w:trHeight w:val="510"/>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Registered jobseeker in the previous period</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1.0970</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0.4887</w:t>
            </w:r>
            <w:r w:rsidRPr="00D904A6">
              <w:rPr>
                <w:rFonts w:ascii="Calibri" w:eastAsia="Times New Roman" w:hAnsi="Calibri" w:cs="Calibri"/>
                <w:sz w:val="20"/>
                <w:szCs w:val="20"/>
                <w:bdr w:val="nil"/>
                <w:vertAlign w:val="superscript"/>
                <w:lang w:val="en-US" w:eastAsia="en-GB"/>
              </w:rPr>
              <w:t>***</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(0.1432)</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(0.1236)</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Vocational education</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1.4640</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0.5450</w:t>
            </w:r>
            <w:r w:rsidRPr="00D904A6">
              <w:rPr>
                <w:rFonts w:ascii="Calibri" w:eastAsia="Times New Roman" w:hAnsi="Calibri" w:cs="Calibri"/>
                <w:sz w:val="20"/>
                <w:szCs w:val="20"/>
                <w:bdr w:val="nil"/>
                <w:vertAlign w:val="superscript"/>
                <w:lang w:val="en-US" w:eastAsia="en-GB"/>
              </w:rPr>
              <w:t>***</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(0.1763)</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(0.1169)</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High school leaving certificate or further education</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1.1800</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1.4030</w:t>
            </w:r>
            <w:r w:rsidRPr="00D904A6">
              <w:rPr>
                <w:rFonts w:ascii="Calibri" w:eastAsia="Times New Roman" w:hAnsi="Calibri" w:cs="Calibri"/>
                <w:sz w:val="20"/>
                <w:szCs w:val="20"/>
                <w:bdr w:val="nil"/>
                <w:vertAlign w:val="superscript"/>
                <w:lang w:val="en-US" w:eastAsia="en-GB"/>
              </w:rPr>
              <w:t>***</w:t>
            </w:r>
          </w:p>
        </w:tc>
      </w:tr>
      <w:tr w:rsidR="00D904A6" w:rsidRPr="00D904A6" w:rsidTr="00D904A6">
        <w:trPr>
          <w:trHeight w:val="255"/>
        </w:trPr>
        <w:tc>
          <w:tcPr>
            <w:tcW w:w="2268" w:type="dxa"/>
            <w:tcBorders>
              <w:top w:val="nil"/>
              <w:left w:val="nil"/>
              <w:bottom w:val="nil"/>
              <w:right w:val="nil"/>
            </w:tcBorders>
            <w:shd w:val="clear" w:color="auto" w:fill="auto"/>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(0.1289)</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(0.1742)</w:t>
            </w:r>
          </w:p>
        </w:tc>
      </w:tr>
      <w:tr w:rsidR="00D904A6" w:rsidRPr="00D904A6" w:rsidTr="00D904A6">
        <w:trPr>
          <w:trHeight w:val="255"/>
        </w:trPr>
        <w:tc>
          <w:tcPr>
            <w:tcW w:w="2268"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Female</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0.8537</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1.1870</w:t>
            </w:r>
            <w:r w:rsidRPr="00D904A6">
              <w:rPr>
                <w:rFonts w:ascii="Calibri" w:eastAsia="Times New Roman" w:hAnsi="Calibri" w:cs="Calibri"/>
                <w:sz w:val="20"/>
                <w:szCs w:val="20"/>
                <w:bdr w:val="nil"/>
                <w:vertAlign w:val="superscript"/>
                <w:lang w:val="en-US" w:eastAsia="en-GB"/>
              </w:rPr>
              <w:t>*</w:t>
            </w:r>
          </w:p>
        </w:tc>
      </w:tr>
      <w:tr w:rsidR="00D904A6" w:rsidRPr="00D904A6" w:rsidTr="00D904A6">
        <w:trPr>
          <w:trHeight w:val="255"/>
        </w:trPr>
        <w:tc>
          <w:tcPr>
            <w:tcW w:w="2268"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(0.08042)</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(0.1227)</w:t>
            </w:r>
          </w:p>
        </w:tc>
      </w:tr>
      <w:tr w:rsidR="00D904A6" w:rsidRPr="00D904A6" w:rsidTr="00D904A6">
        <w:trPr>
          <w:trHeight w:val="255"/>
        </w:trPr>
        <w:tc>
          <w:tcPr>
            <w:tcW w:w="2268"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Constant</w:t>
            </w:r>
          </w:p>
        </w:tc>
        <w:tc>
          <w:tcPr>
            <w:tcW w:w="1275"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0.002385</w:t>
            </w:r>
            <w:r w:rsidRPr="00D904A6">
              <w:rPr>
                <w:rFonts w:ascii="Calibri" w:eastAsia="Times New Roman" w:hAnsi="Calibri" w:cs="Calibri"/>
                <w:sz w:val="20"/>
                <w:szCs w:val="20"/>
                <w:bdr w:val="nil"/>
                <w:vertAlign w:val="superscript"/>
                <w:lang w:val="en-US" w:eastAsia="en-GB"/>
              </w:rPr>
              <w:t>***</w:t>
            </w:r>
          </w:p>
        </w:tc>
        <w:tc>
          <w:tcPr>
            <w:tcW w:w="1561" w:type="dxa"/>
            <w:tcBorders>
              <w:top w:val="nil"/>
              <w:left w:val="nil"/>
              <w:bottom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0.4294</w:t>
            </w:r>
          </w:p>
        </w:tc>
      </w:tr>
      <w:tr w:rsidR="00D904A6" w:rsidRPr="00D904A6" w:rsidTr="00D904A6">
        <w:trPr>
          <w:trHeight w:val="255"/>
        </w:trPr>
        <w:tc>
          <w:tcPr>
            <w:tcW w:w="2268" w:type="dxa"/>
            <w:tcBorders>
              <w:top w:val="nil"/>
              <w:left w:val="nil"/>
              <w:bottom w:val="single" w:sz="4" w:space="0" w:color="auto"/>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p>
        </w:tc>
        <w:tc>
          <w:tcPr>
            <w:tcW w:w="1275" w:type="dxa"/>
            <w:tcBorders>
              <w:top w:val="nil"/>
              <w:left w:val="nil"/>
              <w:bottom w:val="single" w:sz="4" w:space="0" w:color="auto"/>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(0.001253)</w:t>
            </w:r>
          </w:p>
        </w:tc>
        <w:tc>
          <w:tcPr>
            <w:tcW w:w="1561" w:type="dxa"/>
            <w:tcBorders>
              <w:top w:val="nil"/>
              <w:left w:val="nil"/>
              <w:bottom w:val="single" w:sz="4" w:space="0" w:color="auto"/>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(0.2977)</w:t>
            </w:r>
          </w:p>
        </w:tc>
      </w:tr>
      <w:tr w:rsidR="00D904A6" w:rsidRPr="00D904A6" w:rsidTr="00D904A6">
        <w:trPr>
          <w:trHeight w:val="255"/>
        </w:trPr>
        <w:tc>
          <w:tcPr>
            <w:tcW w:w="2268" w:type="dxa"/>
            <w:tcBorders>
              <w:top w:val="single" w:sz="4" w:space="0" w:color="auto"/>
              <w:left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left"/>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Number of observations</w:t>
            </w:r>
          </w:p>
        </w:tc>
        <w:tc>
          <w:tcPr>
            <w:tcW w:w="1275" w:type="dxa"/>
            <w:tcBorders>
              <w:top w:val="single" w:sz="4" w:space="0" w:color="auto"/>
              <w:left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2,578</w:t>
            </w:r>
          </w:p>
        </w:tc>
        <w:tc>
          <w:tcPr>
            <w:tcW w:w="1561" w:type="dxa"/>
            <w:tcBorders>
              <w:top w:val="single" w:sz="4" w:space="0" w:color="auto"/>
              <w:left w:val="nil"/>
              <w:right w:val="nil"/>
            </w:tcBorders>
            <w:shd w:val="clear" w:color="auto" w:fill="auto"/>
            <w:noWrap/>
            <w:hideMark/>
          </w:tcPr>
          <w:p w:rsidR="00D904A6" w:rsidRPr="00D904A6" w:rsidRDefault="00D904A6" w:rsidP="00D904A6">
            <w:pPr>
              <w:pBdr>
                <w:top w:val="nil"/>
                <w:left w:val="nil"/>
                <w:bottom w:val="nil"/>
                <w:right w:val="nil"/>
                <w:between w:val="nil"/>
                <w:bar w:val="nil"/>
              </w:pBdr>
              <w:spacing w:after="0" w:line="240" w:lineRule="auto"/>
              <w:ind w:left="0"/>
              <w:jc w:val="center"/>
              <w:rPr>
                <w:rFonts w:ascii="Calibri" w:eastAsia="Times New Roman" w:hAnsi="Calibri" w:cs="Calibri"/>
                <w:sz w:val="20"/>
                <w:szCs w:val="20"/>
                <w:bdr w:val="nil"/>
                <w:lang w:val="en-US" w:eastAsia="en-GB"/>
              </w:rPr>
            </w:pPr>
            <w:r w:rsidRPr="00D904A6">
              <w:rPr>
                <w:rFonts w:ascii="Calibri" w:eastAsia="Times New Roman" w:hAnsi="Calibri" w:cs="Calibri"/>
                <w:sz w:val="20"/>
                <w:szCs w:val="20"/>
                <w:bdr w:val="nil"/>
                <w:lang w:val="en-US" w:eastAsia="en-GB"/>
              </w:rPr>
              <w:t>2,452</w:t>
            </w:r>
          </w:p>
        </w:tc>
      </w:tr>
    </w:tbl>
    <w:p w:rsidR="00D904A6" w:rsidRPr="00D904A6" w:rsidRDefault="00D904A6" w:rsidP="00D904A6">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r w:rsidRPr="00D904A6">
        <w:rPr>
          <w:rFonts w:ascii="Calibri" w:eastAsia="Arial Unicode MS" w:hAnsi="Calibri" w:cs="Calibri"/>
          <w:sz w:val="20"/>
          <w:szCs w:val="20"/>
          <w:bdr w:val="nil"/>
          <w:lang/>
        </w:rPr>
        <w:t>Note: Coefficients express the effect on the logarithm of the odds ratio. Coefficients greater than 1 mean that this factor speeds up the placement process, while factors with a coefficient less than 1 impede it.</w:t>
      </w:r>
    </w:p>
    <w:p w:rsidR="00D904A6" w:rsidRPr="00D904A6" w:rsidRDefault="00D904A6" w:rsidP="00D904A6">
      <w:pPr>
        <w:pBdr>
          <w:top w:val="nil"/>
          <w:left w:val="nil"/>
          <w:bottom w:val="nil"/>
          <w:right w:val="nil"/>
          <w:between w:val="nil"/>
          <w:bar w:val="nil"/>
        </w:pBdr>
        <w:spacing w:after="0" w:line="240" w:lineRule="auto"/>
        <w:ind w:left="0"/>
        <w:rPr>
          <w:rFonts w:ascii="Calibri" w:eastAsia="Arial Unicode MS" w:hAnsi="Calibri" w:cs="Calibri"/>
          <w:sz w:val="20"/>
          <w:szCs w:val="24"/>
          <w:bdr w:val="nil"/>
          <w:lang w:val="en-US"/>
        </w:rPr>
      </w:pPr>
      <w:r w:rsidRPr="00D904A6">
        <w:rPr>
          <w:rFonts w:ascii="Calibri" w:eastAsia="MS Mincho" w:hAnsi="Calibri" w:cs="Calibri"/>
          <w:sz w:val="20"/>
          <w:szCs w:val="20"/>
          <w:bdr w:val="nil"/>
          <w:vertAlign w:val="superscript"/>
          <w:lang w:val="en-US"/>
        </w:rPr>
        <w:t>***</w:t>
      </w:r>
      <w:r w:rsidRPr="00D904A6">
        <w:rPr>
          <w:rFonts w:ascii="Calibri" w:eastAsia="Arial Unicode MS" w:hAnsi="Calibri" w:cs="Calibri"/>
          <w:sz w:val="20"/>
          <w:szCs w:val="24"/>
          <w:bdr w:val="nil"/>
          <w:lang w:val="en-US"/>
        </w:rPr>
        <w:t xml:space="preserve">Significant at a 1 per cent, </w:t>
      </w:r>
      <w:r w:rsidRPr="00D904A6">
        <w:rPr>
          <w:rFonts w:ascii="Calibri" w:eastAsia="MS Mincho" w:hAnsi="Calibri" w:cs="Calibri"/>
          <w:sz w:val="20"/>
          <w:szCs w:val="20"/>
          <w:bdr w:val="nil"/>
          <w:vertAlign w:val="superscript"/>
          <w:lang w:val="en-US"/>
        </w:rPr>
        <w:t>**</w:t>
      </w:r>
      <w:r w:rsidRPr="00D904A6">
        <w:rPr>
          <w:rFonts w:ascii="Calibri" w:eastAsia="Arial Unicode MS" w:hAnsi="Calibri" w:cs="Calibri"/>
          <w:sz w:val="20"/>
          <w:szCs w:val="24"/>
          <w:bdr w:val="nil"/>
          <w:lang w:val="en-US"/>
        </w:rPr>
        <w:t xml:space="preserve">5 per cent, </w:t>
      </w:r>
      <w:r w:rsidRPr="00D904A6">
        <w:rPr>
          <w:rFonts w:ascii="Calibri" w:eastAsia="MS Mincho" w:hAnsi="Calibri" w:cs="Calibri"/>
          <w:sz w:val="20"/>
          <w:szCs w:val="20"/>
          <w:bdr w:val="nil"/>
          <w:vertAlign w:val="superscript"/>
          <w:lang w:val="en-US"/>
        </w:rPr>
        <w:t>*</w:t>
      </w:r>
      <w:r w:rsidRPr="00D904A6">
        <w:rPr>
          <w:rFonts w:ascii="Calibri" w:eastAsia="Arial Unicode MS" w:hAnsi="Calibri" w:cs="Calibri"/>
          <w:sz w:val="20"/>
          <w:szCs w:val="24"/>
          <w:bdr w:val="nil"/>
          <w:lang w:val="en-US"/>
        </w:rPr>
        <w:t>10 per cent level.</w:t>
      </w:r>
    </w:p>
    <w:p w:rsidR="00D904A6" w:rsidRDefault="00D904A6" w:rsidP="00D904A6">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D904A6">
        <w:rPr>
          <w:rFonts w:ascii="Calibri" w:eastAsia="Arial Unicode MS" w:hAnsi="Calibri" w:cs="Calibri"/>
          <w:sz w:val="20"/>
          <w:szCs w:val="20"/>
          <w:bdr w:val="nil"/>
          <w:lang/>
        </w:rPr>
        <w:t>Source: own calculation from LFS data.</w:t>
      </w:r>
    </w:p>
    <w:p w:rsidR="003513F9" w:rsidRDefault="003513F9" w:rsidP="00177B9B">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3513F9">
        <w:rPr>
          <w:rFonts w:ascii="Calibri" w:eastAsia="Arial Unicode MS" w:hAnsi="Calibri" w:cs="Calibri"/>
          <w:bdr w:val="nil"/>
          <w:lang w:val="en-GB"/>
        </w:rPr>
        <w:t>When looking at those who entered employment, not only the life situation, but also the self-reported willingness to work has a significant explanatory effect. Those who are available to work within two weeks will find a job significantly faster, even if they did not actively seek job opportunities in the previous year quarter. Thus, while it is clear that wanting to work and availability are very strong determinants of job finding, active job search is not such an important factor.  Not surprisingly, those waiting for a call-back (or recall) spend significantly less time in non-employment than other groups. However, contacting the employment office does not significantly reduce the duration of job search.</w:t>
      </w:r>
    </w:p>
    <w:p w:rsidR="005B4EB1" w:rsidRPr="005B4EB1" w:rsidRDefault="005B4EB1" w:rsidP="005B4EB1">
      <w:pPr>
        <w:pBdr>
          <w:top w:val="nil"/>
          <w:left w:val="nil"/>
          <w:bottom w:val="nil"/>
          <w:right w:val="nil"/>
          <w:between w:val="nil"/>
          <w:bar w:val="nil"/>
        </w:pBdr>
        <w:spacing w:after="200" w:line="360" w:lineRule="auto"/>
        <w:ind w:left="0"/>
        <w:jc w:val="center"/>
        <w:rPr>
          <w:rFonts w:ascii="Times New Roman" w:eastAsia="Arial Unicode MS" w:hAnsi="Times New Roman" w:cs="Times New Roman"/>
          <w:b/>
          <w:i/>
          <w:iCs/>
          <w:sz w:val="24"/>
          <w:szCs w:val="24"/>
          <w:bdr w:val="nil"/>
          <w:lang w:val="hu-HU"/>
        </w:rPr>
      </w:pPr>
      <w:r w:rsidRPr="005B4EB1">
        <w:rPr>
          <w:rFonts w:ascii="Calibri" w:eastAsia="Arial Unicode MS" w:hAnsi="Calibri" w:cs="Times New Roman"/>
          <w:i/>
          <w:iCs/>
          <w:color w:val="68686C"/>
          <w:bdr w:val="nil"/>
          <w:lang w:val="en-GB"/>
        </w:rPr>
        <w:lastRenderedPageBreak/>
        <w:t>Table 3: Relationship between motivational factors and registration with time until exit from NEET status to employment, 2015–2018</w:t>
      </w:r>
    </w:p>
    <w:tbl>
      <w:tblPr>
        <w:tblW w:w="9072" w:type="dxa"/>
        <w:tblLook w:val="04A0"/>
      </w:tblPr>
      <w:tblGrid>
        <w:gridCol w:w="2127"/>
        <w:gridCol w:w="1559"/>
        <w:gridCol w:w="1559"/>
        <w:gridCol w:w="1701"/>
        <w:gridCol w:w="2126"/>
      </w:tblGrid>
      <w:tr w:rsidR="005B4EB1" w:rsidRPr="005B4EB1" w:rsidTr="000644D0">
        <w:trPr>
          <w:trHeight w:val="300"/>
        </w:trPr>
        <w:tc>
          <w:tcPr>
            <w:tcW w:w="2127" w:type="dxa"/>
            <w:tcBorders>
              <w:top w:val="single" w:sz="4" w:space="0" w:color="auto"/>
              <w:left w:val="nil"/>
              <w:bottom w:val="single" w:sz="4" w:space="0" w:color="auto"/>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left"/>
              <w:rPr>
                <w:rFonts w:ascii="Calibri" w:eastAsia="Times New Roman" w:hAnsi="Calibri" w:cs="Calibri"/>
                <w:color w:val="000000"/>
                <w:sz w:val="20"/>
                <w:szCs w:val="20"/>
                <w:bdr w:val="nil"/>
                <w:lang w:val="hu-HU" w:eastAsia="en-GB"/>
              </w:rPr>
            </w:pPr>
          </w:p>
        </w:tc>
        <w:tc>
          <w:tcPr>
            <w:tcW w:w="1559" w:type="dxa"/>
            <w:tcBorders>
              <w:top w:val="single" w:sz="4" w:space="0" w:color="auto"/>
              <w:left w:val="nil"/>
              <w:bottom w:val="single" w:sz="4" w:space="0" w:color="auto"/>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Wants to work</w:t>
            </w:r>
          </w:p>
        </w:tc>
        <w:tc>
          <w:tcPr>
            <w:tcW w:w="1559" w:type="dxa"/>
            <w:tcBorders>
              <w:top w:val="single" w:sz="4" w:space="0" w:color="auto"/>
              <w:left w:val="nil"/>
              <w:bottom w:val="single" w:sz="4" w:space="0" w:color="auto"/>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Does not want to work</w:t>
            </w:r>
          </w:p>
        </w:tc>
        <w:tc>
          <w:tcPr>
            <w:tcW w:w="1701" w:type="dxa"/>
            <w:tcBorders>
              <w:top w:val="single" w:sz="4" w:space="0" w:color="auto"/>
              <w:left w:val="nil"/>
              <w:bottom w:val="single" w:sz="4" w:space="0" w:color="auto"/>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Wants to work and actively seeks a job</w:t>
            </w:r>
          </w:p>
        </w:tc>
        <w:tc>
          <w:tcPr>
            <w:tcW w:w="2126" w:type="dxa"/>
            <w:tcBorders>
              <w:top w:val="single" w:sz="4" w:space="0" w:color="auto"/>
              <w:left w:val="nil"/>
              <w:bottom w:val="single" w:sz="4" w:space="0" w:color="auto"/>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Wants to work but does not actively seek a job</w:t>
            </w:r>
          </w:p>
        </w:tc>
      </w:tr>
      <w:tr w:rsidR="005B4EB1" w:rsidRPr="005B4EB1" w:rsidTr="000644D0">
        <w:trPr>
          <w:trHeight w:val="300"/>
        </w:trPr>
        <w:tc>
          <w:tcPr>
            <w:tcW w:w="2127"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left"/>
              <w:rPr>
                <w:rFonts w:ascii="Calibri" w:eastAsia="Times New Roman" w:hAnsi="Calibri" w:cs="Calibri"/>
                <w:color w:val="000000"/>
                <w:sz w:val="20"/>
                <w:szCs w:val="20"/>
                <w:bdr w:val="nil"/>
                <w:lang w:val="en-US" w:eastAsia="en-GB"/>
              </w:rPr>
            </w:pPr>
            <w:r w:rsidRPr="005B4EB1">
              <w:rPr>
                <w:rFonts w:ascii="Calibri" w:eastAsia="Times New Roman" w:hAnsi="Calibri" w:cs="Calibri"/>
                <w:sz w:val="20"/>
                <w:szCs w:val="20"/>
                <w:bdr w:val="nil"/>
                <w:lang w:val="en-US" w:eastAsia="en-GB"/>
              </w:rPr>
              <w:t>Registered jobseeker in the previous period</w:t>
            </w:r>
          </w:p>
        </w:tc>
        <w:tc>
          <w:tcPr>
            <w:tcW w:w="1559"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1.3582</w:t>
            </w:r>
            <w:r w:rsidRPr="005B4EB1">
              <w:rPr>
                <w:rFonts w:ascii="Calibri" w:eastAsia="Times New Roman" w:hAnsi="Calibri" w:cs="Calibri"/>
                <w:color w:val="000000"/>
                <w:sz w:val="20"/>
                <w:szCs w:val="20"/>
                <w:bdr w:val="nil"/>
                <w:vertAlign w:val="superscript"/>
                <w:lang w:val="en-US" w:eastAsia="en-GB"/>
              </w:rPr>
              <w:t>**</w:t>
            </w:r>
          </w:p>
        </w:tc>
        <w:tc>
          <w:tcPr>
            <w:tcW w:w="1559"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1.2549</w:t>
            </w:r>
          </w:p>
        </w:tc>
        <w:tc>
          <w:tcPr>
            <w:tcW w:w="1701"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0.9139</w:t>
            </w:r>
          </w:p>
        </w:tc>
        <w:tc>
          <w:tcPr>
            <w:tcW w:w="2126"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1.9937</w:t>
            </w:r>
            <w:r w:rsidRPr="005B4EB1">
              <w:rPr>
                <w:rFonts w:ascii="Calibri" w:eastAsia="Times New Roman" w:hAnsi="Calibri" w:cs="Calibri"/>
                <w:color w:val="000000"/>
                <w:sz w:val="20"/>
                <w:szCs w:val="20"/>
                <w:bdr w:val="nil"/>
                <w:vertAlign w:val="superscript"/>
                <w:lang w:val="en-US" w:eastAsia="en-GB"/>
              </w:rPr>
              <w:t>***</w:t>
            </w:r>
          </w:p>
        </w:tc>
      </w:tr>
      <w:tr w:rsidR="005B4EB1" w:rsidRPr="005B4EB1" w:rsidTr="000644D0">
        <w:trPr>
          <w:trHeight w:val="300"/>
        </w:trPr>
        <w:tc>
          <w:tcPr>
            <w:tcW w:w="2127"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left"/>
              <w:rPr>
                <w:rFonts w:ascii="Calibri" w:eastAsia="Times New Roman" w:hAnsi="Calibri" w:cs="Calibri"/>
                <w:color w:val="000000"/>
                <w:sz w:val="20"/>
                <w:szCs w:val="20"/>
                <w:bdr w:val="nil"/>
                <w:lang w:val="en-US" w:eastAsia="en-GB"/>
              </w:rPr>
            </w:pPr>
          </w:p>
        </w:tc>
        <w:tc>
          <w:tcPr>
            <w:tcW w:w="1559"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(0.1812)</w:t>
            </w:r>
          </w:p>
        </w:tc>
        <w:tc>
          <w:tcPr>
            <w:tcW w:w="1559"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(0.6490)</w:t>
            </w:r>
          </w:p>
        </w:tc>
        <w:tc>
          <w:tcPr>
            <w:tcW w:w="1701"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(0.1654)</w:t>
            </w:r>
          </w:p>
        </w:tc>
        <w:tc>
          <w:tcPr>
            <w:tcW w:w="2126" w:type="dxa"/>
            <w:tcBorders>
              <w:top w:val="nil"/>
              <w:left w:val="nil"/>
              <w:bottom w:val="nil"/>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(0.4319)</w:t>
            </w:r>
          </w:p>
        </w:tc>
      </w:tr>
      <w:tr w:rsidR="005B4EB1" w:rsidRPr="005B4EB1" w:rsidTr="000644D0">
        <w:trPr>
          <w:trHeight w:val="300"/>
        </w:trPr>
        <w:tc>
          <w:tcPr>
            <w:tcW w:w="2127" w:type="dxa"/>
            <w:tcBorders>
              <w:top w:val="nil"/>
              <w:left w:val="nil"/>
              <w:bottom w:val="single" w:sz="4" w:space="0" w:color="000000"/>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left"/>
              <w:rPr>
                <w:rFonts w:ascii="Calibri" w:eastAsia="Times New Roman" w:hAnsi="Calibri" w:cs="Calibri"/>
                <w:color w:val="000000"/>
                <w:sz w:val="20"/>
                <w:szCs w:val="20"/>
                <w:bdr w:val="nil"/>
                <w:lang w:val="en-US" w:eastAsia="en-GB"/>
              </w:rPr>
            </w:pPr>
            <w:r w:rsidRPr="005B4EB1">
              <w:rPr>
                <w:rFonts w:ascii="Calibri" w:eastAsia="Times New Roman" w:hAnsi="Calibri" w:cs="Calibri"/>
                <w:sz w:val="20"/>
                <w:szCs w:val="20"/>
                <w:bdr w:val="nil"/>
                <w:lang w:val="en-US" w:eastAsia="en-GB"/>
              </w:rPr>
              <w:t>Number of observations</w:t>
            </w:r>
          </w:p>
        </w:tc>
        <w:tc>
          <w:tcPr>
            <w:tcW w:w="1559" w:type="dxa"/>
            <w:tcBorders>
              <w:top w:val="nil"/>
              <w:left w:val="nil"/>
              <w:bottom w:val="single" w:sz="4" w:space="0" w:color="000000"/>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934</w:t>
            </w:r>
          </w:p>
        </w:tc>
        <w:tc>
          <w:tcPr>
            <w:tcW w:w="1559" w:type="dxa"/>
            <w:tcBorders>
              <w:top w:val="nil"/>
              <w:left w:val="nil"/>
              <w:bottom w:val="single" w:sz="4" w:space="0" w:color="000000"/>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1,644</w:t>
            </w:r>
          </w:p>
        </w:tc>
        <w:tc>
          <w:tcPr>
            <w:tcW w:w="1701" w:type="dxa"/>
            <w:tcBorders>
              <w:top w:val="nil"/>
              <w:left w:val="nil"/>
              <w:bottom w:val="single" w:sz="4" w:space="0" w:color="000000"/>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529</w:t>
            </w:r>
          </w:p>
        </w:tc>
        <w:tc>
          <w:tcPr>
            <w:tcW w:w="2126" w:type="dxa"/>
            <w:tcBorders>
              <w:top w:val="nil"/>
              <w:left w:val="nil"/>
              <w:bottom w:val="single" w:sz="4" w:space="0" w:color="000000"/>
              <w:right w:val="nil"/>
            </w:tcBorders>
            <w:shd w:val="clear" w:color="auto" w:fill="auto"/>
            <w:noWrap/>
            <w:hideMark/>
          </w:tcPr>
          <w:p w:rsidR="005B4EB1" w:rsidRPr="005B4EB1" w:rsidRDefault="005B4EB1" w:rsidP="005B4EB1">
            <w:pPr>
              <w:pBdr>
                <w:top w:val="nil"/>
                <w:left w:val="nil"/>
                <w:bottom w:val="nil"/>
                <w:right w:val="nil"/>
                <w:between w:val="nil"/>
                <w:bar w:val="nil"/>
              </w:pBdr>
              <w:spacing w:after="0" w:line="240" w:lineRule="auto"/>
              <w:ind w:left="0"/>
              <w:jc w:val="center"/>
              <w:rPr>
                <w:rFonts w:ascii="Calibri" w:eastAsia="Times New Roman" w:hAnsi="Calibri" w:cs="Calibri"/>
                <w:color w:val="000000"/>
                <w:sz w:val="20"/>
                <w:szCs w:val="20"/>
                <w:bdr w:val="nil"/>
                <w:lang w:val="en-US" w:eastAsia="en-GB"/>
              </w:rPr>
            </w:pPr>
            <w:r w:rsidRPr="005B4EB1">
              <w:rPr>
                <w:rFonts w:ascii="Calibri" w:eastAsia="Times New Roman" w:hAnsi="Calibri" w:cs="Calibri"/>
                <w:color w:val="000000"/>
                <w:sz w:val="20"/>
                <w:szCs w:val="20"/>
                <w:bdr w:val="nil"/>
                <w:lang w:val="en-US" w:eastAsia="en-GB"/>
              </w:rPr>
              <w:t>405</w:t>
            </w:r>
          </w:p>
        </w:tc>
      </w:tr>
    </w:tbl>
    <w:p w:rsidR="005B4EB1" w:rsidRPr="005B4EB1" w:rsidRDefault="005B4EB1" w:rsidP="005B4EB1">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bookmarkStart w:id="7" w:name="_Hlk24988993"/>
      <w:r w:rsidRPr="005B4EB1">
        <w:rPr>
          <w:rFonts w:ascii="Calibri" w:eastAsia="Arial Unicode MS" w:hAnsi="Calibri" w:cs="Calibri"/>
          <w:sz w:val="20"/>
          <w:szCs w:val="20"/>
          <w:bdr w:val="nil"/>
          <w:lang/>
        </w:rPr>
        <w:t>Note: Coefficients express the effect on the logarithm of the odds ratio. Coefficients greater than 1 mean that this factor speeds up the placement process, while factors with a coefficient less than 1 impede it.</w:t>
      </w:r>
    </w:p>
    <w:p w:rsidR="005B4EB1" w:rsidRPr="005B4EB1" w:rsidRDefault="005B4EB1" w:rsidP="005B4EB1">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r w:rsidRPr="005B4EB1">
        <w:rPr>
          <w:rFonts w:ascii="Calibri" w:eastAsia="Arial Unicode MS" w:hAnsi="Calibri" w:cs="Calibri"/>
          <w:sz w:val="20"/>
          <w:szCs w:val="20"/>
          <w:bdr w:val="nil"/>
          <w:lang/>
        </w:rPr>
        <w:t xml:space="preserve">*** Significant at 1 percent, ** 5 percent, * 10 percent </w:t>
      </w:r>
      <w:r w:rsidRPr="005B4EB1">
        <w:rPr>
          <w:rFonts w:ascii="Calibri" w:eastAsia="Arial Unicode MS" w:hAnsi="Calibri" w:cs="Calibri"/>
          <w:sz w:val="20"/>
          <w:szCs w:val="24"/>
          <w:bdr w:val="nil"/>
          <w:lang w:val="en-US"/>
        </w:rPr>
        <w:t>level</w:t>
      </w:r>
      <w:r w:rsidRPr="005B4EB1">
        <w:rPr>
          <w:rFonts w:ascii="Calibri" w:eastAsia="Arial Unicode MS" w:hAnsi="Calibri" w:cs="Calibri"/>
          <w:sz w:val="20"/>
          <w:szCs w:val="20"/>
          <w:bdr w:val="nil"/>
          <w:lang/>
        </w:rPr>
        <w:t>.</w:t>
      </w:r>
    </w:p>
    <w:p w:rsidR="005B4EB1" w:rsidRPr="005B4EB1" w:rsidRDefault="005B4EB1" w:rsidP="005B4EB1">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r w:rsidRPr="005B4EB1">
        <w:rPr>
          <w:rFonts w:ascii="Calibri" w:eastAsia="Arial Unicode MS" w:hAnsi="Calibri" w:cs="Calibri"/>
          <w:sz w:val="20"/>
          <w:szCs w:val="20"/>
          <w:bdr w:val="nil"/>
          <w:lang/>
        </w:rPr>
        <w:t>Source: own calculation from LFS data.</w:t>
      </w:r>
    </w:p>
    <w:bookmarkEnd w:id="7"/>
    <w:p w:rsidR="005B4EB1" w:rsidRDefault="005B4EB1" w:rsidP="00177B9B">
      <w:pPr>
        <w:pBdr>
          <w:top w:val="nil"/>
          <w:left w:val="nil"/>
          <w:bottom w:val="nil"/>
          <w:right w:val="nil"/>
          <w:between w:val="nil"/>
          <w:bar w:val="nil"/>
        </w:pBdr>
        <w:spacing w:after="100" w:line="360" w:lineRule="auto"/>
        <w:ind w:left="0"/>
        <w:rPr>
          <w:rFonts w:ascii="Calibri" w:eastAsia="Arial Unicode MS" w:hAnsi="Calibri" w:cs="Calibri"/>
          <w:bdr w:val="nil"/>
          <w:lang w:val="en-GB"/>
        </w:rPr>
      </w:pPr>
    </w:p>
    <w:p w:rsidR="007845A9" w:rsidRDefault="007845A9" w:rsidP="00177B9B">
      <w:pPr>
        <w:pBdr>
          <w:top w:val="nil"/>
          <w:left w:val="nil"/>
          <w:bottom w:val="nil"/>
          <w:right w:val="nil"/>
          <w:between w:val="nil"/>
          <w:bar w:val="nil"/>
        </w:pBdr>
        <w:spacing w:after="100" w:line="360" w:lineRule="auto"/>
        <w:ind w:left="0"/>
        <w:rPr>
          <w:rFonts w:ascii="Calibri" w:eastAsia="Arial Unicode MS" w:hAnsi="Calibri" w:cs="Calibri"/>
          <w:bdr w:val="nil"/>
          <w:lang w:val="en-GB"/>
        </w:rPr>
      </w:pPr>
      <w:r w:rsidRPr="007845A9">
        <w:rPr>
          <w:rFonts w:ascii="Calibri" w:eastAsia="Arial Unicode MS" w:hAnsi="Calibri" w:cs="Calibri"/>
          <w:bdr w:val="nil"/>
          <w:lang w:val="en-GB"/>
        </w:rPr>
        <w:t xml:space="preserve">The role of the public employment services may be different for certain groups of young people not in education or training. Examining separately the groups created based on motivation, we find that registration with PES significantly reduces the duration of the NEET status for those who want to work but are not actively searching for a job themselves. This implies that the support of the employment services is not </w:t>
      </w:r>
      <w:r w:rsidR="002743C4">
        <w:rPr>
          <w:rFonts w:ascii="Calibri" w:eastAsia="Arial Unicode MS" w:hAnsi="Calibri" w:cs="Calibri"/>
          <w:bdr w:val="nil"/>
          <w:lang w:val="en-GB"/>
        </w:rPr>
        <w:t>particularly</w:t>
      </w:r>
      <w:r w:rsidRPr="007845A9">
        <w:rPr>
          <w:rFonts w:ascii="Calibri" w:eastAsia="Arial Unicode MS" w:hAnsi="Calibri" w:cs="Calibri"/>
          <w:bdr w:val="nil"/>
          <w:lang w:val="en-GB"/>
        </w:rPr>
        <w:t xml:space="preserve"> helpful for those who are able to look for a job on their own, while those who themselves are not seeking employment for some reason may be activated by the help of PES.</w:t>
      </w:r>
    </w:p>
    <w:p w:rsidR="001B5FAB" w:rsidRPr="009B7638" w:rsidRDefault="009B2708" w:rsidP="003E0031">
      <w:pPr>
        <w:pStyle w:val="Heading1"/>
        <w:rPr>
          <w:rFonts w:eastAsia="Calibri"/>
          <w:lang w:val="en-GB" w:eastAsia="hu-HU"/>
        </w:rPr>
      </w:pPr>
      <w:r>
        <w:rPr>
          <w:rFonts w:eastAsia="Calibri"/>
          <w:lang w:val="en-GB" w:eastAsia="hu-HU"/>
        </w:rPr>
        <w:t>Regional variation in registration propensity</w:t>
      </w:r>
      <w:r w:rsidR="001B5FAB" w:rsidRPr="009B7638">
        <w:rPr>
          <w:rFonts w:eastAsia="Calibri"/>
          <w:lang w:val="en-GB" w:eastAsia="hu-HU"/>
        </w:rPr>
        <w:t xml:space="preserve"> </w:t>
      </w:r>
    </w:p>
    <w:p w:rsidR="00F4562A" w:rsidRDefault="00F4562A" w:rsidP="00F4562A">
      <w:pPr>
        <w:pBdr>
          <w:top w:val="nil"/>
          <w:left w:val="nil"/>
          <w:bottom w:val="nil"/>
          <w:right w:val="nil"/>
          <w:between w:val="nil"/>
          <w:bar w:val="nil"/>
        </w:pBdr>
        <w:tabs>
          <w:tab w:val="left" w:pos="1095"/>
        </w:tabs>
        <w:spacing w:after="100" w:line="360" w:lineRule="auto"/>
        <w:ind w:left="0"/>
        <w:rPr>
          <w:rFonts w:ascii="Calibri" w:eastAsia="Helvetica Neue" w:hAnsi="Calibri" w:cs="Calibri"/>
          <w:color w:val="000000"/>
          <w:bdr w:val="nil"/>
          <w:lang w:val="en-GB" w:eastAsia="es-ES_tradnl"/>
        </w:rPr>
      </w:pPr>
      <w:r w:rsidRPr="00F4562A">
        <w:rPr>
          <w:rFonts w:ascii="Calibri" w:eastAsia="Helvetica Neue" w:hAnsi="Calibri" w:cs="Calibri"/>
          <w:color w:val="000000"/>
          <w:bdr w:val="nil"/>
          <w:lang w:val="en-GB" w:eastAsia="es-ES_tradnl"/>
        </w:rPr>
        <w:t xml:space="preserve">In this section, we will analyse variation in registration propensity first across NUTS2 regions (based on LFS data), then at the micro-region level (by using a combination of data sources). The first analysis is useful, as it can serve as basis for cross-country comparisons, while the second goes closer to the actual performance of local labour offices. It needs to be noted however that the propensity for youths to register as unemployed clearly depends on the job opportunities which can be found without the intermediation of the </w:t>
      </w:r>
      <w:proofErr w:type="gramStart"/>
      <w:r w:rsidRPr="00F4562A">
        <w:rPr>
          <w:rFonts w:ascii="Calibri" w:eastAsia="Helvetica Neue" w:hAnsi="Calibri" w:cs="Calibri"/>
          <w:color w:val="000000"/>
          <w:bdr w:val="nil"/>
          <w:lang w:val="en-GB" w:eastAsia="es-ES_tradnl"/>
        </w:rPr>
        <w:t>PES, that</w:t>
      </w:r>
      <w:proofErr w:type="gramEnd"/>
      <w:r w:rsidRPr="00F4562A">
        <w:rPr>
          <w:rFonts w:ascii="Calibri" w:eastAsia="Helvetica Neue" w:hAnsi="Calibri" w:cs="Calibri"/>
          <w:color w:val="000000"/>
          <w:bdr w:val="nil"/>
          <w:lang w:val="en-GB" w:eastAsia="es-ES_tradnl"/>
        </w:rPr>
        <w:t xml:space="preserve"> can vary largely with the structure of the local labour demand. Furthermore, it is not clear whether all local offices can use the same level of resources (both financial and personnel), as the number of NEETs does no</w:t>
      </w:r>
      <w:r>
        <w:rPr>
          <w:rFonts w:ascii="Calibri" w:eastAsia="Helvetica Neue" w:hAnsi="Calibri" w:cs="Calibri"/>
          <w:color w:val="000000"/>
          <w:bdr w:val="nil"/>
          <w:lang w:val="en-GB" w:eastAsia="es-ES_tradnl"/>
        </w:rPr>
        <w:t>t</w:t>
      </w:r>
      <w:r w:rsidRPr="00F4562A">
        <w:rPr>
          <w:rFonts w:ascii="Calibri" w:eastAsia="Helvetica Neue" w:hAnsi="Calibri" w:cs="Calibri"/>
          <w:color w:val="000000"/>
          <w:bdr w:val="nil"/>
          <w:lang w:val="en-GB" w:eastAsia="es-ES_tradnl"/>
        </w:rPr>
        <w:t xml:space="preserve"> factor into the distribution of these.</w:t>
      </w:r>
    </w:p>
    <w:p w:rsidR="00B22636" w:rsidRPr="009B7638" w:rsidRDefault="00B22636" w:rsidP="00B22636">
      <w:pPr>
        <w:pStyle w:val="Heading4"/>
        <w:rPr>
          <w:rFonts w:eastAsia="Arial Unicode MS"/>
          <w:bdr w:val="nil"/>
          <w:lang w:val="en-GB"/>
        </w:rPr>
      </w:pPr>
      <w:r>
        <w:rPr>
          <w:rFonts w:eastAsia="Arial Unicode MS"/>
          <w:bdr w:val="nil"/>
          <w:lang w:val="en-GB"/>
        </w:rPr>
        <w:lastRenderedPageBreak/>
        <w:t>analysis at the regional level</w:t>
      </w:r>
    </w:p>
    <w:p w:rsidR="008B6D72" w:rsidRPr="008B6D72" w:rsidRDefault="008B6D72" w:rsidP="008B6D72">
      <w:pPr>
        <w:pBdr>
          <w:top w:val="nil"/>
          <w:left w:val="nil"/>
          <w:bottom w:val="nil"/>
          <w:right w:val="nil"/>
          <w:between w:val="nil"/>
          <w:bar w:val="nil"/>
        </w:pBdr>
        <w:tabs>
          <w:tab w:val="left" w:pos="1095"/>
        </w:tabs>
        <w:spacing w:after="100" w:line="360" w:lineRule="auto"/>
        <w:ind w:left="0"/>
        <w:rPr>
          <w:rFonts w:ascii="Calibri" w:eastAsia="Helvetica Neue" w:hAnsi="Calibri" w:cs="Calibri"/>
          <w:color w:val="000000"/>
          <w:bdr w:val="nil"/>
          <w:lang w:val="en-GB" w:eastAsia="es-ES_tradnl"/>
        </w:rPr>
      </w:pPr>
      <w:r w:rsidRPr="008B6D72">
        <w:rPr>
          <w:rFonts w:ascii="Calibri" w:eastAsia="Helvetica Neue" w:hAnsi="Calibri" w:cs="Calibri"/>
          <w:color w:val="000000"/>
          <w:bdr w:val="nil"/>
          <w:lang w:val="en-GB" w:eastAsia="es-ES_tradnl"/>
        </w:rPr>
        <w:t xml:space="preserve">We will first examine the seven NUTS2 regions of Hungary, using the categorization of NEETs similar to the above. For simplicity, we aggregated </w:t>
      </w:r>
      <w:r w:rsidR="00727125">
        <w:rPr>
          <w:rFonts w:ascii="Calibri" w:eastAsia="Helvetica Neue" w:hAnsi="Calibri" w:cs="Calibri"/>
          <w:color w:val="000000"/>
          <w:bdr w:val="nil"/>
          <w:lang w:val="en-GB" w:eastAsia="es-ES_tradnl"/>
        </w:rPr>
        <w:t xml:space="preserve">finer </w:t>
      </w:r>
      <w:r w:rsidRPr="008B6D72">
        <w:rPr>
          <w:rFonts w:ascii="Calibri" w:eastAsia="Helvetica Neue" w:hAnsi="Calibri" w:cs="Calibri"/>
          <w:color w:val="000000"/>
          <w:bdr w:val="nil"/>
          <w:lang w:val="en-GB" w:eastAsia="es-ES_tradnl"/>
        </w:rPr>
        <w:t xml:space="preserve">categories into two major categories based on distance from the labour market – based on the results of outflows from NEET status. We define ‘closer’ as those who would like to and are available for work, while all others are classified as ‘further’ from the labour market. </w:t>
      </w:r>
      <w:r w:rsidR="004E0E31">
        <w:rPr>
          <w:rStyle w:val="FootnoteReference"/>
          <w:rFonts w:ascii="Calibri" w:eastAsia="Helvetica Neue" w:hAnsi="Calibri" w:cs="Calibri"/>
          <w:color w:val="000000"/>
          <w:bdr w:val="nil"/>
          <w:lang w:val="en-GB" w:eastAsia="es-ES_tradnl"/>
        </w:rPr>
        <w:footnoteReference w:id="1"/>
      </w:r>
    </w:p>
    <w:p w:rsidR="00F4187B" w:rsidRDefault="008B6D72" w:rsidP="008B6D72">
      <w:pPr>
        <w:pBdr>
          <w:top w:val="nil"/>
          <w:left w:val="nil"/>
          <w:bottom w:val="nil"/>
          <w:right w:val="nil"/>
          <w:between w:val="nil"/>
          <w:bar w:val="nil"/>
        </w:pBdr>
        <w:tabs>
          <w:tab w:val="left" w:pos="1095"/>
        </w:tabs>
        <w:spacing w:after="100" w:line="360" w:lineRule="auto"/>
        <w:ind w:left="0"/>
        <w:rPr>
          <w:rFonts w:ascii="Calibri" w:eastAsia="Helvetica Neue" w:hAnsi="Calibri" w:cs="Calibri"/>
          <w:color w:val="000000"/>
          <w:bdr w:val="nil"/>
          <w:lang w:val="en-GB" w:eastAsia="es-ES_tradnl"/>
        </w:rPr>
      </w:pPr>
      <w:r w:rsidRPr="008B6D72">
        <w:rPr>
          <w:rFonts w:ascii="Calibri" w:eastAsia="Helvetica Neue" w:hAnsi="Calibri" w:cs="Calibri"/>
          <w:color w:val="000000"/>
          <w:bdr w:val="nil"/>
          <w:lang w:val="en-GB" w:eastAsia="es-ES_tradnl"/>
        </w:rPr>
        <w:t xml:space="preserve">We need to note that there is a clear ranking of regions by economic development and labour market between the different regions, with Central Hungary being the most developed, </w:t>
      </w:r>
      <w:proofErr w:type="gramStart"/>
      <w:r w:rsidRPr="008B6D72">
        <w:rPr>
          <w:rFonts w:ascii="Calibri" w:eastAsia="Helvetica Neue" w:hAnsi="Calibri" w:cs="Calibri"/>
          <w:color w:val="000000"/>
          <w:bdr w:val="nil"/>
          <w:lang w:val="en-GB" w:eastAsia="es-ES_tradnl"/>
        </w:rPr>
        <w:t>Central</w:t>
      </w:r>
      <w:proofErr w:type="gramEnd"/>
      <w:r w:rsidRPr="008B6D72">
        <w:rPr>
          <w:rFonts w:ascii="Calibri" w:eastAsia="Helvetica Neue" w:hAnsi="Calibri" w:cs="Calibri"/>
          <w:color w:val="000000"/>
          <w:bdr w:val="nil"/>
          <w:lang w:val="en-GB" w:eastAsia="es-ES_tradnl"/>
        </w:rPr>
        <w:t xml:space="preserve"> and Western </w:t>
      </w:r>
      <w:proofErr w:type="spellStart"/>
      <w:r w:rsidRPr="008B6D72">
        <w:rPr>
          <w:rFonts w:ascii="Calibri" w:eastAsia="Helvetica Neue" w:hAnsi="Calibri" w:cs="Calibri"/>
          <w:color w:val="000000"/>
          <w:bdr w:val="nil"/>
          <w:lang w:val="en-GB" w:eastAsia="es-ES_tradnl"/>
        </w:rPr>
        <w:t>Transdanubia</w:t>
      </w:r>
      <w:proofErr w:type="spellEnd"/>
      <w:r w:rsidRPr="008B6D72">
        <w:rPr>
          <w:rFonts w:ascii="Calibri" w:eastAsia="Helvetica Neue" w:hAnsi="Calibri" w:cs="Calibri"/>
          <w:color w:val="000000"/>
          <w:bdr w:val="nil"/>
          <w:lang w:val="en-GB" w:eastAsia="es-ES_tradnl"/>
        </w:rPr>
        <w:t xml:space="preserve"> somewhat less developed, Southern </w:t>
      </w:r>
      <w:proofErr w:type="spellStart"/>
      <w:r w:rsidRPr="008B6D72">
        <w:rPr>
          <w:rFonts w:ascii="Calibri" w:eastAsia="Helvetica Neue" w:hAnsi="Calibri" w:cs="Calibri"/>
          <w:color w:val="000000"/>
          <w:bdr w:val="nil"/>
          <w:lang w:val="en-GB" w:eastAsia="es-ES_tradnl"/>
        </w:rPr>
        <w:t>Transdanubia</w:t>
      </w:r>
      <w:proofErr w:type="spellEnd"/>
      <w:r w:rsidRPr="008B6D72">
        <w:rPr>
          <w:rFonts w:ascii="Calibri" w:eastAsia="Helvetica Neue" w:hAnsi="Calibri" w:cs="Calibri"/>
          <w:color w:val="000000"/>
          <w:bdr w:val="nil"/>
          <w:lang w:val="en-GB" w:eastAsia="es-ES_tradnl"/>
        </w:rPr>
        <w:t xml:space="preserve"> and Southern Great Plains in significantly worse position, and Northern Hungary and the Northern Great Plain being even less developed. As it can be seen in the table below, the proportion of those furthest away from the labour market among NEETs is around 75 percent in the three most developed regions; while there is some variation in the four less developed regions. What is most notable is that there are huge differences in registration rates across regions even within distance from labour market categories. For instance, the registration rate is as low as 12 percent among those wanting to work in Central Hungary (t</w:t>
      </w:r>
      <w:r w:rsidR="00D30F3A">
        <w:rPr>
          <w:rFonts w:ascii="Calibri" w:eastAsia="Helvetica Neue" w:hAnsi="Calibri" w:cs="Calibri"/>
          <w:color w:val="000000"/>
          <w:bdr w:val="nil"/>
          <w:lang w:val="en-GB" w:eastAsia="es-ES_tradnl"/>
        </w:rPr>
        <w:t xml:space="preserve">he most developed region), and </w:t>
      </w:r>
      <w:r w:rsidRPr="008B6D72">
        <w:rPr>
          <w:rFonts w:ascii="Calibri" w:eastAsia="Helvetica Neue" w:hAnsi="Calibri" w:cs="Calibri"/>
          <w:color w:val="000000"/>
          <w:bdr w:val="nil"/>
          <w:lang w:val="en-GB" w:eastAsia="es-ES_tradnl"/>
        </w:rPr>
        <w:t xml:space="preserve">it is as high as 72 percent in Northern Great Plains (the least developed region).  </w:t>
      </w:r>
    </w:p>
    <w:p w:rsidR="00227031" w:rsidRPr="00227031" w:rsidRDefault="00227031" w:rsidP="00227031">
      <w:pPr>
        <w:keepNext/>
        <w:keepLines/>
        <w:pBdr>
          <w:top w:val="nil"/>
          <w:left w:val="nil"/>
          <w:bottom w:val="nil"/>
          <w:right w:val="nil"/>
          <w:between w:val="nil"/>
          <w:bar w:val="nil"/>
        </w:pBdr>
        <w:spacing w:after="200" w:line="240" w:lineRule="auto"/>
        <w:ind w:left="0"/>
        <w:jc w:val="center"/>
        <w:rPr>
          <w:rFonts w:ascii="Calibri" w:eastAsia="Calibri" w:hAnsi="Calibri" w:cs="Times New Roman"/>
          <w:iCs/>
          <w:color w:val="68686C"/>
          <w:lang w:val="en-GB"/>
        </w:rPr>
      </w:pPr>
      <w:r w:rsidRPr="00227031">
        <w:rPr>
          <w:rFonts w:ascii="Calibri" w:eastAsia="Arial Unicode MS" w:hAnsi="Calibri" w:cs="Times New Roman"/>
          <w:i/>
          <w:iCs/>
          <w:color w:val="68686C"/>
          <w:bdr w:val="nil"/>
          <w:lang w:val="en-GB"/>
        </w:rPr>
        <w:t xml:space="preserve">Table </w:t>
      </w:r>
      <w:r>
        <w:rPr>
          <w:rFonts w:ascii="Calibri" w:eastAsia="Arial Unicode MS" w:hAnsi="Calibri" w:cs="Times New Roman"/>
          <w:i/>
          <w:iCs/>
          <w:color w:val="68686C"/>
          <w:bdr w:val="nil"/>
          <w:lang w:val="en-GB"/>
        </w:rPr>
        <w:t>4</w:t>
      </w:r>
      <w:r w:rsidRPr="00227031">
        <w:rPr>
          <w:rFonts w:ascii="Calibri" w:eastAsia="Arial Unicode MS" w:hAnsi="Calibri" w:cs="Times New Roman"/>
          <w:i/>
          <w:iCs/>
          <w:color w:val="68686C"/>
          <w:bdr w:val="nil"/>
          <w:lang w:val="en-GB"/>
        </w:rPr>
        <w:t>: Descriptive evidence on registration rates by region (2019)</w:t>
      </w:r>
    </w:p>
    <w:tbl>
      <w:tblPr>
        <w:tblW w:w="0" w:type="auto"/>
        <w:tblInd w:w="-30" w:type="dxa"/>
        <w:tblLayout w:type="fixed"/>
        <w:tblLook w:val="0000"/>
      </w:tblPr>
      <w:tblGrid>
        <w:gridCol w:w="2268"/>
        <w:gridCol w:w="1418"/>
        <w:gridCol w:w="1418"/>
        <w:gridCol w:w="1418"/>
        <w:gridCol w:w="1418"/>
        <w:gridCol w:w="1418"/>
      </w:tblGrid>
      <w:tr w:rsidR="00227031" w:rsidRPr="00227031" w:rsidTr="000644D0">
        <w:trPr>
          <w:trHeight w:val="290"/>
        </w:trPr>
        <w:tc>
          <w:tcPr>
            <w:tcW w:w="226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c>
          <w:tcPr>
            <w:tcW w:w="141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Far from the LM</w:t>
            </w:r>
          </w:p>
        </w:tc>
        <w:tc>
          <w:tcPr>
            <w:tcW w:w="141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Registration, close to LM</w:t>
            </w:r>
          </w:p>
        </w:tc>
        <w:tc>
          <w:tcPr>
            <w:tcW w:w="141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Registration, far from LM</w:t>
            </w:r>
          </w:p>
        </w:tc>
        <w:tc>
          <w:tcPr>
            <w:tcW w:w="141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roofErr w:type="spellStart"/>
            <w:r w:rsidRPr="00227031">
              <w:rPr>
                <w:rFonts w:ascii="Calibri" w:eastAsia="Arial Unicode MS" w:hAnsi="Calibri" w:cs="Calibri"/>
                <w:color w:val="000000"/>
                <w:sz w:val="20"/>
                <w:szCs w:val="20"/>
                <w:bdr w:val="nil"/>
                <w:lang w:val="en-GB" w:eastAsia="es-ES_tradnl"/>
              </w:rPr>
              <w:t>Unemploy</w:t>
            </w:r>
            <w:r w:rsidR="004741A5">
              <w:rPr>
                <w:rFonts w:ascii="Calibri" w:eastAsia="Arial Unicode MS" w:hAnsi="Calibri" w:cs="Calibri"/>
                <w:color w:val="000000"/>
                <w:sz w:val="20"/>
                <w:szCs w:val="20"/>
                <w:bdr w:val="nil"/>
                <w:lang w:val="en-GB" w:eastAsia="es-ES_tradnl"/>
              </w:rPr>
              <w:t>-</w:t>
            </w:r>
            <w:r w:rsidRPr="00227031">
              <w:rPr>
                <w:rFonts w:ascii="Calibri" w:eastAsia="Arial Unicode MS" w:hAnsi="Calibri" w:cs="Calibri"/>
                <w:color w:val="000000"/>
                <w:sz w:val="20"/>
                <w:szCs w:val="20"/>
                <w:bdr w:val="nil"/>
                <w:lang w:val="en-GB" w:eastAsia="es-ES_tradnl"/>
              </w:rPr>
              <w:t>ment</w:t>
            </w:r>
            <w:proofErr w:type="spellEnd"/>
            <w:r w:rsidRPr="00227031">
              <w:rPr>
                <w:rFonts w:ascii="Calibri" w:eastAsia="Arial Unicode MS" w:hAnsi="Calibri" w:cs="Calibri"/>
                <w:color w:val="000000"/>
                <w:sz w:val="20"/>
                <w:szCs w:val="20"/>
                <w:bdr w:val="nil"/>
                <w:lang w:val="en-GB" w:eastAsia="es-ES_tradnl"/>
              </w:rPr>
              <w:t xml:space="preserve"> rate</w:t>
            </w:r>
          </w:p>
        </w:tc>
        <w:tc>
          <w:tcPr>
            <w:tcW w:w="1418" w:type="dxa"/>
            <w:tcBorders>
              <w:top w:val="single" w:sz="4" w:space="0" w:color="auto"/>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GDP/head (</w:t>
            </w:r>
            <w:r>
              <w:rPr>
                <w:rFonts w:ascii="Calibri" w:eastAsia="Arial Unicode MS" w:hAnsi="Calibri" w:cs="Calibri"/>
                <w:color w:val="000000"/>
                <w:sz w:val="20"/>
                <w:szCs w:val="20"/>
                <w:bdr w:val="nil"/>
                <w:lang w:val="en-GB" w:eastAsia="es-ES_tradnl"/>
              </w:rPr>
              <w:t xml:space="preserve">million </w:t>
            </w:r>
            <w:r w:rsidRPr="00227031">
              <w:rPr>
                <w:rFonts w:ascii="Calibri" w:eastAsia="Arial Unicode MS" w:hAnsi="Calibri" w:cs="Calibri"/>
                <w:color w:val="000000"/>
                <w:sz w:val="20"/>
                <w:szCs w:val="20"/>
                <w:bdr w:val="nil"/>
                <w:lang w:val="en-GB" w:eastAsia="es-ES_tradnl"/>
              </w:rPr>
              <w:t>HUF/month)</w:t>
            </w:r>
          </w:p>
        </w:tc>
      </w:tr>
      <w:tr w:rsidR="00227031" w:rsidRPr="00227031" w:rsidTr="000644D0">
        <w:trPr>
          <w:trHeight w:val="290"/>
        </w:trPr>
        <w:tc>
          <w:tcPr>
            <w:tcW w:w="226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i/>
                <w:iCs/>
                <w:color w:val="000000"/>
                <w:sz w:val="20"/>
                <w:szCs w:val="20"/>
                <w:bdr w:val="nil"/>
                <w:lang w:val="en-GB" w:eastAsia="es-ES_tradnl"/>
              </w:rPr>
              <w:t>Region</w:t>
            </w:r>
          </w:p>
        </w:tc>
        <w:tc>
          <w:tcPr>
            <w:tcW w:w="141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w:t>
            </w:r>
          </w:p>
        </w:tc>
        <w:tc>
          <w:tcPr>
            <w:tcW w:w="141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w:t>
            </w:r>
          </w:p>
        </w:tc>
        <w:tc>
          <w:tcPr>
            <w:tcW w:w="141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color w:val="000000"/>
                <w:sz w:val="20"/>
                <w:szCs w:val="20"/>
                <w:bdr w:val="nil"/>
                <w:lang w:val="en-GB" w:eastAsia="es-ES_tradnl"/>
              </w:rPr>
              <w:t>(%)</w:t>
            </w:r>
          </w:p>
        </w:tc>
        <w:tc>
          <w:tcPr>
            <w:tcW w:w="141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c>
          <w:tcPr>
            <w:tcW w:w="1418" w:type="dxa"/>
            <w:tcBorders>
              <w:top w:val="nil"/>
              <w:left w:val="nil"/>
              <w:bottom w:val="single" w:sz="6"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r>
      <w:tr w:rsidR="00227031" w:rsidRPr="00227031" w:rsidTr="000644D0">
        <w:trPr>
          <w:trHeight w:val="290"/>
        </w:trPr>
        <w:tc>
          <w:tcPr>
            <w:tcW w:w="226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Central Hungary</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76</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12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9</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6</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0</w:t>
            </w:r>
          </w:p>
        </w:tc>
      </w:tr>
      <w:tr w:rsidR="00227031" w:rsidRPr="00227031" w:rsidTr="000644D0">
        <w:trPr>
          <w:trHeight w:val="290"/>
        </w:trPr>
        <w:tc>
          <w:tcPr>
            <w:tcW w:w="226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 xml:space="preserve">Central </w:t>
            </w:r>
            <w:proofErr w:type="spellStart"/>
            <w:r w:rsidRPr="00227031">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76</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33</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4</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3</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6</w:t>
            </w:r>
          </w:p>
        </w:tc>
      </w:tr>
      <w:tr w:rsidR="00227031" w:rsidRPr="00227031" w:rsidTr="000644D0">
        <w:trPr>
          <w:trHeight w:val="290"/>
        </w:trPr>
        <w:tc>
          <w:tcPr>
            <w:tcW w:w="226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 xml:space="preserve">Western </w:t>
            </w:r>
            <w:proofErr w:type="spellStart"/>
            <w:r w:rsidRPr="00227031">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75</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28</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3</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4</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1</w:t>
            </w:r>
          </w:p>
        </w:tc>
      </w:tr>
      <w:tr w:rsidR="00227031" w:rsidRPr="00227031" w:rsidTr="000644D0">
        <w:trPr>
          <w:trHeight w:val="290"/>
        </w:trPr>
        <w:tc>
          <w:tcPr>
            <w:tcW w:w="226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 xml:space="preserve">Southern </w:t>
            </w:r>
            <w:proofErr w:type="spellStart"/>
            <w:r w:rsidRPr="00227031">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62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63</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11</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9</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6</w:t>
            </w:r>
          </w:p>
        </w:tc>
      </w:tr>
      <w:tr w:rsidR="00227031" w:rsidRPr="00227031" w:rsidTr="000644D0">
        <w:trPr>
          <w:trHeight w:val="290"/>
        </w:trPr>
        <w:tc>
          <w:tcPr>
            <w:tcW w:w="226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Northern Hungary</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60</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67</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11</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12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6</w:t>
            </w:r>
          </w:p>
        </w:tc>
      </w:tr>
      <w:tr w:rsidR="00227031" w:rsidRPr="00227031" w:rsidTr="000644D0">
        <w:trPr>
          <w:trHeight w:val="290"/>
        </w:trPr>
        <w:tc>
          <w:tcPr>
            <w:tcW w:w="2268" w:type="dxa"/>
            <w:tcBorders>
              <w:top w:val="nil"/>
              <w:left w:val="nil"/>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Northern Great Plain</w:t>
            </w:r>
          </w:p>
        </w:tc>
        <w:tc>
          <w:tcPr>
            <w:tcW w:w="1418" w:type="dxa"/>
            <w:tcBorders>
              <w:top w:val="nil"/>
              <w:left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57</w:t>
            </w:r>
          </w:p>
        </w:tc>
        <w:tc>
          <w:tcPr>
            <w:tcW w:w="1418" w:type="dxa"/>
            <w:tcBorders>
              <w:top w:val="nil"/>
              <w:left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72</w:t>
            </w:r>
          </w:p>
        </w:tc>
        <w:tc>
          <w:tcPr>
            <w:tcW w:w="1418" w:type="dxa"/>
            <w:tcBorders>
              <w:top w:val="nil"/>
              <w:left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6</w:t>
            </w:r>
          </w:p>
        </w:tc>
        <w:tc>
          <w:tcPr>
            <w:tcW w:w="1418" w:type="dxa"/>
            <w:tcBorders>
              <w:top w:val="nil"/>
              <w:left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10</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7</w:t>
            </w:r>
          </w:p>
        </w:tc>
        <w:tc>
          <w:tcPr>
            <w:tcW w:w="1418" w:type="dxa"/>
            <w:tcBorders>
              <w:top w:val="nil"/>
              <w:left w:val="nil"/>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5</w:t>
            </w:r>
          </w:p>
        </w:tc>
      </w:tr>
      <w:tr w:rsidR="00227031" w:rsidRPr="00227031" w:rsidTr="000644D0">
        <w:trPr>
          <w:trHeight w:val="290"/>
        </w:trPr>
        <w:tc>
          <w:tcPr>
            <w:tcW w:w="226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Southern Great Plain</w:t>
            </w:r>
          </w:p>
        </w:tc>
        <w:tc>
          <w:tcPr>
            <w:tcW w:w="141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67</w:t>
            </w:r>
          </w:p>
        </w:tc>
        <w:tc>
          <w:tcPr>
            <w:tcW w:w="141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227031">
              <w:rPr>
                <w:rFonts w:ascii="Calibri" w:eastAsia="Arial Unicode MS" w:hAnsi="Calibri" w:cs="Calibri"/>
                <w:sz w:val="20"/>
                <w:szCs w:val="20"/>
                <w:bdr w:val="nil"/>
                <w:lang w:val="en-US"/>
              </w:rPr>
              <w:t>47</w:t>
            </w:r>
          </w:p>
        </w:tc>
        <w:tc>
          <w:tcPr>
            <w:tcW w:w="141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p>
        </w:tc>
        <w:tc>
          <w:tcPr>
            <w:tcW w:w="141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6</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1</w:t>
            </w:r>
          </w:p>
        </w:tc>
        <w:tc>
          <w:tcPr>
            <w:tcW w:w="1418" w:type="dxa"/>
            <w:tcBorders>
              <w:top w:val="nil"/>
              <w:left w:val="nil"/>
              <w:bottom w:val="single" w:sz="4" w:space="0" w:color="auto"/>
              <w:right w:val="nil"/>
            </w:tcBorders>
          </w:tcPr>
          <w:p w:rsidR="00227031" w:rsidRPr="00227031" w:rsidRDefault="00227031" w:rsidP="00227031">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227031">
              <w:rPr>
                <w:rFonts w:ascii="Calibri" w:eastAsia="Arial Unicode MS" w:hAnsi="Calibri" w:cs="Calibri"/>
                <w:sz w:val="20"/>
                <w:szCs w:val="20"/>
                <w:bdr w:val="nil"/>
                <w:lang w:val="en-US"/>
              </w:rPr>
              <w:t>2</w:t>
            </w:r>
            <w:r w:rsidR="004741A5">
              <w:rPr>
                <w:rFonts w:ascii="Calibri" w:eastAsia="Arial Unicode MS" w:hAnsi="Calibri" w:cs="Calibri"/>
                <w:sz w:val="20"/>
                <w:szCs w:val="20"/>
                <w:bdr w:val="nil"/>
                <w:lang w:val="en-US"/>
              </w:rPr>
              <w:t>.</w:t>
            </w:r>
            <w:r w:rsidRPr="00227031">
              <w:rPr>
                <w:rFonts w:ascii="Calibri" w:eastAsia="Arial Unicode MS" w:hAnsi="Calibri" w:cs="Calibri"/>
                <w:sz w:val="20"/>
                <w:szCs w:val="20"/>
                <w:bdr w:val="nil"/>
                <w:lang w:val="en-US"/>
              </w:rPr>
              <w:t>8</w:t>
            </w:r>
          </w:p>
        </w:tc>
      </w:tr>
    </w:tbl>
    <w:p w:rsidR="00B21B57" w:rsidRPr="005B4EB1" w:rsidRDefault="00B21B57" w:rsidP="00B21B57">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r w:rsidRPr="005B4EB1">
        <w:rPr>
          <w:rFonts w:ascii="Calibri" w:eastAsia="Arial Unicode MS" w:hAnsi="Calibri" w:cs="Calibri"/>
          <w:sz w:val="20"/>
          <w:szCs w:val="20"/>
          <w:bdr w:val="nil"/>
          <w:lang/>
        </w:rPr>
        <w:t>Source: own calculation from LFS data</w:t>
      </w:r>
      <w:r>
        <w:rPr>
          <w:rFonts w:ascii="Calibri" w:eastAsia="Arial Unicode MS" w:hAnsi="Calibri" w:cs="Calibri"/>
          <w:sz w:val="20"/>
          <w:szCs w:val="20"/>
          <w:bdr w:val="nil"/>
          <w:lang/>
        </w:rPr>
        <w:t xml:space="preserve">, Hungarian Central Statistical Office data. </w:t>
      </w:r>
    </w:p>
    <w:p w:rsidR="00227031" w:rsidRPr="00227031" w:rsidRDefault="00227031" w:rsidP="00227031">
      <w:pPr>
        <w:pBdr>
          <w:top w:val="nil"/>
          <w:left w:val="nil"/>
          <w:bottom w:val="nil"/>
          <w:right w:val="nil"/>
          <w:between w:val="nil"/>
          <w:bar w:val="nil"/>
        </w:pBdr>
        <w:spacing w:after="100" w:line="360" w:lineRule="auto"/>
        <w:ind w:left="0"/>
        <w:rPr>
          <w:rFonts w:ascii="Calibri" w:eastAsia="Arial Unicode MS" w:hAnsi="Calibri" w:cs="Calibri"/>
          <w:color w:val="000000"/>
          <w:bdr w:val="nil"/>
          <w:lang w:val="en-GB" w:eastAsia="es-ES_tradnl"/>
        </w:rPr>
      </w:pPr>
    </w:p>
    <w:p w:rsidR="00227031" w:rsidRDefault="00227031" w:rsidP="008B6D72">
      <w:pPr>
        <w:pBdr>
          <w:top w:val="nil"/>
          <w:left w:val="nil"/>
          <w:bottom w:val="nil"/>
          <w:right w:val="nil"/>
          <w:between w:val="nil"/>
          <w:bar w:val="nil"/>
        </w:pBdr>
        <w:tabs>
          <w:tab w:val="left" w:pos="1095"/>
        </w:tabs>
        <w:spacing w:after="100" w:line="360" w:lineRule="auto"/>
        <w:ind w:left="0"/>
        <w:rPr>
          <w:rFonts w:ascii="Calibri" w:eastAsia="Helvetica Neue" w:hAnsi="Calibri" w:cs="Calibri"/>
          <w:color w:val="000000"/>
          <w:bdr w:val="nil"/>
          <w:lang w:val="en-GB" w:eastAsia="es-ES_tradnl"/>
        </w:rPr>
      </w:pPr>
    </w:p>
    <w:p w:rsidR="008B6D72" w:rsidRDefault="008B6D72" w:rsidP="008B6D72">
      <w:pPr>
        <w:pBdr>
          <w:top w:val="nil"/>
          <w:left w:val="nil"/>
          <w:bottom w:val="nil"/>
          <w:right w:val="nil"/>
          <w:between w:val="nil"/>
          <w:bar w:val="nil"/>
        </w:pBdr>
        <w:tabs>
          <w:tab w:val="left" w:pos="1095"/>
        </w:tabs>
        <w:spacing w:after="100" w:line="360" w:lineRule="auto"/>
        <w:ind w:left="0"/>
        <w:rPr>
          <w:rFonts w:ascii="Calibri" w:eastAsia="Helvetica Neue" w:hAnsi="Calibri" w:cs="Calibri"/>
          <w:bCs/>
          <w:color w:val="000000"/>
          <w:bdr w:val="nil"/>
          <w:lang w:val="en-GB" w:eastAsia="es-ES_tradnl"/>
        </w:rPr>
      </w:pPr>
      <w:r w:rsidRPr="008B6D72">
        <w:rPr>
          <w:rFonts w:ascii="Calibri" w:eastAsia="Helvetica Neue" w:hAnsi="Calibri" w:cs="Calibri"/>
          <w:bCs/>
          <w:color w:val="000000"/>
          <w:bdr w:val="nil"/>
          <w:lang w:val="en-GB" w:eastAsia="es-ES_tradnl"/>
        </w:rPr>
        <w:t xml:space="preserve">In order to obtain estimates of registration propensities, we performed a regression analysis at the individual level. We ran linear regressions of whether a NEET was registered on their labour market status </w:t>
      </w:r>
      <w:r w:rsidRPr="008B6D72">
        <w:rPr>
          <w:rFonts w:ascii="Calibri" w:eastAsia="Helvetica Neue" w:hAnsi="Calibri" w:cs="Calibri"/>
          <w:bCs/>
          <w:color w:val="000000"/>
          <w:bdr w:val="nil"/>
          <w:lang w:val="en-GB" w:eastAsia="es-ES_tradnl"/>
        </w:rPr>
        <w:lastRenderedPageBreak/>
        <w:t xml:space="preserve">(the seven categories mentioned above), as well as a host of individual-level controls, along with region dummies. In the first column, we display results without any controls, while in the second </w:t>
      </w:r>
      <w:proofErr w:type="gramStart"/>
      <w:r w:rsidRPr="008B6D72">
        <w:rPr>
          <w:rFonts w:ascii="Calibri" w:eastAsia="Helvetica Neue" w:hAnsi="Calibri" w:cs="Calibri"/>
          <w:bCs/>
          <w:color w:val="000000"/>
          <w:bdr w:val="nil"/>
          <w:lang w:val="en-GB" w:eastAsia="es-ES_tradnl"/>
        </w:rPr>
        <w:t>column,</w:t>
      </w:r>
      <w:proofErr w:type="gramEnd"/>
      <w:r w:rsidRPr="008B6D72">
        <w:rPr>
          <w:rFonts w:ascii="Calibri" w:eastAsia="Helvetica Neue" w:hAnsi="Calibri" w:cs="Calibri"/>
          <w:bCs/>
          <w:color w:val="000000"/>
          <w:bdr w:val="nil"/>
          <w:lang w:val="en-GB" w:eastAsia="es-ES_tradnl"/>
        </w:rPr>
        <w:t xml:space="preserve"> we show the results with the individual controls. Comparing these two columns, we can see that the aggregate </w:t>
      </w:r>
      <w:proofErr w:type="gramStart"/>
      <w:r w:rsidRPr="008B6D72">
        <w:rPr>
          <w:rFonts w:ascii="Calibri" w:eastAsia="Helvetica Neue" w:hAnsi="Calibri" w:cs="Calibri"/>
          <w:bCs/>
          <w:color w:val="000000"/>
          <w:bdr w:val="nil"/>
          <w:lang w:val="en-GB" w:eastAsia="es-ES_tradnl"/>
        </w:rPr>
        <w:t>differences across regions is</w:t>
      </w:r>
      <w:proofErr w:type="gramEnd"/>
      <w:r w:rsidRPr="008B6D72">
        <w:rPr>
          <w:rFonts w:ascii="Calibri" w:eastAsia="Helvetica Neue" w:hAnsi="Calibri" w:cs="Calibri"/>
          <w:bCs/>
          <w:color w:val="000000"/>
          <w:bdr w:val="nil"/>
          <w:lang w:val="en-GB" w:eastAsia="es-ES_tradnl"/>
        </w:rPr>
        <w:t xml:space="preserve"> partly due to differences in composition of NEETs. However, the registration rate is still 2</w:t>
      </w:r>
      <w:r w:rsidR="00727125">
        <w:rPr>
          <w:rFonts w:ascii="Calibri" w:eastAsia="Helvetica Neue" w:hAnsi="Calibri" w:cs="Calibri"/>
          <w:bCs/>
          <w:color w:val="000000"/>
          <w:bdr w:val="nil"/>
          <w:lang w:val="en-GB" w:eastAsia="es-ES_tradnl"/>
        </w:rPr>
        <w:t>0-</w:t>
      </w:r>
      <w:r w:rsidR="00C91000">
        <w:rPr>
          <w:rFonts w:ascii="Calibri" w:eastAsia="Helvetica Neue" w:hAnsi="Calibri" w:cs="Calibri"/>
          <w:bCs/>
          <w:color w:val="000000"/>
          <w:bdr w:val="nil"/>
          <w:lang w:val="en-GB" w:eastAsia="es-ES_tradnl"/>
        </w:rPr>
        <w:t>23</w:t>
      </w:r>
      <w:r w:rsidRPr="008B6D72">
        <w:rPr>
          <w:rFonts w:ascii="Calibri" w:eastAsia="Helvetica Neue" w:hAnsi="Calibri" w:cs="Calibri"/>
          <w:bCs/>
          <w:color w:val="000000"/>
          <w:bdr w:val="nil"/>
          <w:lang w:val="en-GB" w:eastAsia="es-ES_tradnl"/>
        </w:rPr>
        <w:t xml:space="preserve"> percentage points higher in the t</w:t>
      </w:r>
      <w:r w:rsidR="00727125">
        <w:rPr>
          <w:rFonts w:ascii="Calibri" w:eastAsia="Helvetica Neue" w:hAnsi="Calibri" w:cs="Calibri"/>
          <w:bCs/>
          <w:color w:val="000000"/>
          <w:bdr w:val="nil"/>
          <w:lang w:val="en-GB" w:eastAsia="es-ES_tradnl"/>
        </w:rPr>
        <w:t>hree</w:t>
      </w:r>
      <w:r w:rsidRPr="008B6D72">
        <w:rPr>
          <w:rFonts w:ascii="Calibri" w:eastAsia="Helvetica Neue" w:hAnsi="Calibri" w:cs="Calibri"/>
          <w:bCs/>
          <w:color w:val="000000"/>
          <w:bdr w:val="nil"/>
          <w:lang w:val="en-GB" w:eastAsia="es-ES_tradnl"/>
        </w:rPr>
        <w:t xml:space="preserve"> least developed regions than in Central Hungary.</w:t>
      </w:r>
    </w:p>
    <w:p w:rsidR="004741A5" w:rsidRPr="004741A5" w:rsidRDefault="004741A5" w:rsidP="004741A5">
      <w:pPr>
        <w:keepNext/>
        <w:keepLines/>
        <w:pBdr>
          <w:top w:val="nil"/>
          <w:left w:val="nil"/>
          <w:bottom w:val="nil"/>
          <w:right w:val="nil"/>
          <w:between w:val="nil"/>
          <w:bar w:val="nil"/>
        </w:pBdr>
        <w:spacing w:after="200" w:line="240" w:lineRule="auto"/>
        <w:ind w:left="0"/>
        <w:jc w:val="center"/>
        <w:rPr>
          <w:rFonts w:ascii="Calibri" w:eastAsia="Calibri" w:hAnsi="Calibri" w:cs="Times New Roman"/>
          <w:iCs/>
          <w:color w:val="68686C"/>
          <w:lang w:val="en-GB"/>
        </w:rPr>
      </w:pPr>
      <w:r w:rsidRPr="004741A5">
        <w:rPr>
          <w:rFonts w:ascii="Calibri" w:eastAsia="Arial Unicode MS" w:hAnsi="Calibri" w:cs="Times New Roman"/>
          <w:i/>
          <w:iCs/>
          <w:color w:val="68686C"/>
          <w:bdr w:val="nil"/>
          <w:lang w:val="en-GB"/>
        </w:rPr>
        <w:t xml:space="preserve">Table </w:t>
      </w:r>
      <w:r>
        <w:rPr>
          <w:rFonts w:ascii="Calibri" w:eastAsia="Arial Unicode MS" w:hAnsi="Calibri" w:cs="Times New Roman"/>
          <w:i/>
          <w:iCs/>
          <w:color w:val="68686C"/>
          <w:bdr w:val="nil"/>
          <w:lang w:val="en-GB"/>
        </w:rPr>
        <w:t>5</w:t>
      </w:r>
      <w:r w:rsidRPr="004741A5">
        <w:rPr>
          <w:rFonts w:ascii="Calibri" w:eastAsia="Arial Unicode MS" w:hAnsi="Calibri" w:cs="Times New Roman"/>
          <w:i/>
          <w:iCs/>
          <w:color w:val="68686C"/>
          <w:bdr w:val="nil"/>
          <w:lang w:val="en-GB"/>
        </w:rPr>
        <w:t>: Regression analysis of regional differences in registration rates</w:t>
      </w:r>
    </w:p>
    <w:tbl>
      <w:tblPr>
        <w:tblW w:w="0" w:type="auto"/>
        <w:tblInd w:w="-30" w:type="dxa"/>
        <w:tblLayout w:type="fixed"/>
        <w:tblLook w:val="0000"/>
      </w:tblPr>
      <w:tblGrid>
        <w:gridCol w:w="2268"/>
        <w:gridCol w:w="1418"/>
        <w:gridCol w:w="1418"/>
        <w:gridCol w:w="1418"/>
        <w:gridCol w:w="1418"/>
      </w:tblGrid>
      <w:tr w:rsidR="004741A5" w:rsidRPr="004741A5" w:rsidTr="000644D0">
        <w:trPr>
          <w:trHeight w:val="290"/>
        </w:trPr>
        <w:tc>
          <w:tcPr>
            <w:tcW w:w="2268" w:type="dxa"/>
            <w:tcBorders>
              <w:top w:val="single" w:sz="4" w:space="0" w:color="auto"/>
              <w:left w:val="nil"/>
              <w:bottom w:val="nil"/>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c>
          <w:tcPr>
            <w:tcW w:w="2836" w:type="dxa"/>
            <w:gridSpan w:val="2"/>
            <w:tcBorders>
              <w:top w:val="single" w:sz="4" w:space="0" w:color="auto"/>
              <w:left w:val="nil"/>
              <w:bottom w:val="nil"/>
              <w:right w:val="nil"/>
            </w:tcBorders>
          </w:tcPr>
          <w:p w:rsidR="004741A5" w:rsidRPr="004741A5" w:rsidRDefault="004741A5" w:rsidP="004741A5">
            <w:pPr>
              <w:autoSpaceDE w:val="0"/>
              <w:autoSpaceDN w:val="0"/>
              <w:adjustRightInd w:val="0"/>
              <w:spacing w:after="0" w:line="240" w:lineRule="auto"/>
              <w:ind w:left="0"/>
              <w:jc w:val="center"/>
              <w:rPr>
                <w:rFonts w:ascii="Calibri" w:eastAsia="Arial Unicode MS" w:hAnsi="Calibri" w:cs="Calibri"/>
                <w:i/>
                <w:iCs/>
                <w:color w:val="000000"/>
                <w:sz w:val="20"/>
                <w:szCs w:val="20"/>
                <w:bdr w:val="nil"/>
                <w:lang w:val="en-GB" w:eastAsia="es-ES_tradnl"/>
              </w:rPr>
            </w:pPr>
            <w:r w:rsidRPr="004741A5">
              <w:rPr>
                <w:rFonts w:ascii="Calibri" w:eastAsia="Arial Unicode MS" w:hAnsi="Calibri" w:cs="Calibri"/>
                <w:i/>
                <w:iCs/>
                <w:color w:val="000000"/>
                <w:sz w:val="20"/>
                <w:szCs w:val="20"/>
                <w:bdr w:val="nil"/>
                <w:lang w:val="en-GB" w:eastAsia="es-ES_tradnl"/>
              </w:rPr>
              <w:t>No controls</w:t>
            </w:r>
          </w:p>
        </w:tc>
        <w:tc>
          <w:tcPr>
            <w:tcW w:w="2836" w:type="dxa"/>
            <w:gridSpan w:val="2"/>
            <w:tcBorders>
              <w:top w:val="single" w:sz="4" w:space="0" w:color="auto"/>
              <w:left w:val="nil"/>
              <w:bottom w:val="nil"/>
              <w:right w:val="nil"/>
            </w:tcBorders>
          </w:tcPr>
          <w:p w:rsidR="004741A5" w:rsidRPr="004741A5" w:rsidRDefault="004741A5" w:rsidP="004741A5">
            <w:pPr>
              <w:autoSpaceDE w:val="0"/>
              <w:autoSpaceDN w:val="0"/>
              <w:adjustRightInd w:val="0"/>
              <w:spacing w:after="0" w:line="240" w:lineRule="auto"/>
              <w:ind w:left="0"/>
              <w:jc w:val="center"/>
              <w:rPr>
                <w:rFonts w:ascii="Calibri" w:eastAsia="Arial Unicode MS" w:hAnsi="Calibri" w:cs="Calibri"/>
                <w:i/>
                <w:iCs/>
                <w:color w:val="000000"/>
                <w:sz w:val="20"/>
                <w:szCs w:val="20"/>
                <w:bdr w:val="nil"/>
                <w:lang w:val="en-GB" w:eastAsia="es-ES_tradnl"/>
              </w:rPr>
            </w:pPr>
            <w:r w:rsidRPr="004741A5">
              <w:rPr>
                <w:rFonts w:ascii="Calibri" w:eastAsia="Arial Unicode MS" w:hAnsi="Calibri" w:cs="Calibri"/>
                <w:i/>
                <w:iCs/>
                <w:color w:val="000000"/>
                <w:sz w:val="20"/>
                <w:szCs w:val="20"/>
                <w:bdr w:val="nil"/>
                <w:lang w:val="en-GB" w:eastAsia="es-ES_tradnl"/>
              </w:rPr>
              <w:t>Full controls</w:t>
            </w:r>
          </w:p>
        </w:tc>
      </w:tr>
      <w:tr w:rsidR="004741A5" w:rsidRPr="004741A5" w:rsidTr="000644D0">
        <w:trPr>
          <w:trHeight w:val="290"/>
        </w:trPr>
        <w:tc>
          <w:tcPr>
            <w:tcW w:w="2268" w:type="dxa"/>
            <w:tcBorders>
              <w:top w:val="nil"/>
              <w:left w:val="nil"/>
              <w:bottom w:val="single" w:sz="6" w:space="0" w:color="auto"/>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i/>
                <w:iCs/>
                <w:color w:val="000000"/>
                <w:sz w:val="20"/>
                <w:szCs w:val="20"/>
                <w:bdr w:val="nil"/>
                <w:lang w:val="en-GB" w:eastAsia="es-ES_tradnl"/>
              </w:rPr>
              <w:t>Region</w:t>
            </w:r>
          </w:p>
        </w:tc>
        <w:tc>
          <w:tcPr>
            <w:tcW w:w="1418" w:type="dxa"/>
            <w:tcBorders>
              <w:top w:val="nil"/>
              <w:left w:val="nil"/>
              <w:bottom w:val="single" w:sz="6" w:space="0" w:color="auto"/>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GB" w:eastAsia="es-ES_tradnl"/>
              </w:rPr>
              <w:t>Coefficient</w:t>
            </w:r>
          </w:p>
        </w:tc>
        <w:tc>
          <w:tcPr>
            <w:tcW w:w="1418" w:type="dxa"/>
            <w:tcBorders>
              <w:top w:val="nil"/>
              <w:left w:val="nil"/>
              <w:bottom w:val="single" w:sz="6" w:space="0" w:color="auto"/>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GB" w:eastAsia="es-ES_tradnl"/>
              </w:rPr>
              <w:t>Standard error</w:t>
            </w:r>
          </w:p>
        </w:tc>
        <w:tc>
          <w:tcPr>
            <w:tcW w:w="1418" w:type="dxa"/>
            <w:tcBorders>
              <w:top w:val="nil"/>
              <w:left w:val="nil"/>
              <w:bottom w:val="single" w:sz="6" w:space="0" w:color="auto"/>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GB" w:eastAsia="es-ES_tradnl"/>
              </w:rPr>
              <w:t>Coefficient</w:t>
            </w:r>
          </w:p>
        </w:tc>
        <w:tc>
          <w:tcPr>
            <w:tcW w:w="1418" w:type="dxa"/>
            <w:tcBorders>
              <w:top w:val="nil"/>
              <w:left w:val="nil"/>
              <w:bottom w:val="single" w:sz="6" w:space="0" w:color="auto"/>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GB" w:eastAsia="es-ES_tradnl"/>
              </w:rPr>
              <w:t>Standard error</w:t>
            </w:r>
          </w:p>
        </w:tc>
      </w:tr>
      <w:tr w:rsidR="004741A5" w:rsidRPr="004741A5" w:rsidTr="000644D0">
        <w:trPr>
          <w:trHeight w:val="290"/>
        </w:trPr>
        <w:tc>
          <w:tcPr>
            <w:tcW w:w="226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Central Hungary</w:t>
            </w:r>
          </w:p>
        </w:tc>
        <w:tc>
          <w:tcPr>
            <w:tcW w:w="141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w:t>
            </w:r>
          </w:p>
        </w:tc>
        <w:tc>
          <w:tcPr>
            <w:tcW w:w="141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 xml:space="preserve">- </w:t>
            </w:r>
          </w:p>
        </w:tc>
        <w:tc>
          <w:tcPr>
            <w:tcW w:w="141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sz w:val="20"/>
                <w:szCs w:val="20"/>
                <w:bdr w:val="nil"/>
                <w:lang w:val="en-US"/>
              </w:rPr>
              <w:t>-</w:t>
            </w:r>
          </w:p>
        </w:tc>
        <w:tc>
          <w:tcPr>
            <w:tcW w:w="141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sz w:val="20"/>
                <w:szCs w:val="20"/>
                <w:bdr w:val="nil"/>
                <w:lang w:val="en-US"/>
              </w:rPr>
              <w:t>-</w:t>
            </w:r>
          </w:p>
        </w:tc>
      </w:tr>
      <w:tr w:rsidR="004741A5" w:rsidRPr="004741A5" w:rsidTr="000644D0">
        <w:trPr>
          <w:trHeight w:val="290"/>
        </w:trPr>
        <w:tc>
          <w:tcPr>
            <w:tcW w:w="226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 xml:space="preserve">Central </w:t>
            </w:r>
            <w:proofErr w:type="spellStart"/>
            <w:r w:rsidRPr="004741A5">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063</w:t>
            </w:r>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022</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061</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025</w:t>
            </w:r>
          </w:p>
        </w:tc>
      </w:tr>
      <w:tr w:rsidR="004741A5" w:rsidRPr="004741A5" w:rsidTr="000644D0">
        <w:trPr>
          <w:trHeight w:val="290"/>
        </w:trPr>
        <w:tc>
          <w:tcPr>
            <w:tcW w:w="226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 xml:space="preserve">Western </w:t>
            </w:r>
            <w:proofErr w:type="spellStart"/>
            <w:r w:rsidRPr="004741A5">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055</w:t>
            </w:r>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028</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047</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030</w:t>
            </w:r>
          </w:p>
        </w:tc>
      </w:tr>
      <w:tr w:rsidR="004741A5" w:rsidRPr="004741A5" w:rsidTr="000644D0">
        <w:trPr>
          <w:trHeight w:val="290"/>
        </w:trPr>
        <w:tc>
          <w:tcPr>
            <w:tcW w:w="226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 xml:space="preserve">Southern </w:t>
            </w:r>
            <w:proofErr w:type="spellStart"/>
            <w:r w:rsidRPr="004741A5">
              <w:rPr>
                <w:rFonts w:ascii="Calibri" w:eastAsia="Arial Unicode MS" w:hAnsi="Calibri" w:cs="Calibri"/>
                <w:sz w:val="20"/>
                <w:szCs w:val="20"/>
                <w:bdr w:val="nil"/>
                <w:lang w:val="en-US"/>
              </w:rPr>
              <w:t>Transdanubia</w:t>
            </w:r>
            <w:proofErr w:type="spellEnd"/>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273</w:t>
            </w:r>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037</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206</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031</w:t>
            </w:r>
          </w:p>
        </w:tc>
      </w:tr>
      <w:tr w:rsidR="004741A5" w:rsidRPr="004741A5" w:rsidTr="000644D0">
        <w:trPr>
          <w:trHeight w:val="290"/>
        </w:trPr>
        <w:tc>
          <w:tcPr>
            <w:tcW w:w="2268" w:type="dxa"/>
            <w:tcBorders>
              <w:top w:val="nil"/>
              <w:left w:val="nil"/>
              <w:bottom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Northern Hungary</w:t>
            </w:r>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300</w:t>
            </w:r>
          </w:p>
        </w:tc>
        <w:tc>
          <w:tcPr>
            <w:tcW w:w="1418" w:type="dxa"/>
            <w:tcBorders>
              <w:top w:val="nil"/>
              <w:left w:val="nil"/>
              <w:bottom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029</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233</w:t>
            </w:r>
          </w:p>
        </w:tc>
        <w:tc>
          <w:tcPr>
            <w:tcW w:w="1418" w:type="dxa"/>
            <w:tcBorders>
              <w:top w:val="nil"/>
              <w:left w:val="nil"/>
              <w:bottom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028</w:t>
            </w:r>
          </w:p>
        </w:tc>
      </w:tr>
      <w:tr w:rsidR="004741A5" w:rsidRPr="004741A5" w:rsidTr="000644D0">
        <w:trPr>
          <w:trHeight w:val="290"/>
        </w:trPr>
        <w:tc>
          <w:tcPr>
            <w:tcW w:w="2268" w:type="dxa"/>
            <w:tcBorders>
              <w:top w:val="nil"/>
              <w:left w:val="nil"/>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Northern Great Plain</w:t>
            </w:r>
          </w:p>
        </w:tc>
        <w:tc>
          <w:tcPr>
            <w:tcW w:w="1418" w:type="dxa"/>
            <w:tcBorders>
              <w:top w:val="nil"/>
              <w:left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309</w:t>
            </w:r>
          </w:p>
        </w:tc>
        <w:tc>
          <w:tcPr>
            <w:tcW w:w="1418" w:type="dxa"/>
            <w:tcBorders>
              <w:top w:val="nil"/>
              <w:left w:val="nil"/>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027</w:t>
            </w:r>
          </w:p>
        </w:tc>
        <w:tc>
          <w:tcPr>
            <w:tcW w:w="1418" w:type="dxa"/>
            <w:tcBorders>
              <w:top w:val="nil"/>
              <w:left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222</w:t>
            </w:r>
          </w:p>
        </w:tc>
        <w:tc>
          <w:tcPr>
            <w:tcW w:w="1418" w:type="dxa"/>
            <w:tcBorders>
              <w:top w:val="nil"/>
              <w:left w:val="nil"/>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025</w:t>
            </w:r>
          </w:p>
        </w:tc>
      </w:tr>
      <w:tr w:rsidR="004741A5" w:rsidRPr="004741A5" w:rsidTr="000644D0">
        <w:trPr>
          <w:trHeight w:val="290"/>
        </w:trPr>
        <w:tc>
          <w:tcPr>
            <w:tcW w:w="2268" w:type="dxa"/>
            <w:tcBorders>
              <w:top w:val="nil"/>
              <w:left w:val="nil"/>
              <w:bottom w:val="single" w:sz="4" w:space="0" w:color="auto"/>
              <w:right w:val="nil"/>
            </w:tcBorders>
          </w:tcPr>
          <w:p w:rsidR="004741A5" w:rsidRPr="004741A5" w:rsidRDefault="004741A5" w:rsidP="004741A5">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sz w:val="20"/>
                <w:szCs w:val="20"/>
                <w:bdr w:val="nil"/>
                <w:lang w:val="en-US"/>
              </w:rPr>
              <w:t>Southern Great Plain</w:t>
            </w:r>
          </w:p>
        </w:tc>
        <w:tc>
          <w:tcPr>
            <w:tcW w:w="1418" w:type="dxa"/>
            <w:tcBorders>
              <w:top w:val="nil"/>
              <w:left w:val="nil"/>
              <w:bottom w:val="single" w:sz="4" w:space="0" w:color="auto"/>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134</w:t>
            </w:r>
          </w:p>
        </w:tc>
        <w:tc>
          <w:tcPr>
            <w:tcW w:w="1418" w:type="dxa"/>
            <w:tcBorders>
              <w:top w:val="nil"/>
              <w:left w:val="nil"/>
              <w:bottom w:val="single" w:sz="4" w:space="0" w:color="auto"/>
              <w:right w:val="nil"/>
            </w:tcBorders>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028</w:t>
            </w:r>
          </w:p>
        </w:tc>
        <w:tc>
          <w:tcPr>
            <w:tcW w:w="1418" w:type="dxa"/>
            <w:tcBorders>
              <w:top w:val="nil"/>
              <w:left w:val="nil"/>
              <w:bottom w:val="single" w:sz="4" w:space="0" w:color="auto"/>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083</w:t>
            </w:r>
          </w:p>
        </w:tc>
        <w:tc>
          <w:tcPr>
            <w:tcW w:w="1418" w:type="dxa"/>
            <w:tcBorders>
              <w:top w:val="nil"/>
              <w:left w:val="nil"/>
              <w:bottom w:val="single" w:sz="4" w:space="0" w:color="auto"/>
              <w:right w:val="nil"/>
            </w:tcBorders>
            <w:shd w:val="clear" w:color="auto" w:fill="auto"/>
            <w:vAlign w:val="bottom"/>
          </w:tcPr>
          <w:p w:rsidR="004741A5" w:rsidRPr="004741A5" w:rsidRDefault="004741A5" w:rsidP="004741A5">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4741A5">
              <w:rPr>
                <w:rFonts w:ascii="Calibri" w:eastAsia="Arial Unicode MS" w:hAnsi="Calibri" w:cs="Calibri"/>
                <w:color w:val="000000"/>
                <w:sz w:val="20"/>
                <w:szCs w:val="20"/>
                <w:bdr w:val="nil"/>
                <w:lang w:val="en-US"/>
              </w:rPr>
              <w:t>0</w:t>
            </w:r>
            <w:r>
              <w:rPr>
                <w:rFonts w:ascii="Calibri" w:eastAsia="Arial Unicode MS" w:hAnsi="Calibri" w:cs="Calibri"/>
                <w:color w:val="000000"/>
                <w:sz w:val="20"/>
                <w:szCs w:val="20"/>
                <w:bdr w:val="nil"/>
                <w:lang w:val="en-US"/>
              </w:rPr>
              <w:t>.</w:t>
            </w:r>
            <w:r w:rsidRPr="004741A5">
              <w:rPr>
                <w:rFonts w:ascii="Calibri" w:eastAsia="Arial Unicode MS" w:hAnsi="Calibri" w:cs="Calibri"/>
                <w:color w:val="000000"/>
                <w:sz w:val="20"/>
                <w:szCs w:val="20"/>
                <w:bdr w:val="nil"/>
                <w:lang w:val="en-US"/>
              </w:rPr>
              <w:t>025</w:t>
            </w:r>
          </w:p>
        </w:tc>
      </w:tr>
    </w:tbl>
    <w:p w:rsidR="004741A5" w:rsidRPr="005B4EB1" w:rsidRDefault="004741A5" w:rsidP="004741A5">
      <w:pPr>
        <w:pBdr>
          <w:top w:val="nil"/>
          <w:left w:val="nil"/>
          <w:bottom w:val="nil"/>
          <w:right w:val="nil"/>
          <w:between w:val="nil"/>
          <w:bar w:val="nil"/>
        </w:pBdr>
        <w:spacing w:after="0" w:line="240" w:lineRule="auto"/>
        <w:ind w:left="0"/>
        <w:rPr>
          <w:rFonts w:ascii="Calibri" w:eastAsia="Arial Unicode MS" w:hAnsi="Calibri" w:cs="Calibri"/>
          <w:sz w:val="20"/>
          <w:szCs w:val="20"/>
          <w:bdr w:val="nil"/>
          <w:lang/>
        </w:rPr>
      </w:pPr>
      <w:r w:rsidRPr="005B4EB1">
        <w:rPr>
          <w:rFonts w:ascii="Calibri" w:eastAsia="Arial Unicode MS" w:hAnsi="Calibri" w:cs="Calibri"/>
          <w:sz w:val="20"/>
          <w:szCs w:val="20"/>
          <w:bdr w:val="nil"/>
          <w:lang/>
        </w:rPr>
        <w:t xml:space="preserve">Note: Coefficients </w:t>
      </w:r>
      <w:r w:rsidR="001C3E97">
        <w:rPr>
          <w:rFonts w:ascii="Calibri" w:eastAsia="Arial Unicode MS" w:hAnsi="Calibri" w:cs="Calibri"/>
          <w:sz w:val="20"/>
          <w:szCs w:val="20"/>
          <w:bdr w:val="nil"/>
          <w:lang/>
        </w:rPr>
        <w:t xml:space="preserve">effect on registration. The reference category is Central Hungary. In the full controls model, we include gender, schooling, </w:t>
      </w:r>
      <w:proofErr w:type="gramStart"/>
      <w:r w:rsidR="001C3E97">
        <w:rPr>
          <w:rFonts w:ascii="Calibri" w:eastAsia="Arial Unicode MS" w:hAnsi="Calibri" w:cs="Calibri"/>
          <w:sz w:val="20"/>
          <w:szCs w:val="20"/>
          <w:bdr w:val="nil"/>
          <w:lang/>
        </w:rPr>
        <w:t>age</w:t>
      </w:r>
      <w:proofErr w:type="gramEnd"/>
      <w:r w:rsidR="001C3E97">
        <w:rPr>
          <w:rFonts w:ascii="Calibri" w:eastAsia="Arial Unicode MS" w:hAnsi="Calibri" w:cs="Calibri"/>
          <w:sz w:val="20"/>
          <w:szCs w:val="20"/>
          <w:bdr w:val="nil"/>
          <w:lang/>
        </w:rPr>
        <w:t xml:space="preserve"> and job search motivation</w:t>
      </w:r>
      <w:r w:rsidRPr="005B4EB1">
        <w:rPr>
          <w:rFonts w:ascii="Calibri" w:eastAsia="Arial Unicode MS" w:hAnsi="Calibri" w:cs="Calibri"/>
          <w:sz w:val="20"/>
          <w:szCs w:val="20"/>
          <w:bdr w:val="nil"/>
          <w:lang/>
        </w:rPr>
        <w:t>. Source: own calculation from LFS data.</w:t>
      </w:r>
    </w:p>
    <w:p w:rsidR="004741A5" w:rsidRPr="004741A5" w:rsidRDefault="004741A5" w:rsidP="004741A5">
      <w:pPr>
        <w:widowControl w:val="0"/>
        <w:pBdr>
          <w:top w:val="nil"/>
          <w:left w:val="nil"/>
          <w:bottom w:val="nil"/>
          <w:right w:val="nil"/>
          <w:between w:val="nil"/>
          <w:bar w:val="nil"/>
        </w:pBdr>
        <w:spacing w:after="0" w:line="360" w:lineRule="auto"/>
        <w:ind w:left="0" w:firstLine="720"/>
        <w:rPr>
          <w:rFonts w:ascii="Calibri" w:eastAsia="Calibri" w:hAnsi="Calibri" w:cs="Times New Roman"/>
          <w:i/>
          <w:lang w:val="en-GB"/>
        </w:rPr>
      </w:pPr>
    </w:p>
    <w:p w:rsidR="004070FB" w:rsidRPr="009B7638" w:rsidRDefault="004070FB" w:rsidP="004070FB">
      <w:pPr>
        <w:pStyle w:val="Heading4"/>
        <w:rPr>
          <w:rFonts w:eastAsia="Arial Unicode MS"/>
          <w:bdr w:val="nil"/>
          <w:lang w:val="en-GB"/>
        </w:rPr>
      </w:pPr>
      <w:r w:rsidRPr="004070FB">
        <w:rPr>
          <w:rFonts w:eastAsia="Arial Unicode MS"/>
          <w:bdr w:val="nil"/>
          <w:lang w:val="en-GB"/>
        </w:rPr>
        <w:t xml:space="preserve">ANALYSIS AT </w:t>
      </w:r>
      <w:proofErr w:type="gramStart"/>
      <w:r w:rsidRPr="004070FB">
        <w:rPr>
          <w:rFonts w:eastAsia="Arial Unicode MS"/>
          <w:bdr w:val="nil"/>
          <w:lang w:val="en-GB"/>
        </w:rPr>
        <w:t>THE  MICRO</w:t>
      </w:r>
      <w:proofErr w:type="gramEnd"/>
      <w:r w:rsidRPr="004070FB">
        <w:rPr>
          <w:rFonts w:eastAsia="Arial Unicode MS"/>
          <w:bdr w:val="nil"/>
          <w:lang w:val="en-GB"/>
        </w:rPr>
        <w:t>-REGION LEVEL</w:t>
      </w:r>
    </w:p>
    <w:p w:rsidR="003A430A" w:rsidRPr="003A430A" w:rsidRDefault="003A430A" w:rsidP="003A430A">
      <w:pPr>
        <w:pBdr>
          <w:top w:val="nil"/>
          <w:left w:val="nil"/>
          <w:bottom w:val="nil"/>
          <w:right w:val="nil"/>
          <w:between w:val="nil"/>
          <w:bar w:val="nil"/>
        </w:pBdr>
        <w:spacing w:after="100" w:line="360" w:lineRule="auto"/>
        <w:ind w:left="0"/>
        <w:rPr>
          <w:rFonts w:ascii="Calibri" w:eastAsia="Helvetica Neue" w:hAnsi="Calibri" w:cs="Calibri"/>
          <w:color w:val="000000"/>
          <w:bdr w:val="nil"/>
          <w:lang w:val="en-GB" w:eastAsia="es-ES_tradnl"/>
        </w:rPr>
      </w:pPr>
      <w:r w:rsidRPr="003A430A">
        <w:rPr>
          <w:rFonts w:ascii="Calibri" w:eastAsia="Helvetica Neue" w:hAnsi="Calibri" w:cs="Calibri"/>
          <w:color w:val="000000"/>
          <w:bdr w:val="nil"/>
          <w:lang w:val="en-GB" w:eastAsia="es-ES_tradnl"/>
        </w:rPr>
        <w:t xml:space="preserve">As mentioned previously, we also have estimates of the number of NEETs at the micro-region (LAU1) level which corresponds roughly to the jurisdiction of local labour offices. We collected the demographic characteristics of NEETs at the micro-region level, classifying them into eight categories based on gender, age and level of schooling. We use data from the unemployment register at the same level of disaggregation, and by dividing the number of registered unemployed by the estimated number of </w:t>
      </w:r>
      <w:proofErr w:type="gramStart"/>
      <w:r w:rsidRPr="003A430A">
        <w:rPr>
          <w:rFonts w:ascii="Calibri" w:eastAsia="Helvetica Neue" w:hAnsi="Calibri" w:cs="Calibri"/>
          <w:color w:val="000000"/>
          <w:bdr w:val="nil"/>
          <w:lang w:val="en-GB" w:eastAsia="es-ES_tradnl"/>
        </w:rPr>
        <w:t>NEETs,</w:t>
      </w:r>
      <w:proofErr w:type="gramEnd"/>
      <w:r w:rsidRPr="003A430A">
        <w:rPr>
          <w:rFonts w:ascii="Calibri" w:eastAsia="Helvetica Neue" w:hAnsi="Calibri" w:cs="Calibri"/>
          <w:color w:val="000000"/>
          <w:bdr w:val="nil"/>
          <w:lang w:val="en-GB" w:eastAsia="es-ES_tradnl"/>
        </w:rPr>
        <w:t xml:space="preserve"> we obtained an estimate of the registration propensity at micro-region level. </w:t>
      </w:r>
    </w:p>
    <w:p w:rsidR="001B5FAB" w:rsidRDefault="003A430A" w:rsidP="003A430A">
      <w:pPr>
        <w:pBdr>
          <w:top w:val="nil"/>
          <w:left w:val="nil"/>
          <w:bottom w:val="nil"/>
          <w:right w:val="nil"/>
          <w:between w:val="nil"/>
          <w:bar w:val="nil"/>
        </w:pBdr>
        <w:spacing w:after="100" w:line="360" w:lineRule="auto"/>
        <w:ind w:left="0"/>
        <w:rPr>
          <w:rFonts w:ascii="Calibri" w:eastAsia="Helvetica Neue" w:hAnsi="Calibri" w:cs="Calibri"/>
          <w:color w:val="000000"/>
          <w:bdr w:val="nil"/>
          <w:lang w:val="en-GB" w:eastAsia="es-ES_tradnl"/>
        </w:rPr>
      </w:pPr>
      <w:r w:rsidRPr="003A430A">
        <w:rPr>
          <w:rFonts w:ascii="Calibri" w:eastAsia="Helvetica Neue" w:hAnsi="Calibri" w:cs="Calibri"/>
          <w:color w:val="000000"/>
          <w:bdr w:val="nil"/>
          <w:lang w:val="en-GB" w:eastAsia="es-ES_tradnl"/>
        </w:rPr>
        <w:t xml:space="preserve">In the next step, we estimated regression models of registration propensity, in order to take into account the differing demographic composition of NEETs, along micro-region fixed effects.  We use these estimated effects to describe the regional variation in registration propensity. Indeed, there are very large differences across micro-regions, with the 10th percentile slightly below one-in-four and the 90th percentile at two-thirds. Not only in the tail of the distribution are there are large differences: at the 25th percentile of micro-regions, only one in three NEETs are registered as jobseekers at the PES, while at the 75th percentile 52 percent of NEETs are in contact with the local labour office. We also found that the demographic composition of NEETs explains very little of the variation in registration rates. While it seems that relating </w:t>
      </w:r>
      <w:r w:rsidRPr="003A430A">
        <w:rPr>
          <w:rFonts w:ascii="Calibri" w:eastAsia="Helvetica Neue" w:hAnsi="Calibri" w:cs="Calibri"/>
          <w:color w:val="000000"/>
          <w:bdr w:val="nil"/>
          <w:lang w:val="en-GB" w:eastAsia="es-ES_tradnl"/>
        </w:rPr>
        <w:lastRenderedPageBreak/>
        <w:t>an index of development, registration propensity of NEETs is higher in less developed micro-regions, which might be due to the fact that there is a larger need for the services of the PES in these regions.</w:t>
      </w:r>
    </w:p>
    <w:p w:rsidR="00D6441A" w:rsidRPr="00D6441A" w:rsidRDefault="00D6441A" w:rsidP="00D6441A">
      <w:pPr>
        <w:keepNext/>
        <w:keepLines/>
        <w:pBdr>
          <w:top w:val="nil"/>
          <w:left w:val="nil"/>
          <w:bottom w:val="nil"/>
          <w:right w:val="nil"/>
          <w:between w:val="nil"/>
          <w:bar w:val="nil"/>
        </w:pBdr>
        <w:spacing w:after="200" w:line="240" w:lineRule="auto"/>
        <w:ind w:left="0"/>
        <w:jc w:val="center"/>
        <w:rPr>
          <w:rFonts w:ascii="Calibri" w:eastAsia="Calibri" w:hAnsi="Calibri" w:cs="Times New Roman"/>
          <w:iCs/>
          <w:color w:val="68686C"/>
          <w:lang w:val="en-GB"/>
        </w:rPr>
      </w:pPr>
      <w:r w:rsidRPr="00D6441A">
        <w:rPr>
          <w:rFonts w:ascii="Calibri" w:eastAsia="Arial Unicode MS" w:hAnsi="Calibri" w:cs="Times New Roman"/>
          <w:i/>
          <w:iCs/>
          <w:color w:val="68686C"/>
          <w:bdr w:val="nil"/>
          <w:lang w:val="en-GB"/>
        </w:rPr>
        <w:t xml:space="preserve">Table 6: Number of micro-regions, by counties and by registration quintiles </w:t>
      </w:r>
    </w:p>
    <w:tbl>
      <w:tblPr>
        <w:tblW w:w="0" w:type="auto"/>
        <w:tblInd w:w="-30" w:type="dxa"/>
        <w:tblLayout w:type="fixed"/>
        <w:tblLook w:val="0000"/>
      </w:tblPr>
      <w:tblGrid>
        <w:gridCol w:w="2268"/>
        <w:gridCol w:w="851"/>
        <w:gridCol w:w="851"/>
        <w:gridCol w:w="851"/>
        <w:gridCol w:w="851"/>
        <w:gridCol w:w="851"/>
        <w:gridCol w:w="1418"/>
      </w:tblGrid>
      <w:tr w:rsidR="00D6441A" w:rsidRPr="00D6441A" w:rsidTr="000644D0">
        <w:trPr>
          <w:trHeight w:val="290"/>
        </w:trPr>
        <w:tc>
          <w:tcPr>
            <w:tcW w:w="2268" w:type="dxa"/>
            <w:tcBorders>
              <w:top w:val="single" w:sz="4" w:space="0" w:color="auto"/>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c>
          <w:tcPr>
            <w:tcW w:w="4255" w:type="dxa"/>
            <w:gridSpan w:val="5"/>
            <w:tcBorders>
              <w:top w:val="single" w:sz="4" w:space="0" w:color="auto"/>
              <w:left w:val="nil"/>
              <w:bottom w:val="nil"/>
              <w:right w:val="nil"/>
            </w:tcBorders>
          </w:tcPr>
          <w:p w:rsidR="00D6441A" w:rsidRPr="00D6441A" w:rsidRDefault="00D6441A" w:rsidP="00D6441A">
            <w:pPr>
              <w:autoSpaceDE w:val="0"/>
              <w:autoSpaceDN w:val="0"/>
              <w:adjustRightInd w:val="0"/>
              <w:spacing w:after="0" w:line="240" w:lineRule="auto"/>
              <w:ind w:left="0"/>
              <w:jc w:val="center"/>
              <w:rPr>
                <w:rFonts w:ascii="Calibri" w:eastAsia="Arial Unicode MS" w:hAnsi="Calibri" w:cs="Calibri"/>
                <w:i/>
                <w:iCs/>
                <w:color w:val="000000"/>
                <w:sz w:val="20"/>
                <w:szCs w:val="20"/>
                <w:bdr w:val="nil"/>
                <w:lang w:val="en-GB" w:eastAsia="es-ES_tradnl"/>
              </w:rPr>
            </w:pPr>
            <w:r w:rsidRPr="00D6441A">
              <w:rPr>
                <w:rFonts w:ascii="Calibri" w:eastAsia="Arial Unicode MS" w:hAnsi="Calibri" w:cs="Calibri"/>
                <w:i/>
                <w:iCs/>
                <w:color w:val="000000"/>
                <w:sz w:val="20"/>
                <w:szCs w:val="20"/>
                <w:bdr w:val="nil"/>
                <w:lang w:val="en-GB" w:eastAsia="es-ES_tradnl"/>
              </w:rPr>
              <w:t xml:space="preserve">Registration </w:t>
            </w:r>
            <w:proofErr w:type="spellStart"/>
            <w:r w:rsidRPr="00D6441A">
              <w:rPr>
                <w:rFonts w:ascii="Calibri" w:eastAsia="Arial Unicode MS" w:hAnsi="Calibri" w:cs="Calibri"/>
                <w:i/>
                <w:iCs/>
                <w:color w:val="000000"/>
                <w:sz w:val="20"/>
                <w:szCs w:val="20"/>
                <w:bdr w:val="nil"/>
                <w:lang w:val="en-GB" w:eastAsia="es-ES_tradnl"/>
              </w:rPr>
              <w:t>quantiles</w:t>
            </w:r>
            <w:proofErr w:type="spellEnd"/>
          </w:p>
        </w:tc>
        <w:tc>
          <w:tcPr>
            <w:tcW w:w="1418" w:type="dxa"/>
            <w:tcBorders>
              <w:top w:val="single" w:sz="4" w:space="0" w:color="auto"/>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Average registration rate</w:t>
            </w:r>
          </w:p>
          <w:p w:rsidR="00D6441A" w:rsidRPr="00D6441A" w:rsidRDefault="00D6441A" w:rsidP="00D6441A">
            <w:pPr>
              <w:autoSpaceDE w:val="0"/>
              <w:autoSpaceDN w:val="0"/>
              <w:adjustRightInd w:val="0"/>
              <w:spacing w:after="0" w:line="240" w:lineRule="auto"/>
              <w:ind w:left="0"/>
              <w:jc w:val="center"/>
              <w:rPr>
                <w:rFonts w:ascii="Calibri" w:eastAsia="Arial Unicode MS" w:hAnsi="Calibri" w:cs="Calibri"/>
                <w:color w:val="000000"/>
                <w:sz w:val="20"/>
                <w:szCs w:val="20"/>
                <w:bdr w:val="nil"/>
                <w:lang w:val="en-GB" w:eastAsia="es-ES_tradnl"/>
              </w:rPr>
            </w:pPr>
          </w:p>
        </w:tc>
      </w:tr>
      <w:tr w:rsidR="00D6441A" w:rsidRPr="00D6441A" w:rsidTr="000644D0">
        <w:trPr>
          <w:trHeight w:val="290"/>
        </w:trPr>
        <w:tc>
          <w:tcPr>
            <w:tcW w:w="2268"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i/>
                <w:iCs/>
                <w:color w:val="000000"/>
                <w:sz w:val="20"/>
                <w:szCs w:val="20"/>
                <w:bdr w:val="nil"/>
                <w:lang w:val="en-GB" w:eastAsia="es-ES_tradnl"/>
              </w:rPr>
              <w:t>County</w:t>
            </w:r>
          </w:p>
        </w:tc>
        <w:tc>
          <w:tcPr>
            <w:tcW w:w="851"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1</w:t>
            </w:r>
            <w:r w:rsidRPr="00D6441A">
              <w:rPr>
                <w:rFonts w:ascii="Calibri" w:eastAsia="Arial Unicode MS" w:hAnsi="Calibri" w:cs="Calibri"/>
                <w:color w:val="000000"/>
                <w:sz w:val="20"/>
                <w:szCs w:val="20"/>
                <w:bdr w:val="nil"/>
                <w:vertAlign w:val="superscript"/>
                <w:lang w:val="en-GB" w:eastAsia="es-ES_tradnl"/>
              </w:rPr>
              <w:t>st</w:t>
            </w:r>
            <w:r>
              <w:rPr>
                <w:rFonts w:ascii="Calibri" w:eastAsia="Arial Unicode MS" w:hAnsi="Calibri" w:cs="Calibri"/>
                <w:color w:val="000000"/>
                <w:sz w:val="20"/>
                <w:szCs w:val="20"/>
                <w:bdr w:val="nil"/>
                <w:lang w:val="en-GB" w:eastAsia="es-ES_tradnl"/>
              </w:rPr>
              <w:t xml:space="preserve"> </w:t>
            </w:r>
          </w:p>
        </w:tc>
        <w:tc>
          <w:tcPr>
            <w:tcW w:w="851"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2</w:t>
            </w:r>
            <w:r w:rsidRPr="00D6441A">
              <w:rPr>
                <w:rFonts w:ascii="Calibri" w:eastAsia="Arial Unicode MS" w:hAnsi="Calibri" w:cs="Calibri"/>
                <w:color w:val="000000"/>
                <w:sz w:val="20"/>
                <w:szCs w:val="20"/>
                <w:bdr w:val="nil"/>
                <w:vertAlign w:val="superscript"/>
                <w:lang w:val="en-GB" w:eastAsia="es-ES_tradnl"/>
              </w:rPr>
              <w:t>nd</w:t>
            </w:r>
          </w:p>
        </w:tc>
        <w:tc>
          <w:tcPr>
            <w:tcW w:w="851"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3</w:t>
            </w:r>
            <w:r w:rsidRPr="00D6441A">
              <w:rPr>
                <w:rFonts w:ascii="Calibri" w:eastAsia="Arial Unicode MS" w:hAnsi="Calibri" w:cs="Calibri"/>
                <w:color w:val="000000"/>
                <w:sz w:val="20"/>
                <w:szCs w:val="20"/>
                <w:bdr w:val="nil"/>
                <w:vertAlign w:val="superscript"/>
                <w:lang w:val="en-GB" w:eastAsia="es-ES_tradnl"/>
              </w:rPr>
              <w:t>rd</w:t>
            </w:r>
            <w:r>
              <w:rPr>
                <w:rFonts w:ascii="Calibri" w:eastAsia="Arial Unicode MS" w:hAnsi="Calibri" w:cs="Calibri"/>
                <w:color w:val="000000"/>
                <w:sz w:val="20"/>
                <w:szCs w:val="20"/>
                <w:bdr w:val="nil"/>
                <w:lang w:val="en-GB" w:eastAsia="es-ES_tradnl"/>
              </w:rPr>
              <w:t xml:space="preserve"> </w:t>
            </w:r>
          </w:p>
        </w:tc>
        <w:tc>
          <w:tcPr>
            <w:tcW w:w="851"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4</w:t>
            </w:r>
            <w:r w:rsidRPr="00D6441A">
              <w:rPr>
                <w:rFonts w:ascii="Calibri" w:eastAsia="Arial Unicode MS" w:hAnsi="Calibri" w:cs="Calibri"/>
                <w:color w:val="000000"/>
                <w:sz w:val="20"/>
                <w:szCs w:val="20"/>
                <w:bdr w:val="nil"/>
                <w:vertAlign w:val="superscript"/>
                <w:lang w:val="en-GB" w:eastAsia="es-ES_tradnl"/>
              </w:rPr>
              <w:t>th</w:t>
            </w:r>
            <w:r>
              <w:rPr>
                <w:rFonts w:ascii="Calibri" w:eastAsia="Arial Unicode MS" w:hAnsi="Calibri" w:cs="Calibri"/>
                <w:color w:val="000000"/>
                <w:sz w:val="20"/>
                <w:szCs w:val="20"/>
                <w:bdr w:val="nil"/>
                <w:lang w:val="en-GB" w:eastAsia="es-ES_tradnl"/>
              </w:rPr>
              <w:t xml:space="preserve"> </w:t>
            </w:r>
          </w:p>
        </w:tc>
        <w:tc>
          <w:tcPr>
            <w:tcW w:w="851"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color w:val="000000"/>
                <w:sz w:val="20"/>
                <w:szCs w:val="20"/>
                <w:bdr w:val="nil"/>
                <w:lang w:val="en-GB" w:eastAsia="es-ES_tradnl"/>
              </w:rPr>
              <w:t>5</w:t>
            </w:r>
            <w:r w:rsidRPr="00D6441A">
              <w:rPr>
                <w:rFonts w:ascii="Calibri" w:eastAsia="Arial Unicode MS" w:hAnsi="Calibri" w:cs="Calibri"/>
                <w:color w:val="000000"/>
                <w:sz w:val="20"/>
                <w:szCs w:val="20"/>
                <w:bdr w:val="nil"/>
                <w:vertAlign w:val="superscript"/>
                <w:lang w:val="en-GB" w:eastAsia="es-ES_tradnl"/>
              </w:rPr>
              <w:t>th</w:t>
            </w:r>
            <w:r>
              <w:rPr>
                <w:rFonts w:ascii="Calibri" w:eastAsia="Arial Unicode MS" w:hAnsi="Calibri" w:cs="Calibri"/>
                <w:color w:val="000000"/>
                <w:sz w:val="20"/>
                <w:szCs w:val="20"/>
                <w:bdr w:val="nil"/>
                <w:lang w:val="en-GB" w:eastAsia="es-ES_tradnl"/>
              </w:rPr>
              <w:t xml:space="preserve"> </w:t>
            </w:r>
          </w:p>
        </w:tc>
        <w:tc>
          <w:tcPr>
            <w:tcW w:w="1418" w:type="dxa"/>
            <w:tcBorders>
              <w:top w:val="nil"/>
              <w:left w:val="nil"/>
              <w:bottom w:val="single" w:sz="6"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Baranya</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61</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Bács-Kiskun</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46</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Békés</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61</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Borsod-Abaúj-Zemplén</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6</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6</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59</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Csongrád</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44</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Fejér</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31</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Győr</w:t>
            </w:r>
            <w:proofErr w:type="spellEnd"/>
            <w:r w:rsidRPr="00D6441A">
              <w:rPr>
                <w:rFonts w:ascii="Calibri" w:eastAsia="Arial Unicode MS" w:hAnsi="Calibri" w:cs="Calibri"/>
                <w:sz w:val="20"/>
                <w:szCs w:val="20"/>
                <w:bdr w:val="nil"/>
                <w:lang w:val="en-US"/>
              </w:rPr>
              <w:t>-</w:t>
            </w:r>
            <w:proofErr w:type="spellStart"/>
            <w:r w:rsidRPr="00D6441A">
              <w:rPr>
                <w:rFonts w:ascii="Calibri" w:eastAsia="Arial Unicode MS" w:hAnsi="Calibri" w:cs="Calibri"/>
                <w:sz w:val="20"/>
                <w:szCs w:val="20"/>
                <w:bdr w:val="nil"/>
                <w:lang w:val="en-US"/>
              </w:rPr>
              <w:t>Moson</w:t>
            </w:r>
            <w:proofErr w:type="spellEnd"/>
            <w:r w:rsidRPr="00D6441A">
              <w:rPr>
                <w:rFonts w:ascii="Calibri" w:eastAsia="Arial Unicode MS" w:hAnsi="Calibri" w:cs="Calibri"/>
                <w:sz w:val="20"/>
                <w:szCs w:val="20"/>
                <w:bdr w:val="nil"/>
                <w:lang w:val="en-US"/>
              </w:rPr>
              <w:t>-Sopron</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38</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Hajdú</w:t>
            </w:r>
            <w:proofErr w:type="spellEnd"/>
            <w:r w:rsidRPr="00D6441A">
              <w:rPr>
                <w:rFonts w:ascii="Calibri" w:eastAsia="Arial Unicode MS" w:hAnsi="Calibri" w:cs="Calibri"/>
                <w:sz w:val="20"/>
                <w:szCs w:val="20"/>
                <w:bdr w:val="nil"/>
                <w:lang w:val="en-US"/>
              </w:rPr>
              <w:t>-Bihar</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36</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Heves</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42</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Jász</w:t>
            </w:r>
            <w:proofErr w:type="spellEnd"/>
            <w:r w:rsidRPr="00D6441A">
              <w:rPr>
                <w:rFonts w:ascii="Calibri" w:eastAsia="Arial Unicode MS" w:hAnsi="Calibri" w:cs="Calibri"/>
                <w:sz w:val="20"/>
                <w:szCs w:val="20"/>
                <w:bdr w:val="nil"/>
                <w:lang w:val="en-US"/>
              </w:rPr>
              <w:t>-</w:t>
            </w:r>
            <w:proofErr w:type="spellStart"/>
            <w:r w:rsidRPr="00D6441A">
              <w:rPr>
                <w:rFonts w:ascii="Calibri" w:eastAsia="Arial Unicode MS" w:hAnsi="Calibri" w:cs="Calibri"/>
                <w:sz w:val="20"/>
                <w:szCs w:val="20"/>
                <w:bdr w:val="nil"/>
                <w:lang w:val="en-US"/>
              </w:rPr>
              <w:t>Nagykun</w:t>
            </w:r>
            <w:proofErr w:type="spellEnd"/>
            <w:r w:rsidRPr="00D6441A">
              <w:rPr>
                <w:rFonts w:ascii="Calibri" w:eastAsia="Arial Unicode MS" w:hAnsi="Calibri" w:cs="Calibri"/>
                <w:sz w:val="20"/>
                <w:szCs w:val="20"/>
                <w:bdr w:val="nil"/>
                <w:lang w:val="en-US"/>
              </w:rPr>
              <w:t>-Szolnok</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29</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Komárom-Esztergom</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49</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proofErr w:type="spellStart"/>
            <w:r w:rsidRPr="00D6441A">
              <w:rPr>
                <w:rFonts w:ascii="Calibri" w:eastAsia="Arial Unicode MS" w:hAnsi="Calibri" w:cs="Calibri"/>
                <w:sz w:val="20"/>
                <w:szCs w:val="20"/>
                <w:bdr w:val="nil"/>
                <w:lang w:val="en-US"/>
              </w:rPr>
              <w:t>Nógrád</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6</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41</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Pest</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45</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Somogy</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55</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Szabolcs-Szatmár-Bereg</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53</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Tolna</w:t>
            </w:r>
            <w:proofErr w:type="spellEnd"/>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44</w:t>
            </w:r>
          </w:p>
        </w:tc>
      </w:tr>
      <w:tr w:rsidR="00D6441A" w:rsidRPr="00D6441A" w:rsidTr="000644D0">
        <w:trPr>
          <w:trHeight w:val="290"/>
        </w:trPr>
        <w:tc>
          <w:tcPr>
            <w:tcW w:w="226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Vas</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1</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5</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1418" w:type="dxa"/>
            <w:tcBorders>
              <w:top w:val="nil"/>
              <w:left w:val="nil"/>
              <w:bottom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41</w:t>
            </w:r>
          </w:p>
        </w:tc>
      </w:tr>
      <w:tr w:rsidR="00D6441A" w:rsidRPr="00D6441A" w:rsidTr="000644D0">
        <w:trPr>
          <w:trHeight w:val="290"/>
        </w:trPr>
        <w:tc>
          <w:tcPr>
            <w:tcW w:w="2268" w:type="dxa"/>
            <w:tcBorders>
              <w:top w:val="nil"/>
              <w:left w:val="nil"/>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Veszprém</w:t>
            </w:r>
            <w:proofErr w:type="spellEnd"/>
          </w:p>
        </w:tc>
        <w:tc>
          <w:tcPr>
            <w:tcW w:w="851"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2</w:t>
            </w:r>
          </w:p>
        </w:tc>
        <w:tc>
          <w:tcPr>
            <w:tcW w:w="851"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8</w:t>
            </w:r>
          </w:p>
        </w:tc>
        <w:tc>
          <w:tcPr>
            <w:tcW w:w="851"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851"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1418" w:type="dxa"/>
            <w:tcBorders>
              <w:top w:val="nil"/>
              <w:left w:val="nil"/>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33</w:t>
            </w:r>
          </w:p>
        </w:tc>
      </w:tr>
      <w:tr w:rsidR="00D6441A" w:rsidRPr="00D6441A" w:rsidTr="000644D0">
        <w:trPr>
          <w:trHeight w:val="290"/>
        </w:trPr>
        <w:tc>
          <w:tcPr>
            <w:tcW w:w="2268"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left"/>
              <w:rPr>
                <w:rFonts w:ascii="Calibri" w:eastAsia="Arial Unicode MS" w:hAnsi="Calibri" w:cs="Calibri"/>
                <w:color w:val="000000"/>
                <w:sz w:val="20"/>
                <w:szCs w:val="20"/>
                <w:bdr w:val="nil"/>
                <w:lang w:val="en-GB" w:eastAsia="es-ES_tradnl"/>
              </w:rPr>
            </w:pPr>
            <w:proofErr w:type="spellStart"/>
            <w:r w:rsidRPr="00D6441A">
              <w:rPr>
                <w:rFonts w:ascii="Calibri" w:eastAsia="Arial Unicode MS" w:hAnsi="Calibri" w:cs="Calibri"/>
                <w:sz w:val="20"/>
                <w:szCs w:val="20"/>
                <w:bdr w:val="nil"/>
                <w:lang w:val="en-US"/>
              </w:rPr>
              <w:t>Zala</w:t>
            </w:r>
            <w:proofErr w:type="spellEnd"/>
          </w:p>
        </w:tc>
        <w:tc>
          <w:tcPr>
            <w:tcW w:w="851"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2</w:t>
            </w:r>
          </w:p>
        </w:tc>
        <w:tc>
          <w:tcPr>
            <w:tcW w:w="851"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color w:val="000000"/>
                <w:sz w:val="20"/>
                <w:szCs w:val="20"/>
                <w:bdr w:val="nil"/>
                <w:lang w:val="en-GB" w:eastAsia="es-ES_tradnl"/>
              </w:rPr>
            </w:pPr>
            <w:r w:rsidRPr="00D6441A">
              <w:rPr>
                <w:rFonts w:ascii="Calibri" w:eastAsia="Arial Unicode MS" w:hAnsi="Calibri" w:cs="Calibri"/>
                <w:sz w:val="20"/>
                <w:szCs w:val="20"/>
                <w:bdr w:val="nil"/>
                <w:lang w:val="en-US"/>
              </w:rPr>
              <w:t>1</w:t>
            </w:r>
          </w:p>
        </w:tc>
        <w:tc>
          <w:tcPr>
            <w:tcW w:w="851"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2</w:t>
            </w:r>
          </w:p>
        </w:tc>
        <w:tc>
          <w:tcPr>
            <w:tcW w:w="851"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1</w:t>
            </w:r>
          </w:p>
        </w:tc>
        <w:tc>
          <w:tcPr>
            <w:tcW w:w="851"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0</w:t>
            </w:r>
          </w:p>
        </w:tc>
        <w:tc>
          <w:tcPr>
            <w:tcW w:w="1418" w:type="dxa"/>
            <w:tcBorders>
              <w:top w:val="nil"/>
              <w:left w:val="nil"/>
              <w:bottom w:val="single" w:sz="4" w:space="0" w:color="auto"/>
              <w:right w:val="nil"/>
            </w:tcBorders>
          </w:tcPr>
          <w:p w:rsidR="00D6441A" w:rsidRPr="00D6441A" w:rsidRDefault="00D6441A" w:rsidP="00D6441A">
            <w:pPr>
              <w:autoSpaceDE w:val="0"/>
              <w:autoSpaceDN w:val="0"/>
              <w:adjustRightInd w:val="0"/>
              <w:spacing w:after="0" w:line="240" w:lineRule="auto"/>
              <w:ind w:left="0"/>
              <w:jc w:val="right"/>
              <w:rPr>
                <w:rFonts w:ascii="Calibri" w:eastAsia="Arial Unicode MS" w:hAnsi="Calibri" w:cs="Calibri"/>
                <w:sz w:val="20"/>
                <w:szCs w:val="20"/>
                <w:bdr w:val="nil"/>
                <w:lang w:val="en-US"/>
              </w:rPr>
            </w:pPr>
            <w:r w:rsidRPr="00D6441A">
              <w:rPr>
                <w:rFonts w:ascii="Calibri" w:eastAsia="Arial Unicode MS" w:hAnsi="Calibri" w:cs="Calibri"/>
                <w:sz w:val="20"/>
                <w:szCs w:val="20"/>
                <w:bdr w:val="nil"/>
                <w:lang w:val="en-US"/>
              </w:rPr>
              <w:t>34</w:t>
            </w:r>
          </w:p>
        </w:tc>
      </w:tr>
    </w:tbl>
    <w:p w:rsidR="00D6441A" w:rsidRPr="00D6441A" w:rsidRDefault="00D6441A" w:rsidP="00D6441A">
      <w:pPr>
        <w:pBdr>
          <w:top w:val="nil"/>
          <w:left w:val="nil"/>
          <w:bottom w:val="nil"/>
          <w:right w:val="nil"/>
          <w:between w:val="nil"/>
          <w:bar w:val="nil"/>
        </w:pBdr>
        <w:spacing w:after="100" w:line="360" w:lineRule="auto"/>
        <w:ind w:left="0"/>
        <w:rPr>
          <w:rFonts w:ascii="Calibri" w:eastAsia="Arial Unicode MS" w:hAnsi="Calibri" w:cs="Calibri"/>
          <w:color w:val="000000"/>
          <w:bdr w:val="nil"/>
          <w:lang w:val="en-GB" w:eastAsia="es-ES_tradnl"/>
        </w:rPr>
      </w:pPr>
      <w:r w:rsidRPr="005B4EB1">
        <w:rPr>
          <w:rFonts w:ascii="Calibri" w:eastAsia="Arial Unicode MS" w:hAnsi="Calibri" w:cs="Calibri"/>
          <w:sz w:val="20"/>
          <w:szCs w:val="20"/>
          <w:bdr w:val="nil"/>
          <w:lang/>
        </w:rPr>
        <w:t xml:space="preserve">Source: own calculation </w:t>
      </w:r>
      <w:r>
        <w:rPr>
          <w:rFonts w:ascii="Calibri" w:eastAsia="Arial Unicode MS" w:hAnsi="Calibri" w:cs="Calibri"/>
          <w:sz w:val="20"/>
          <w:szCs w:val="20"/>
          <w:bdr w:val="nil"/>
          <w:lang/>
        </w:rPr>
        <w:t xml:space="preserve">based on Micro-census </w:t>
      </w:r>
      <w:r w:rsidRPr="005B4EB1">
        <w:rPr>
          <w:rFonts w:ascii="Calibri" w:eastAsia="Arial Unicode MS" w:hAnsi="Calibri" w:cs="Calibri"/>
          <w:sz w:val="20"/>
          <w:szCs w:val="20"/>
          <w:bdr w:val="nil"/>
          <w:lang/>
        </w:rPr>
        <w:t>data</w:t>
      </w:r>
      <w:r>
        <w:rPr>
          <w:rFonts w:ascii="Calibri" w:eastAsia="Arial Unicode MS" w:hAnsi="Calibri" w:cs="Calibri"/>
          <w:sz w:val="20"/>
          <w:szCs w:val="20"/>
          <w:bdr w:val="nil"/>
          <w:lang/>
        </w:rPr>
        <w:t xml:space="preserve"> (2016)</w:t>
      </w:r>
      <w:r w:rsidRPr="005B4EB1">
        <w:rPr>
          <w:rFonts w:ascii="Calibri" w:eastAsia="Arial Unicode MS" w:hAnsi="Calibri" w:cs="Calibri"/>
          <w:sz w:val="20"/>
          <w:szCs w:val="20"/>
          <w:bdr w:val="nil"/>
          <w:lang/>
        </w:rPr>
        <w:t>.</w:t>
      </w:r>
      <w:r>
        <w:rPr>
          <w:rFonts w:ascii="Calibri" w:eastAsia="Arial Unicode MS" w:hAnsi="Calibri" w:cs="Calibri"/>
          <w:sz w:val="20"/>
          <w:szCs w:val="20"/>
          <w:bdr w:val="nil"/>
          <w:lang/>
        </w:rPr>
        <w:t xml:space="preserve"> Budapest is not included in the </w:t>
      </w:r>
      <w:proofErr w:type="spellStart"/>
      <w:r>
        <w:rPr>
          <w:rFonts w:ascii="Calibri" w:eastAsia="Arial Unicode MS" w:hAnsi="Calibri" w:cs="Calibri"/>
          <w:sz w:val="20"/>
          <w:szCs w:val="20"/>
          <w:bdr w:val="nil"/>
          <w:lang/>
        </w:rPr>
        <w:t>calcuations</w:t>
      </w:r>
      <w:proofErr w:type="spellEnd"/>
      <w:r>
        <w:rPr>
          <w:rFonts w:ascii="Calibri" w:eastAsia="Arial Unicode MS" w:hAnsi="Calibri" w:cs="Calibri"/>
          <w:sz w:val="20"/>
          <w:szCs w:val="20"/>
          <w:bdr w:val="nil"/>
          <w:lang/>
        </w:rPr>
        <w:t>.</w:t>
      </w:r>
    </w:p>
    <w:p w:rsidR="00D6441A" w:rsidRDefault="00D6441A" w:rsidP="003A430A">
      <w:pPr>
        <w:pBdr>
          <w:top w:val="nil"/>
          <w:left w:val="nil"/>
          <w:bottom w:val="nil"/>
          <w:right w:val="nil"/>
          <w:between w:val="nil"/>
          <w:bar w:val="nil"/>
        </w:pBdr>
        <w:spacing w:after="100" w:line="360" w:lineRule="auto"/>
        <w:ind w:left="0"/>
        <w:rPr>
          <w:rFonts w:ascii="Calibri" w:eastAsia="Helvetica Neue" w:hAnsi="Calibri" w:cs="Calibri"/>
          <w:color w:val="000000"/>
          <w:bdr w:val="nil"/>
          <w:lang w:val="en-GB" w:eastAsia="es-ES_tradnl"/>
        </w:rPr>
      </w:pPr>
    </w:p>
    <w:p w:rsidR="003A430A" w:rsidRPr="003A430A" w:rsidRDefault="003A430A" w:rsidP="003A430A">
      <w:pPr>
        <w:pBdr>
          <w:top w:val="nil"/>
          <w:left w:val="nil"/>
          <w:bottom w:val="nil"/>
          <w:right w:val="nil"/>
          <w:between w:val="nil"/>
          <w:bar w:val="nil"/>
        </w:pBdr>
        <w:spacing w:after="100" w:line="360" w:lineRule="auto"/>
        <w:ind w:left="0"/>
        <w:rPr>
          <w:rFonts w:ascii="Calibri" w:eastAsia="Helvetica Neue" w:hAnsi="Calibri" w:cs="Calibri"/>
          <w:bCs/>
          <w:color w:val="000000"/>
          <w:bdr w:val="nil"/>
          <w:lang w:val="en-GB" w:eastAsia="es-ES_tradnl"/>
        </w:rPr>
      </w:pPr>
      <w:r w:rsidRPr="003A430A">
        <w:rPr>
          <w:rFonts w:ascii="Calibri" w:eastAsia="Helvetica Neue" w:hAnsi="Calibri" w:cs="Calibri"/>
          <w:bCs/>
          <w:color w:val="000000"/>
          <w:bdr w:val="nil"/>
          <w:lang w:val="en-GB" w:eastAsia="es-ES_tradnl"/>
        </w:rPr>
        <w:t xml:space="preserve">After having obtained the estimated registration propensities, for convenience, we assigned micro-regions into five </w:t>
      </w:r>
      <w:proofErr w:type="spellStart"/>
      <w:r w:rsidRPr="003A430A">
        <w:rPr>
          <w:rFonts w:ascii="Calibri" w:eastAsia="Helvetica Neue" w:hAnsi="Calibri" w:cs="Calibri"/>
          <w:bCs/>
          <w:color w:val="000000"/>
          <w:bdr w:val="nil"/>
          <w:lang w:val="en-GB" w:eastAsia="es-ES_tradnl"/>
        </w:rPr>
        <w:t>quantiles</w:t>
      </w:r>
      <w:proofErr w:type="spellEnd"/>
      <w:r w:rsidRPr="003A430A">
        <w:rPr>
          <w:rFonts w:ascii="Calibri" w:eastAsia="Helvetica Neue" w:hAnsi="Calibri" w:cs="Calibri"/>
          <w:bCs/>
          <w:color w:val="000000"/>
          <w:bdr w:val="nil"/>
          <w:lang w:val="en-GB" w:eastAsia="es-ES_tradnl"/>
        </w:rPr>
        <w:t>. In the table</w:t>
      </w:r>
      <w:r w:rsidR="00C91000">
        <w:rPr>
          <w:rFonts w:ascii="Calibri" w:eastAsia="Helvetica Neue" w:hAnsi="Calibri" w:cs="Calibri"/>
          <w:bCs/>
          <w:color w:val="000000"/>
          <w:bdr w:val="nil"/>
          <w:lang w:val="en-GB" w:eastAsia="es-ES_tradnl"/>
        </w:rPr>
        <w:t xml:space="preserve"> above</w:t>
      </w:r>
      <w:r w:rsidRPr="003A430A">
        <w:rPr>
          <w:rFonts w:ascii="Calibri" w:eastAsia="Helvetica Neue" w:hAnsi="Calibri" w:cs="Calibri"/>
          <w:bCs/>
          <w:color w:val="000000"/>
          <w:bdr w:val="nil"/>
          <w:lang w:val="en-GB" w:eastAsia="es-ES_tradnl"/>
        </w:rPr>
        <w:t xml:space="preserve">, we show the distribution of micro-regions by county (NUTS3 regions) and estimated registration propensity </w:t>
      </w:r>
      <w:proofErr w:type="spellStart"/>
      <w:r w:rsidRPr="003A430A">
        <w:rPr>
          <w:rFonts w:ascii="Calibri" w:eastAsia="Helvetica Neue" w:hAnsi="Calibri" w:cs="Calibri"/>
          <w:bCs/>
          <w:color w:val="000000"/>
          <w:bdr w:val="nil"/>
          <w:lang w:val="en-GB" w:eastAsia="es-ES_tradnl"/>
        </w:rPr>
        <w:t>quantile</w:t>
      </w:r>
      <w:proofErr w:type="spellEnd"/>
      <w:r w:rsidRPr="003A430A">
        <w:rPr>
          <w:rFonts w:ascii="Calibri" w:eastAsia="Helvetica Neue" w:hAnsi="Calibri" w:cs="Calibri"/>
          <w:bCs/>
          <w:color w:val="000000"/>
          <w:bdr w:val="nil"/>
          <w:lang w:val="en-GB" w:eastAsia="es-ES_tradnl"/>
        </w:rPr>
        <w:t xml:space="preserve">. We can see from the table </w:t>
      </w:r>
      <w:r w:rsidR="00C91000">
        <w:rPr>
          <w:rFonts w:ascii="Calibri" w:eastAsia="Helvetica Neue" w:hAnsi="Calibri" w:cs="Calibri"/>
          <w:bCs/>
          <w:color w:val="000000"/>
          <w:bdr w:val="nil"/>
          <w:lang w:val="en-GB" w:eastAsia="es-ES_tradnl"/>
        </w:rPr>
        <w:t>above</w:t>
      </w:r>
      <w:r w:rsidRPr="003A430A">
        <w:rPr>
          <w:rFonts w:ascii="Calibri" w:eastAsia="Helvetica Neue" w:hAnsi="Calibri" w:cs="Calibri"/>
          <w:bCs/>
          <w:color w:val="000000"/>
          <w:bdr w:val="nil"/>
          <w:lang w:val="en-GB" w:eastAsia="es-ES_tradnl"/>
        </w:rPr>
        <w:t xml:space="preserve"> that while counties (the level at which PES have some very limited autonomy) have some explanatory power for the tendency to be in contact with the PES offices, there is also significant variation within counties.</w:t>
      </w:r>
    </w:p>
    <w:p w:rsidR="003A430A" w:rsidRPr="009B7638" w:rsidRDefault="003A430A" w:rsidP="003A430A">
      <w:pPr>
        <w:pBdr>
          <w:top w:val="nil"/>
          <w:left w:val="nil"/>
          <w:bottom w:val="nil"/>
          <w:right w:val="nil"/>
          <w:between w:val="nil"/>
          <w:bar w:val="nil"/>
        </w:pBdr>
        <w:spacing w:after="100" w:line="360" w:lineRule="auto"/>
        <w:ind w:left="0"/>
        <w:rPr>
          <w:rFonts w:ascii="Calibri" w:eastAsia="Helvetica Neue" w:hAnsi="Calibri" w:cs="Calibri"/>
          <w:bCs/>
          <w:color w:val="000000"/>
          <w:bdr w:val="nil"/>
          <w:lang w:val="en-GB" w:eastAsia="es-ES_tradnl"/>
        </w:rPr>
      </w:pPr>
      <w:r w:rsidRPr="003A430A">
        <w:rPr>
          <w:rFonts w:ascii="Calibri" w:eastAsia="Helvetica Neue" w:hAnsi="Calibri" w:cs="Calibri"/>
          <w:bCs/>
          <w:color w:val="000000"/>
          <w:bdr w:val="nil"/>
          <w:lang w:val="en-GB" w:eastAsia="es-ES_tradnl"/>
        </w:rPr>
        <w:t xml:space="preserve">In addition to the main results above, we also examined the number of estimated NEETs and their registration rate using administrative data. As previously noted, the number of NEETs is significantly higher based on administrative as opposed to survey data. In the median district, the number of NEETs is estimated to be 445 persons based on the </w:t>
      </w:r>
      <w:proofErr w:type="spellStart"/>
      <w:r w:rsidRPr="003A430A">
        <w:rPr>
          <w:rFonts w:ascii="Calibri" w:eastAsia="Helvetica Neue" w:hAnsi="Calibri" w:cs="Calibri"/>
          <w:bCs/>
          <w:color w:val="000000"/>
          <w:bdr w:val="nil"/>
          <w:lang w:val="en-GB" w:eastAsia="es-ES_tradnl"/>
        </w:rPr>
        <w:t>Microcensus</w:t>
      </w:r>
      <w:proofErr w:type="spellEnd"/>
      <w:r w:rsidRPr="003A430A">
        <w:rPr>
          <w:rFonts w:ascii="Calibri" w:eastAsia="Helvetica Neue" w:hAnsi="Calibri" w:cs="Calibri"/>
          <w:bCs/>
          <w:color w:val="000000"/>
          <w:bdr w:val="nil"/>
          <w:lang w:val="en-GB" w:eastAsia="es-ES_tradnl"/>
        </w:rPr>
        <w:t xml:space="preserve">, while it is 560 using the administrative data. </w:t>
      </w:r>
      <w:r w:rsidRPr="003A430A">
        <w:rPr>
          <w:rFonts w:ascii="Calibri" w:eastAsia="Helvetica Neue" w:hAnsi="Calibri" w:cs="Calibri"/>
          <w:bCs/>
          <w:color w:val="000000"/>
          <w:bdr w:val="nil"/>
          <w:lang w:val="en-GB" w:eastAsia="es-ES_tradnl"/>
        </w:rPr>
        <w:lastRenderedPageBreak/>
        <w:t xml:space="preserve">Accordingly, the median registration rate is only 23 percent using the second </w:t>
      </w:r>
      <w:proofErr w:type="spellStart"/>
      <w:r w:rsidRPr="003A430A">
        <w:rPr>
          <w:rFonts w:ascii="Calibri" w:eastAsia="Helvetica Neue" w:hAnsi="Calibri" w:cs="Calibri"/>
          <w:bCs/>
          <w:color w:val="000000"/>
          <w:bdr w:val="nil"/>
          <w:lang w:val="en-GB" w:eastAsia="es-ES_tradnl"/>
        </w:rPr>
        <w:t>datasource</w:t>
      </w:r>
      <w:proofErr w:type="spellEnd"/>
      <w:r w:rsidRPr="003A430A">
        <w:rPr>
          <w:rFonts w:ascii="Calibri" w:eastAsia="Helvetica Neue" w:hAnsi="Calibri" w:cs="Calibri"/>
          <w:bCs/>
          <w:color w:val="000000"/>
          <w:bdr w:val="nil"/>
          <w:lang w:val="en-GB" w:eastAsia="es-ES_tradnl"/>
        </w:rPr>
        <w:t>, while it is 37 percent based on the survey data. However, the overall pattern of registration rates and their regional variation is very similar using the two different data</w:t>
      </w:r>
      <w:r w:rsidR="003D6BD6">
        <w:rPr>
          <w:rFonts w:ascii="Calibri" w:eastAsia="Helvetica Neue" w:hAnsi="Calibri" w:cs="Calibri"/>
          <w:bCs/>
          <w:color w:val="000000"/>
          <w:bdr w:val="nil"/>
          <w:lang w:val="en-GB" w:eastAsia="es-ES_tradnl"/>
        </w:rPr>
        <w:t xml:space="preserve"> </w:t>
      </w:r>
      <w:proofErr w:type="gramStart"/>
      <w:r w:rsidRPr="003A430A">
        <w:rPr>
          <w:rFonts w:ascii="Calibri" w:eastAsia="Helvetica Neue" w:hAnsi="Calibri" w:cs="Calibri"/>
          <w:bCs/>
          <w:color w:val="000000"/>
          <w:bdr w:val="nil"/>
          <w:lang w:val="en-GB" w:eastAsia="es-ES_tradnl"/>
        </w:rPr>
        <w:t>sources,</w:t>
      </w:r>
      <w:proofErr w:type="gramEnd"/>
      <w:r w:rsidRPr="003A430A">
        <w:rPr>
          <w:rFonts w:ascii="Calibri" w:eastAsia="Helvetica Neue" w:hAnsi="Calibri" w:cs="Calibri"/>
          <w:bCs/>
          <w:color w:val="000000"/>
          <w:bdr w:val="nil"/>
          <w:lang w:val="en-GB" w:eastAsia="es-ES_tradnl"/>
        </w:rPr>
        <w:t xml:space="preserve"> this can be found in the Appendix.</w:t>
      </w:r>
    </w:p>
    <w:p w:rsidR="001B5FAB" w:rsidRPr="009B7638" w:rsidRDefault="007144C3" w:rsidP="00FE2E32">
      <w:pPr>
        <w:pStyle w:val="Heading1"/>
        <w:rPr>
          <w:rFonts w:eastAsia="Calibri"/>
          <w:lang w:val="en-GB" w:eastAsia="hu-HU"/>
        </w:rPr>
      </w:pPr>
      <w:bookmarkStart w:id="8" w:name="_Toc85531098"/>
      <w:r>
        <w:rPr>
          <w:rFonts w:eastAsia="Calibri"/>
          <w:lang w:val="en-GB" w:eastAsia="hu-HU"/>
        </w:rPr>
        <w:t>Outreach activities of PES local offices: first results from a survey</w:t>
      </w:r>
      <w:bookmarkEnd w:id="8"/>
      <w:r>
        <w:rPr>
          <w:rFonts w:eastAsia="Calibri"/>
          <w:lang w:val="en-GB" w:eastAsia="hu-HU"/>
        </w:rPr>
        <w:t xml:space="preserve">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We will not provide a full analysis of the PES local office survey, but we will outline some o</w:t>
      </w:r>
      <w:r w:rsidR="0065472B">
        <w:rPr>
          <w:rFonts w:ascii="Calibri" w:eastAsia="Calibri" w:hAnsi="Calibri" w:cs="Times New Roman"/>
          <w:lang w:val="en-GB"/>
        </w:rPr>
        <w:t>f</w:t>
      </w:r>
      <w:r w:rsidRPr="007144C3">
        <w:rPr>
          <w:rFonts w:ascii="Calibri" w:eastAsia="Calibri" w:hAnsi="Calibri" w:cs="Times New Roman"/>
          <w:lang w:val="en-GB"/>
        </w:rPr>
        <w:t xml:space="preserve"> the most relevant points we will use when designing our outreach experiment.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 xml:space="preserve">First: the local PES offices (henceforth: LO) put only a moderate effort into promoting the Youth Guarantee among inactive youths in events which were outside education. About 40 percent of LOs barely promoted the YG (up to 2 times per year); a further 30 percent participated in 3-5 events in the past year. Thus, only 30 percent of the LOs had regular promotion activities (every 1-2 months) outside of school events. However, inactive youth was the target group of these activities in no more than 55 percent of these events.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The promotion of the YG is also fairly limited through secondary education institutions. One-third of LOs had no such promotion activities; one-third had only a couple of such events, and only one-third regularly organised events at secondary education more regularly. It is worth pointing out that these events do not typically target students from a vulnerable background (disadvantaged, those at risk of dropping out etc.). The proportion of vulnerable student</w:t>
      </w:r>
      <w:r w:rsidR="00B12EC2">
        <w:rPr>
          <w:rFonts w:ascii="Calibri" w:eastAsia="Calibri" w:hAnsi="Calibri" w:cs="Times New Roman"/>
          <w:lang w:val="en-GB"/>
        </w:rPr>
        <w:t>s</w:t>
      </w:r>
      <w:r w:rsidRPr="007144C3">
        <w:rPr>
          <w:rFonts w:ascii="Calibri" w:eastAsia="Calibri" w:hAnsi="Calibri" w:cs="Times New Roman"/>
          <w:lang w:val="en-GB"/>
        </w:rPr>
        <w:t xml:space="preserve"> as a determining factor in the choice of schools was mentioned only in one-fifth of LOs, and it is even rarer to devote additional attention to such students in a given school (it was mentioned only in 10 percent of responses). Indeed, most of the initiative for organising events at secondary education institutions comes from the directors/teachers, not the PES.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Third: while the local printed (or online) press was used by more than half of LOs, more p</w:t>
      </w:r>
      <w:r w:rsidR="00B12EC2">
        <w:rPr>
          <w:rFonts w:ascii="Calibri" w:eastAsia="Calibri" w:hAnsi="Calibri" w:cs="Times New Roman"/>
          <w:lang w:val="en-GB"/>
        </w:rPr>
        <w:t>er</w:t>
      </w:r>
      <w:r w:rsidRPr="007144C3">
        <w:rPr>
          <w:rFonts w:ascii="Calibri" w:eastAsia="Calibri" w:hAnsi="Calibri" w:cs="Times New Roman"/>
          <w:lang w:val="en-GB"/>
        </w:rPr>
        <w:t>sonalised promotion is rare. It is not surprising that LO employees (who are public serv</w:t>
      </w:r>
      <w:r w:rsidR="00B12EC2">
        <w:rPr>
          <w:rFonts w:ascii="Calibri" w:eastAsia="Calibri" w:hAnsi="Calibri" w:cs="Times New Roman"/>
          <w:lang w:val="en-GB"/>
        </w:rPr>
        <w:t>a</w:t>
      </w:r>
      <w:r w:rsidRPr="007144C3">
        <w:rPr>
          <w:rFonts w:ascii="Calibri" w:eastAsia="Calibri" w:hAnsi="Calibri" w:cs="Times New Roman"/>
          <w:lang w:val="en-GB"/>
        </w:rPr>
        <w:t>nts) do not use their own personal ties (including social media) for popularising the YG. What is much more disheartening is that local youth mentors often do not engage in outreach and promotion. While more</w:t>
      </w:r>
      <w:r w:rsidR="006F1A20">
        <w:rPr>
          <w:rFonts w:ascii="Calibri" w:eastAsia="Calibri" w:hAnsi="Calibri" w:cs="Times New Roman"/>
          <w:lang w:val="en-GB"/>
        </w:rPr>
        <w:t xml:space="preserve"> than two-third of LOs </w:t>
      </w:r>
      <w:proofErr w:type="gramStart"/>
      <w:r w:rsidR="006F1A20">
        <w:rPr>
          <w:rFonts w:ascii="Calibri" w:eastAsia="Calibri" w:hAnsi="Calibri" w:cs="Times New Roman"/>
          <w:lang w:val="en-GB"/>
        </w:rPr>
        <w:t>consider</w:t>
      </w:r>
      <w:proofErr w:type="gramEnd"/>
      <w:r w:rsidR="006F1A20">
        <w:rPr>
          <w:rFonts w:ascii="Calibri" w:eastAsia="Calibri" w:hAnsi="Calibri" w:cs="Times New Roman"/>
          <w:lang w:val="en-GB"/>
        </w:rPr>
        <w:t xml:space="preserve"> </w:t>
      </w:r>
      <w:r w:rsidRPr="007144C3">
        <w:rPr>
          <w:rFonts w:ascii="Calibri" w:eastAsia="Calibri" w:hAnsi="Calibri" w:cs="Times New Roman"/>
          <w:lang w:val="en-GB"/>
        </w:rPr>
        <w:t>that this would be part of mentors’ role, in reality, only in one-fourth of LOs do they</w:t>
      </w:r>
      <w:r w:rsidR="00CB4BC3">
        <w:rPr>
          <w:rFonts w:ascii="Calibri" w:eastAsia="Calibri" w:hAnsi="Calibri" w:cs="Times New Roman"/>
          <w:lang w:val="en-GB"/>
        </w:rPr>
        <w:t xml:space="preserve"> actually</w:t>
      </w:r>
      <w:r w:rsidRPr="007144C3">
        <w:rPr>
          <w:rFonts w:ascii="Calibri" w:eastAsia="Calibri" w:hAnsi="Calibri" w:cs="Times New Roman"/>
          <w:lang w:val="en-GB"/>
        </w:rPr>
        <w:t xml:space="preserve"> have time for such activities.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 xml:space="preserve">Fourth, regular interaction with local stakeholders, which would allow for exchange of information and timely response to reach out to vulnerable </w:t>
      </w:r>
      <w:proofErr w:type="gramStart"/>
      <w:r w:rsidRPr="007144C3">
        <w:rPr>
          <w:rFonts w:ascii="Calibri" w:eastAsia="Calibri" w:hAnsi="Calibri" w:cs="Times New Roman"/>
          <w:lang w:val="en-GB"/>
        </w:rPr>
        <w:t>NEETs</w:t>
      </w:r>
      <w:proofErr w:type="gramEnd"/>
      <w:r w:rsidRPr="007144C3">
        <w:rPr>
          <w:rFonts w:ascii="Calibri" w:eastAsia="Calibri" w:hAnsi="Calibri" w:cs="Times New Roman"/>
          <w:lang w:val="en-GB"/>
        </w:rPr>
        <w:t xml:space="preserve"> is not widespread. While two-thirds of LOs have a </w:t>
      </w:r>
      <w:r w:rsidRPr="007144C3">
        <w:rPr>
          <w:rFonts w:ascii="Calibri" w:eastAsia="Calibri" w:hAnsi="Calibri" w:cs="Times New Roman"/>
          <w:lang w:val="en-GB"/>
        </w:rPr>
        <w:lastRenderedPageBreak/>
        <w:t>meeting with at least four stakeholders (at least) once a year, but only one-third of LO</w:t>
      </w:r>
      <w:r w:rsidR="006F1A20">
        <w:rPr>
          <w:rFonts w:ascii="Calibri" w:eastAsia="Calibri" w:hAnsi="Calibri" w:cs="Times New Roman"/>
          <w:lang w:val="en-GB"/>
        </w:rPr>
        <w:t>s</w:t>
      </w:r>
      <w:r w:rsidRPr="007144C3">
        <w:rPr>
          <w:rFonts w:ascii="Calibri" w:eastAsia="Calibri" w:hAnsi="Calibri" w:cs="Times New Roman"/>
          <w:lang w:val="en-GB"/>
        </w:rPr>
        <w:t xml:space="preserve"> has such contact with a wide array of stakeholders (at least eight different types of stakeholders).  When cons</w:t>
      </w:r>
      <w:r w:rsidR="00B12EC2">
        <w:rPr>
          <w:rFonts w:ascii="Calibri" w:eastAsia="Calibri" w:hAnsi="Calibri" w:cs="Times New Roman"/>
          <w:lang w:val="en-GB"/>
        </w:rPr>
        <w:t>i</w:t>
      </w:r>
      <w:r w:rsidRPr="007144C3">
        <w:rPr>
          <w:rFonts w:ascii="Calibri" w:eastAsia="Calibri" w:hAnsi="Calibri" w:cs="Times New Roman"/>
          <w:lang w:val="en-GB"/>
        </w:rPr>
        <w:t xml:space="preserve">dering regular, quarterly contact, we found that less than half of LOs have such connections to more than two organisations, and only one-fourth has such regular interaction with at least four types of stakeholders. LOs have the most intensive contact with organisation responsible for public works programmes, as well as with vocational secondary </w:t>
      </w:r>
      <w:r w:rsidR="00B12EC2" w:rsidRPr="007144C3">
        <w:rPr>
          <w:rFonts w:ascii="Calibri" w:eastAsia="Calibri" w:hAnsi="Calibri" w:cs="Times New Roman"/>
          <w:lang w:val="en-GB"/>
        </w:rPr>
        <w:t>education</w:t>
      </w:r>
      <w:r w:rsidRPr="007144C3">
        <w:rPr>
          <w:rFonts w:ascii="Calibri" w:eastAsia="Calibri" w:hAnsi="Calibri" w:cs="Times New Roman"/>
          <w:lang w:val="en-GB"/>
        </w:rPr>
        <w:t xml:space="preserve"> institutions. Contact is much less regular with local family and social care centres, with local (social) NGOs, with the (Roma) Minority Nationality Self-government and the leaders of local cultural institutions (such as libraries), </w:t>
      </w:r>
      <w:r w:rsidR="00B12EC2" w:rsidRPr="007144C3">
        <w:rPr>
          <w:rFonts w:ascii="Calibri" w:eastAsia="Calibri" w:hAnsi="Calibri" w:cs="Times New Roman"/>
          <w:lang w:val="en-GB"/>
        </w:rPr>
        <w:t>typically</w:t>
      </w:r>
      <w:r w:rsidRPr="007144C3">
        <w:rPr>
          <w:rFonts w:ascii="Calibri" w:eastAsia="Calibri" w:hAnsi="Calibri" w:cs="Times New Roman"/>
          <w:lang w:val="en-GB"/>
        </w:rPr>
        <w:t xml:space="preserve"> around one-fourth of the LOs has regular contact with these stakeholders.  Many LOs have more sporadic contact with other local stakeholders, and it is reassuring that in close to half of LOs information exchange is about contact to inactive NEETs (among other things).  </w:t>
      </w:r>
    </w:p>
    <w:p w:rsidR="007144C3" w:rsidRPr="007144C3" w:rsidRDefault="007144C3" w:rsidP="007144C3">
      <w:pPr>
        <w:pBdr>
          <w:top w:val="nil"/>
          <w:left w:val="nil"/>
          <w:bottom w:val="nil"/>
          <w:right w:val="nil"/>
          <w:between w:val="nil"/>
          <w:bar w:val="nil"/>
        </w:pBdr>
        <w:spacing w:after="0" w:line="360" w:lineRule="auto"/>
        <w:ind w:left="0"/>
        <w:rPr>
          <w:rFonts w:ascii="Calibri" w:eastAsia="Calibri" w:hAnsi="Calibri" w:cs="Times New Roman"/>
          <w:lang w:val="en-GB"/>
        </w:rPr>
      </w:pPr>
      <w:r w:rsidRPr="007144C3">
        <w:rPr>
          <w:rFonts w:ascii="Calibri" w:eastAsia="Calibri" w:hAnsi="Calibri" w:cs="Times New Roman"/>
          <w:lang w:val="en-GB"/>
        </w:rPr>
        <w:t>Fifth, it i</w:t>
      </w:r>
      <w:r w:rsidR="00B12EC2">
        <w:rPr>
          <w:rFonts w:ascii="Calibri" w:eastAsia="Calibri" w:hAnsi="Calibri" w:cs="Times New Roman"/>
          <w:lang w:val="en-GB"/>
        </w:rPr>
        <w:t>s</w:t>
      </w:r>
      <w:r w:rsidRPr="007144C3">
        <w:rPr>
          <w:rFonts w:ascii="Calibri" w:eastAsia="Calibri" w:hAnsi="Calibri" w:cs="Times New Roman"/>
          <w:lang w:val="en-GB"/>
        </w:rPr>
        <w:t xml:space="preserve"> worth noting </w:t>
      </w:r>
      <w:proofErr w:type="gramStart"/>
      <w:r w:rsidRPr="007144C3">
        <w:rPr>
          <w:rFonts w:ascii="Calibri" w:eastAsia="Calibri" w:hAnsi="Calibri" w:cs="Times New Roman"/>
          <w:lang w:val="en-GB"/>
        </w:rPr>
        <w:t>that local employment counsellors</w:t>
      </w:r>
      <w:proofErr w:type="gramEnd"/>
      <w:r w:rsidRPr="007144C3">
        <w:rPr>
          <w:rFonts w:ascii="Calibri" w:eastAsia="Calibri" w:hAnsi="Calibri" w:cs="Times New Roman"/>
          <w:lang w:val="en-GB"/>
        </w:rPr>
        <w:t xml:space="preserve">’ (YG administrators’) opinions about the YG and reaching out to vulnerable youths is far from uniform. While more than 75 percent agreed that it would be important to engage more young </w:t>
      </w:r>
      <w:proofErr w:type="spellStart"/>
      <w:r w:rsidRPr="007144C3">
        <w:rPr>
          <w:rFonts w:ascii="Calibri" w:eastAsia="Calibri" w:hAnsi="Calibri" w:cs="Times New Roman"/>
          <w:lang w:val="en-GB"/>
        </w:rPr>
        <w:t>persons</w:t>
      </w:r>
      <w:proofErr w:type="spellEnd"/>
      <w:r w:rsidRPr="007144C3">
        <w:rPr>
          <w:rFonts w:ascii="Calibri" w:eastAsia="Calibri" w:hAnsi="Calibri" w:cs="Times New Roman"/>
          <w:lang w:val="en-GB"/>
        </w:rPr>
        <w:t xml:space="preserve"> into the YG, or that it is very important to reach out to (disengaged) inactive youths, they also </w:t>
      </w:r>
      <w:proofErr w:type="spellStart"/>
      <w:r w:rsidRPr="007144C3">
        <w:rPr>
          <w:rFonts w:ascii="Calibri" w:eastAsia="Calibri" w:hAnsi="Calibri" w:cs="Times New Roman"/>
          <w:lang w:val="en-GB"/>
        </w:rPr>
        <w:t>pointes</w:t>
      </w:r>
      <w:proofErr w:type="spellEnd"/>
      <w:r w:rsidRPr="007144C3">
        <w:rPr>
          <w:rFonts w:ascii="Calibri" w:eastAsia="Calibri" w:hAnsi="Calibri" w:cs="Times New Roman"/>
          <w:lang w:val="en-GB"/>
        </w:rPr>
        <w:t xml:space="preserve"> out that LOs capacities are limited. By contrast it is rather discouraging that more than 40 percent of LOs think that such activities is primarily the responsibility of other organisations (not the PES). </w:t>
      </w:r>
    </w:p>
    <w:p w:rsidR="00B12EC2" w:rsidRPr="009B7638" w:rsidRDefault="007144C3" w:rsidP="00B12EC2">
      <w:pPr>
        <w:pBdr>
          <w:top w:val="nil"/>
          <w:left w:val="nil"/>
          <w:bottom w:val="nil"/>
          <w:right w:val="nil"/>
          <w:between w:val="nil"/>
          <w:bar w:val="nil"/>
        </w:pBdr>
        <w:spacing w:after="0" w:line="360" w:lineRule="auto"/>
        <w:ind w:left="0"/>
        <w:rPr>
          <w:rFonts w:ascii="Calibri" w:eastAsia="Arial Unicode MS" w:hAnsi="Calibri" w:cs="Calibri"/>
          <w:bdr w:val="nil"/>
          <w:lang w:val="en-GB"/>
        </w:rPr>
      </w:pPr>
      <w:r w:rsidRPr="007144C3">
        <w:rPr>
          <w:rFonts w:ascii="Calibri" w:eastAsia="Calibri" w:hAnsi="Calibri" w:cs="Times New Roman"/>
          <w:lang w:val="en-GB"/>
        </w:rPr>
        <w:t>Finally, 70 percent of LOs think that it is due to capacity constraints that they cannot engage in outreach to NEETs. This does not simply mean the lack of time, but also the lack of well-trained personnel. By contrast, relying on local stakeholders for outreach is not limited by potential partners’ attitudes, as only 15 percent of LOs affirmed that lack of openne</w:t>
      </w:r>
      <w:r w:rsidR="00B12EC2">
        <w:rPr>
          <w:rFonts w:ascii="Calibri" w:eastAsia="Calibri" w:hAnsi="Calibri" w:cs="Times New Roman"/>
          <w:lang w:val="en-GB"/>
        </w:rPr>
        <w:t>s</w:t>
      </w:r>
      <w:r w:rsidRPr="007144C3">
        <w:rPr>
          <w:rFonts w:ascii="Calibri" w:eastAsia="Calibri" w:hAnsi="Calibri" w:cs="Times New Roman"/>
          <w:lang w:val="en-GB"/>
        </w:rPr>
        <w:t xml:space="preserve">s on the part of local stakeholders is a limiting factor. By contrast, it seems that the exchange of information between local partners is limited, as it is a problem for 75 percent of LOs  that they have limited information about the number of (and contact to) inactive NEETs.  Furthermore, around 40 percent of LOs are not cogent of which local stakeholders would be best suited for co-operation in order to reach out to NEETs, and one-third of LOs also affirm that they need further training in how to perform outreach activities.  </w:t>
      </w:r>
      <w:bookmarkStart w:id="9" w:name="_Toc55390014"/>
      <w:bookmarkStart w:id="10" w:name="_Toc55390015"/>
      <w:bookmarkStart w:id="11" w:name="_Toc55390016"/>
      <w:bookmarkStart w:id="12" w:name="_Toc55390017"/>
      <w:bookmarkStart w:id="13" w:name="_Toc55390030"/>
      <w:bookmarkStart w:id="14" w:name="_Toc55390042"/>
      <w:bookmarkStart w:id="15" w:name="_Toc55390048"/>
      <w:bookmarkStart w:id="16" w:name="_Toc55390088"/>
      <w:bookmarkEnd w:id="9"/>
      <w:bookmarkEnd w:id="10"/>
      <w:bookmarkEnd w:id="11"/>
      <w:bookmarkEnd w:id="12"/>
      <w:bookmarkEnd w:id="13"/>
      <w:bookmarkEnd w:id="14"/>
      <w:bookmarkEnd w:id="15"/>
      <w:bookmarkEnd w:id="16"/>
    </w:p>
    <w:p w:rsidR="00B12EC2" w:rsidRPr="009B7638" w:rsidRDefault="00B12EC2" w:rsidP="00B12EC2">
      <w:pPr>
        <w:pStyle w:val="Heading1"/>
        <w:rPr>
          <w:rFonts w:eastAsia="Calibri"/>
          <w:lang w:val="en-GB" w:eastAsia="hu-HU"/>
        </w:rPr>
      </w:pPr>
      <w:bookmarkStart w:id="17" w:name="_Toc85531099"/>
      <w:r>
        <w:rPr>
          <w:rFonts w:eastAsia="Calibri"/>
          <w:lang w:val="en-GB" w:eastAsia="hu-HU"/>
        </w:rPr>
        <w:t>Conclusion</w:t>
      </w:r>
      <w:bookmarkEnd w:id="17"/>
    </w:p>
    <w:p w:rsidR="006B2E5C" w:rsidRDefault="00B12EC2" w:rsidP="00B12EC2">
      <w:pPr>
        <w:pBdr>
          <w:top w:val="nil"/>
          <w:left w:val="nil"/>
          <w:bottom w:val="nil"/>
          <w:right w:val="nil"/>
          <w:between w:val="nil"/>
          <w:bar w:val="nil"/>
        </w:pBdr>
        <w:spacing w:after="0" w:line="360" w:lineRule="auto"/>
        <w:ind w:left="0"/>
        <w:rPr>
          <w:rFonts w:ascii="Calibri" w:eastAsia="Calibri" w:hAnsi="Calibri" w:cs="Times New Roman"/>
          <w:lang w:val="en-GB"/>
        </w:rPr>
      </w:pPr>
      <w:r>
        <w:rPr>
          <w:rFonts w:ascii="Calibri" w:eastAsia="Calibri" w:hAnsi="Calibri" w:cs="Times New Roman"/>
          <w:lang w:val="en-GB"/>
        </w:rPr>
        <w:t xml:space="preserve">Our analysis revealed a few key points. </w:t>
      </w:r>
      <w:r w:rsidR="009A5329">
        <w:rPr>
          <w:rFonts w:ascii="Calibri" w:eastAsia="Calibri" w:hAnsi="Calibri" w:cs="Times New Roman"/>
          <w:lang w:val="en-GB"/>
        </w:rPr>
        <w:t xml:space="preserve">First, that the overall performance of the PES in Hungary in terms of outreach is rather lacklustre. </w:t>
      </w:r>
      <w:r w:rsidR="00E10DC6">
        <w:rPr>
          <w:rFonts w:ascii="Calibri" w:eastAsia="Calibri" w:hAnsi="Calibri" w:cs="Times New Roman"/>
          <w:lang w:val="en-GB"/>
        </w:rPr>
        <w:t>T</w:t>
      </w:r>
      <w:r w:rsidR="009A5329">
        <w:rPr>
          <w:rFonts w:ascii="Calibri" w:eastAsia="Calibri" w:hAnsi="Calibri" w:cs="Times New Roman"/>
          <w:lang w:val="en-GB"/>
        </w:rPr>
        <w:t xml:space="preserve">his is partly due to the fact that </w:t>
      </w:r>
      <w:r w:rsidR="00E10DC6">
        <w:rPr>
          <w:rFonts w:ascii="Calibri" w:eastAsia="Calibri" w:hAnsi="Calibri" w:cs="Times New Roman"/>
          <w:lang w:val="en-GB"/>
        </w:rPr>
        <w:t xml:space="preserve">an increasing proportion of NEETs are rather far from the labour market, with no wish to start working in the near future (with a sizeable proportion </w:t>
      </w:r>
      <w:r w:rsidR="00E10DC6">
        <w:rPr>
          <w:rFonts w:ascii="Calibri" w:eastAsia="Calibri" w:hAnsi="Calibri" w:cs="Times New Roman"/>
          <w:lang w:val="en-GB"/>
        </w:rPr>
        <w:lastRenderedPageBreak/>
        <w:t xml:space="preserve">being mothers with young children). However, even among those wanting to work, the proportion registered as jobseekers is not particularly high. </w:t>
      </w:r>
      <w:r w:rsidR="00520578">
        <w:rPr>
          <w:rFonts w:ascii="Calibri" w:eastAsia="Calibri" w:hAnsi="Calibri" w:cs="Times New Roman"/>
          <w:lang w:val="en-GB"/>
        </w:rPr>
        <w:t xml:space="preserve">Second, there is large regional variation in the proportion of NEETs registered as jobseekers, and while </w:t>
      </w:r>
      <w:r w:rsidR="006D795B">
        <w:rPr>
          <w:rFonts w:ascii="Calibri" w:eastAsia="Calibri" w:hAnsi="Calibri" w:cs="Times New Roman"/>
          <w:lang w:val="en-GB"/>
        </w:rPr>
        <w:t>some of these differences can be attributed to the composition of NEETs</w:t>
      </w:r>
      <w:r w:rsidR="006B2E5C">
        <w:rPr>
          <w:rFonts w:ascii="Calibri" w:eastAsia="Calibri" w:hAnsi="Calibri" w:cs="Times New Roman"/>
          <w:lang w:val="en-GB"/>
        </w:rPr>
        <w:t>, we can suspect that they are also related to the outreach efforts of the local PES offices. Third, using novel survey evidence, we document that some PES local offices have only a limited outreach activity, with limited promotion outside of secondary educati</w:t>
      </w:r>
      <w:r w:rsidR="00AB4B3B">
        <w:rPr>
          <w:rFonts w:ascii="Calibri" w:eastAsia="Calibri" w:hAnsi="Calibri" w:cs="Times New Roman"/>
          <w:lang w:val="en-GB"/>
        </w:rPr>
        <w:t xml:space="preserve">on institutions, and having a </w:t>
      </w:r>
      <w:r w:rsidR="006B2E5C">
        <w:rPr>
          <w:rFonts w:ascii="Calibri" w:eastAsia="Calibri" w:hAnsi="Calibri" w:cs="Times New Roman"/>
          <w:lang w:val="en-GB"/>
        </w:rPr>
        <w:t>rathe</w:t>
      </w:r>
      <w:r w:rsidR="00AB4B3B">
        <w:rPr>
          <w:rFonts w:ascii="Calibri" w:eastAsia="Calibri" w:hAnsi="Calibri" w:cs="Times New Roman"/>
          <w:lang w:val="en-GB"/>
        </w:rPr>
        <w:t>r</w:t>
      </w:r>
      <w:r w:rsidR="006B2E5C">
        <w:rPr>
          <w:rFonts w:ascii="Calibri" w:eastAsia="Calibri" w:hAnsi="Calibri" w:cs="Times New Roman"/>
          <w:lang w:val="en-GB"/>
        </w:rPr>
        <w:t xml:space="preserve"> restricted interaction with local stakeholders in other sectors (such as social NGOs).</w:t>
      </w:r>
    </w:p>
    <w:p w:rsidR="006B2E5C" w:rsidRDefault="006B2E5C" w:rsidP="00B12EC2">
      <w:pPr>
        <w:pBdr>
          <w:top w:val="nil"/>
          <w:left w:val="nil"/>
          <w:bottom w:val="nil"/>
          <w:right w:val="nil"/>
          <w:between w:val="nil"/>
          <w:bar w:val="nil"/>
        </w:pBdr>
        <w:spacing w:after="0" w:line="360" w:lineRule="auto"/>
        <w:ind w:left="0"/>
        <w:rPr>
          <w:rFonts w:ascii="Calibri" w:eastAsia="Calibri" w:hAnsi="Calibri" w:cs="Times New Roman"/>
          <w:lang w:val="en-GB"/>
        </w:rPr>
      </w:pPr>
      <w:r>
        <w:rPr>
          <w:rFonts w:ascii="Calibri" w:eastAsia="Calibri" w:hAnsi="Calibri" w:cs="Times New Roman"/>
          <w:lang w:val="en-GB"/>
        </w:rPr>
        <w:t xml:space="preserve">What remains to be analysed is the relationship between outreach activities and registration propensity of NEETs at the micro-region level. On the one hand, we have rich data on the local context, and extensive information on the activities of local Los. On the other hand, </w:t>
      </w:r>
      <w:r w:rsidR="003450C5">
        <w:rPr>
          <w:rFonts w:ascii="Calibri" w:eastAsia="Calibri" w:hAnsi="Calibri" w:cs="Times New Roman"/>
          <w:lang w:val="en-GB"/>
        </w:rPr>
        <w:t xml:space="preserve">our data </w:t>
      </w:r>
      <w:r>
        <w:rPr>
          <w:rFonts w:ascii="Calibri" w:eastAsia="Calibri" w:hAnsi="Calibri" w:cs="Times New Roman"/>
          <w:lang w:val="en-GB"/>
        </w:rPr>
        <w:t>on the composition of NEETs at the local level</w:t>
      </w:r>
      <w:r w:rsidR="003450C5">
        <w:rPr>
          <w:rFonts w:ascii="Calibri" w:eastAsia="Calibri" w:hAnsi="Calibri" w:cs="Times New Roman"/>
          <w:lang w:val="en-GB"/>
        </w:rPr>
        <w:t xml:space="preserve"> is rather limited and can suffer from measurement error. Furthermore this analysis will not be able to establish causal relationships, especially since the data on registration rates pre-dates the survey about the outreach activities.  </w:t>
      </w:r>
    </w:p>
    <w:p w:rsidR="009867D1" w:rsidRPr="009B7638" w:rsidRDefault="009867D1" w:rsidP="00CB6E93">
      <w:pPr>
        <w:pStyle w:val="Nagwekbeznumeracji"/>
        <w:rPr>
          <w:lang w:val="en-GB"/>
        </w:rPr>
      </w:pPr>
      <w:bookmarkStart w:id="18" w:name="_Toc85531100"/>
      <w:r w:rsidRPr="009B7638">
        <w:rPr>
          <w:lang w:val="en-GB"/>
        </w:rPr>
        <w:t>Bibliogra</w:t>
      </w:r>
      <w:r w:rsidR="00D8582D" w:rsidRPr="009B7638">
        <w:rPr>
          <w:lang w:val="en-GB"/>
        </w:rPr>
        <w:t>phy</w:t>
      </w:r>
      <w:bookmarkEnd w:id="18"/>
    </w:p>
    <w:p w:rsidR="00507B08" w:rsidRPr="009B7638" w:rsidRDefault="00507B08" w:rsidP="00507B08">
      <w:pPr>
        <w:pBdr>
          <w:top w:val="nil"/>
          <w:left w:val="nil"/>
          <w:bottom w:val="nil"/>
          <w:right w:val="nil"/>
          <w:between w:val="nil"/>
          <w:bar w:val="nil"/>
        </w:pBdr>
        <w:spacing w:before="300" w:after="300" w:line="240" w:lineRule="auto"/>
        <w:ind w:left="0"/>
        <w:jc w:val="left"/>
        <w:rPr>
          <w:lang w:val="en-GB"/>
        </w:rPr>
      </w:pPr>
      <w:proofErr w:type="spellStart"/>
      <w:r w:rsidRPr="009B7638">
        <w:rPr>
          <w:lang w:val="en-GB"/>
        </w:rPr>
        <w:t>Anghel</w:t>
      </w:r>
      <w:proofErr w:type="spellEnd"/>
      <w:r w:rsidRPr="009B7638">
        <w:rPr>
          <w:lang w:val="en-GB"/>
        </w:rPr>
        <w:t xml:space="preserve">, </w:t>
      </w:r>
      <w:proofErr w:type="spellStart"/>
      <w:r w:rsidRPr="009B7638">
        <w:rPr>
          <w:lang w:val="en-GB"/>
        </w:rPr>
        <w:t>Liliana</w:t>
      </w:r>
      <w:proofErr w:type="spellEnd"/>
      <w:r w:rsidRPr="009B7638">
        <w:rPr>
          <w:lang w:val="en-GB"/>
        </w:rPr>
        <w:t xml:space="preserve"> </w:t>
      </w:r>
      <w:proofErr w:type="spellStart"/>
      <w:r w:rsidRPr="009B7638">
        <w:rPr>
          <w:lang w:val="en-GB"/>
        </w:rPr>
        <w:t>Luminita</w:t>
      </w:r>
      <w:proofErr w:type="spellEnd"/>
      <w:r w:rsidRPr="009B7638">
        <w:rPr>
          <w:lang w:val="en-GB"/>
        </w:rPr>
        <w:t xml:space="preserve"> (2017): Report on PES Impleme</w:t>
      </w:r>
      <w:r w:rsidR="00D025F3">
        <w:rPr>
          <w:lang w:val="en-GB"/>
        </w:rPr>
        <w:t>ntation of the Youth Guarantee,</w:t>
      </w:r>
      <w:r w:rsidRPr="009B7638">
        <w:rPr>
          <w:lang w:val="en-GB"/>
        </w:rPr>
        <w:t xml:space="preserve"> ICON-INSTITUT Public Sector GmbH, 2017</w:t>
      </w:r>
    </w:p>
    <w:p w:rsidR="00E00157" w:rsidRDefault="00E00157" w:rsidP="005C3B03">
      <w:pPr>
        <w:pBdr>
          <w:top w:val="nil"/>
          <w:left w:val="nil"/>
          <w:bottom w:val="nil"/>
          <w:right w:val="nil"/>
          <w:between w:val="nil"/>
          <w:bar w:val="nil"/>
        </w:pBdr>
        <w:spacing w:before="300" w:after="300" w:line="240" w:lineRule="auto"/>
        <w:ind w:left="0"/>
        <w:jc w:val="left"/>
        <w:rPr>
          <w:rFonts w:ascii="Calibri" w:eastAsia="Times New Roman" w:hAnsi="Calibri" w:cs="Times New Roman"/>
          <w:bdr w:val="nil"/>
          <w:lang w:val="en-GB"/>
        </w:rPr>
      </w:pPr>
      <w:proofErr w:type="spellStart"/>
      <w:r>
        <w:rPr>
          <w:rFonts w:ascii="Calibri" w:eastAsia="Times New Roman" w:hAnsi="Calibri" w:cs="Times New Roman"/>
          <w:bdr w:val="nil"/>
          <w:lang w:val="en-GB"/>
        </w:rPr>
        <w:t>Csillag</w:t>
      </w:r>
      <w:proofErr w:type="spellEnd"/>
      <w:r>
        <w:rPr>
          <w:rFonts w:ascii="Calibri" w:eastAsia="Times New Roman" w:hAnsi="Calibri" w:cs="Times New Roman"/>
          <w:bdr w:val="nil"/>
          <w:lang w:val="en-GB"/>
        </w:rPr>
        <w:t xml:space="preserve">, </w:t>
      </w:r>
      <w:proofErr w:type="spellStart"/>
      <w:r>
        <w:rPr>
          <w:rFonts w:ascii="Calibri" w:eastAsia="Times New Roman" w:hAnsi="Calibri" w:cs="Times New Roman"/>
          <w:bdr w:val="nil"/>
          <w:lang w:val="en-GB"/>
        </w:rPr>
        <w:t>Márton</w:t>
      </w:r>
      <w:proofErr w:type="spellEnd"/>
      <w:r>
        <w:rPr>
          <w:rFonts w:ascii="Calibri" w:eastAsia="Times New Roman" w:hAnsi="Calibri" w:cs="Times New Roman"/>
          <w:bdr w:val="nil"/>
          <w:lang w:val="en-GB"/>
        </w:rPr>
        <w:t xml:space="preserve">: </w:t>
      </w:r>
      <w:r w:rsidRPr="00E00157">
        <w:rPr>
          <w:rFonts w:ascii="Calibri" w:eastAsia="Times New Roman" w:hAnsi="Calibri" w:cs="Times New Roman"/>
          <w:bdr w:val="nil"/>
          <w:lang w:val="en-GB"/>
        </w:rPr>
        <w:t>Unemployment among lab</w:t>
      </w:r>
      <w:r>
        <w:rPr>
          <w:rFonts w:ascii="Calibri" w:eastAsia="Times New Roman" w:hAnsi="Calibri" w:cs="Times New Roman"/>
          <w:bdr w:val="nil"/>
          <w:lang w:val="en-GB"/>
        </w:rPr>
        <w:t>our market entrants (2019</w:t>
      </w:r>
      <w:proofErr w:type="gramStart"/>
      <w:r w:rsidRPr="00E00157">
        <w:rPr>
          <w:rFonts w:ascii="Calibri" w:eastAsia="Times New Roman" w:hAnsi="Calibri" w:cs="Times New Roman"/>
          <w:bdr w:val="nil"/>
          <w:lang w:val="en-GB"/>
        </w:rPr>
        <w:t>)in</w:t>
      </w:r>
      <w:proofErr w:type="gramEnd"/>
      <w:r w:rsidRPr="00E00157">
        <w:rPr>
          <w:rFonts w:ascii="Calibri" w:eastAsia="Times New Roman" w:hAnsi="Calibri" w:cs="Times New Roman"/>
          <w:bdr w:val="nil"/>
          <w:lang w:val="en-GB"/>
        </w:rPr>
        <w:t xml:space="preserve">: Hungarian Labour Market, </w:t>
      </w:r>
      <w:proofErr w:type="spellStart"/>
      <w:r w:rsidRPr="00E00157">
        <w:rPr>
          <w:rFonts w:ascii="Calibri" w:eastAsia="Times New Roman" w:hAnsi="Calibri" w:cs="Times New Roman"/>
          <w:bdr w:val="nil"/>
          <w:lang w:val="en-GB"/>
        </w:rPr>
        <w:t>eds</w:t>
      </w:r>
      <w:proofErr w:type="spellEnd"/>
      <w:r w:rsidRPr="00E00157">
        <w:rPr>
          <w:rFonts w:ascii="Calibri" w:eastAsia="Times New Roman" w:hAnsi="Calibri" w:cs="Times New Roman"/>
          <w:bdr w:val="nil"/>
          <w:lang w:val="en-GB"/>
        </w:rPr>
        <w:t xml:space="preserve">: </w:t>
      </w:r>
      <w:proofErr w:type="spellStart"/>
      <w:r w:rsidRPr="00E00157">
        <w:rPr>
          <w:rFonts w:ascii="Calibri" w:eastAsia="Times New Roman" w:hAnsi="Calibri" w:cs="Times New Roman"/>
          <w:bdr w:val="nil"/>
          <w:lang w:val="en-GB"/>
        </w:rPr>
        <w:t>Fazekas</w:t>
      </w:r>
      <w:proofErr w:type="spellEnd"/>
      <w:r w:rsidRPr="00E00157">
        <w:rPr>
          <w:rFonts w:ascii="Calibri" w:eastAsia="Times New Roman" w:hAnsi="Calibri" w:cs="Times New Roman"/>
          <w:bdr w:val="nil"/>
          <w:lang w:val="en-GB"/>
        </w:rPr>
        <w:t xml:space="preserve">, K. </w:t>
      </w:r>
      <w:proofErr w:type="spellStart"/>
      <w:r w:rsidRPr="00E00157">
        <w:rPr>
          <w:rFonts w:ascii="Calibri" w:eastAsia="Times New Roman" w:hAnsi="Calibri" w:cs="Times New Roman"/>
          <w:bdr w:val="nil"/>
          <w:lang w:val="en-GB"/>
        </w:rPr>
        <w:t>Csillag</w:t>
      </w:r>
      <w:proofErr w:type="spellEnd"/>
      <w:r w:rsidRPr="00E00157">
        <w:rPr>
          <w:rFonts w:ascii="Calibri" w:eastAsia="Times New Roman" w:hAnsi="Calibri" w:cs="Times New Roman"/>
          <w:bdr w:val="nil"/>
          <w:lang w:val="en-GB"/>
        </w:rPr>
        <w:t xml:space="preserve">, M., Hermann, Z. and </w:t>
      </w:r>
      <w:proofErr w:type="spellStart"/>
      <w:r w:rsidRPr="00E00157">
        <w:rPr>
          <w:rFonts w:ascii="Calibri" w:eastAsia="Times New Roman" w:hAnsi="Calibri" w:cs="Times New Roman"/>
          <w:bdr w:val="nil"/>
          <w:lang w:val="en-GB"/>
        </w:rPr>
        <w:t>Scharle</w:t>
      </w:r>
      <w:proofErr w:type="spellEnd"/>
      <w:r w:rsidRPr="00E00157">
        <w:rPr>
          <w:rFonts w:ascii="Calibri" w:eastAsia="Times New Roman" w:hAnsi="Calibri" w:cs="Times New Roman"/>
          <w:bdr w:val="nil"/>
          <w:lang w:val="en-GB"/>
        </w:rPr>
        <w:t xml:space="preserve">, Á Institute of Economics, Centre for Economic and Regional Studies, </w:t>
      </w:r>
      <w:hyperlink r:id="rId12" w:history="1">
        <w:r w:rsidR="00A20987" w:rsidRPr="00734CDD">
          <w:rPr>
            <w:rStyle w:val="Hyperlink"/>
            <w:rFonts w:ascii="Calibri" w:eastAsia="Times New Roman" w:hAnsi="Calibri" w:cs="Times New Roman"/>
            <w:bdr w:val="nil"/>
            <w:lang w:val="en-GB"/>
          </w:rPr>
          <w:t>https://EconPapers.repec.org/RePEc:has:lmbook:2019</w:t>
        </w:r>
      </w:hyperlink>
      <w:r w:rsidRPr="00E00157">
        <w:rPr>
          <w:rFonts w:ascii="Calibri" w:eastAsia="Times New Roman" w:hAnsi="Calibri" w:cs="Times New Roman"/>
          <w:bdr w:val="nil"/>
          <w:lang w:val="en-GB"/>
        </w:rPr>
        <w:t>.</w:t>
      </w:r>
    </w:p>
    <w:p w:rsidR="00A20987" w:rsidRDefault="00A20987" w:rsidP="005C3B03">
      <w:pPr>
        <w:pBdr>
          <w:top w:val="nil"/>
          <w:left w:val="nil"/>
          <w:bottom w:val="nil"/>
          <w:right w:val="nil"/>
          <w:between w:val="nil"/>
          <w:bar w:val="nil"/>
        </w:pBdr>
        <w:spacing w:before="300" w:after="300" w:line="240" w:lineRule="auto"/>
        <w:ind w:left="0"/>
        <w:jc w:val="left"/>
        <w:rPr>
          <w:rFonts w:ascii="Calibri" w:eastAsia="Times New Roman" w:hAnsi="Calibri" w:cs="Times New Roman"/>
          <w:bdr w:val="nil"/>
          <w:lang w:val="en-GB"/>
        </w:rPr>
      </w:pPr>
      <w:r>
        <w:rPr>
          <w:rFonts w:ascii="Calibri" w:eastAsia="Times New Roman" w:hAnsi="Calibri" w:cs="Times New Roman"/>
          <w:bdr w:val="nil"/>
          <w:lang w:val="en-GB"/>
        </w:rPr>
        <w:t xml:space="preserve">Government of Hungary (2014): Hungary’s National Youth Guarantee Implementation Plan. </w:t>
      </w:r>
    </w:p>
    <w:p w:rsidR="007A3396" w:rsidRDefault="007A3396" w:rsidP="005C3B03">
      <w:pPr>
        <w:pBdr>
          <w:top w:val="nil"/>
          <w:left w:val="nil"/>
          <w:bottom w:val="nil"/>
          <w:right w:val="nil"/>
          <w:between w:val="nil"/>
          <w:bar w:val="nil"/>
        </w:pBdr>
        <w:spacing w:before="300" w:after="300" w:line="240" w:lineRule="auto"/>
        <w:ind w:left="0"/>
        <w:jc w:val="left"/>
        <w:rPr>
          <w:rFonts w:ascii="Calibri" w:eastAsia="Times New Roman" w:hAnsi="Calibri" w:cs="Times New Roman"/>
          <w:bdr w:val="nil"/>
          <w:lang w:val="en-GB"/>
        </w:rPr>
      </w:pPr>
      <w:proofErr w:type="spellStart"/>
      <w:r>
        <w:rPr>
          <w:rFonts w:ascii="Calibri" w:eastAsia="Times New Roman" w:hAnsi="Calibri" w:cs="Times New Roman"/>
          <w:bdr w:val="nil"/>
          <w:lang w:val="en-GB"/>
        </w:rPr>
        <w:t>Mascherini</w:t>
      </w:r>
      <w:proofErr w:type="spellEnd"/>
      <w:r>
        <w:rPr>
          <w:rFonts w:ascii="Calibri" w:eastAsia="Times New Roman" w:hAnsi="Calibri" w:cs="Times New Roman"/>
          <w:bdr w:val="nil"/>
          <w:lang w:val="en-GB"/>
        </w:rPr>
        <w:t xml:space="preserve">, </w:t>
      </w:r>
      <w:proofErr w:type="spellStart"/>
      <w:r>
        <w:rPr>
          <w:rFonts w:ascii="Calibri" w:eastAsia="Times New Roman" w:hAnsi="Calibri" w:cs="Times New Roman"/>
          <w:bdr w:val="nil"/>
          <w:lang w:val="en-GB"/>
        </w:rPr>
        <w:t>Massimilano</w:t>
      </w:r>
      <w:proofErr w:type="spellEnd"/>
      <w:r>
        <w:rPr>
          <w:rFonts w:ascii="Calibri" w:eastAsia="Times New Roman" w:hAnsi="Calibri" w:cs="Times New Roman"/>
          <w:bdr w:val="nil"/>
          <w:lang w:val="en-GB"/>
        </w:rPr>
        <w:t xml:space="preserve"> and </w:t>
      </w:r>
      <w:proofErr w:type="spellStart"/>
      <w:r>
        <w:rPr>
          <w:rFonts w:ascii="Calibri" w:eastAsia="Times New Roman" w:hAnsi="Calibri" w:cs="Times New Roman"/>
          <w:bdr w:val="nil"/>
          <w:lang w:val="en-GB"/>
        </w:rPr>
        <w:t>Ledermaier</w:t>
      </w:r>
      <w:proofErr w:type="spellEnd"/>
      <w:r>
        <w:rPr>
          <w:rFonts w:ascii="Calibri" w:eastAsia="Times New Roman" w:hAnsi="Calibri" w:cs="Times New Roman"/>
          <w:bdr w:val="nil"/>
          <w:lang w:val="en-GB"/>
        </w:rPr>
        <w:t xml:space="preserve">, </w:t>
      </w:r>
      <w:proofErr w:type="spellStart"/>
      <w:r>
        <w:rPr>
          <w:rFonts w:ascii="Calibri" w:eastAsia="Times New Roman" w:hAnsi="Calibri" w:cs="Times New Roman"/>
          <w:bdr w:val="nil"/>
          <w:lang w:val="en-GB"/>
        </w:rPr>
        <w:t>Stefania</w:t>
      </w:r>
      <w:proofErr w:type="spellEnd"/>
      <w:r>
        <w:rPr>
          <w:rFonts w:ascii="Calibri" w:eastAsia="Times New Roman" w:hAnsi="Calibri" w:cs="Times New Roman"/>
          <w:bdr w:val="nil"/>
          <w:lang w:val="en-GB"/>
        </w:rPr>
        <w:t xml:space="preserve"> (2016): </w:t>
      </w:r>
      <w:r w:rsidRPr="007A3396">
        <w:rPr>
          <w:rFonts w:ascii="Calibri" w:eastAsia="Times New Roman" w:hAnsi="Calibri" w:cs="Times New Roman"/>
          <w:bdr w:val="nil"/>
          <w:lang w:val="en-GB"/>
        </w:rPr>
        <w:t>Exploring the diversity of NEETs</w:t>
      </w:r>
      <w:r>
        <w:rPr>
          <w:rFonts w:ascii="Calibri" w:eastAsia="Times New Roman" w:hAnsi="Calibri" w:cs="Times New Roman"/>
          <w:bdr w:val="nil"/>
          <w:lang w:val="en-GB"/>
        </w:rPr>
        <w:t xml:space="preserve">. </w:t>
      </w:r>
      <w:r w:rsidRPr="007A3396">
        <w:rPr>
          <w:rFonts w:ascii="Calibri" w:eastAsia="Times New Roman" w:hAnsi="Calibri" w:cs="Times New Roman"/>
          <w:bdr w:val="nil"/>
          <w:lang w:val="en-GB"/>
        </w:rPr>
        <w:t>European Foundation for the Improvement of Living and Working Conditions</w:t>
      </w:r>
    </w:p>
    <w:p w:rsidR="009B2708" w:rsidRPr="009B7638" w:rsidRDefault="009B2708" w:rsidP="005C3B03">
      <w:pPr>
        <w:pBdr>
          <w:top w:val="nil"/>
          <w:left w:val="nil"/>
          <w:bottom w:val="nil"/>
          <w:right w:val="nil"/>
          <w:between w:val="nil"/>
          <w:bar w:val="nil"/>
        </w:pBdr>
        <w:spacing w:before="300" w:after="300" w:line="240" w:lineRule="auto"/>
        <w:ind w:left="0"/>
        <w:jc w:val="left"/>
        <w:rPr>
          <w:rFonts w:ascii="Calibri" w:eastAsia="Times New Roman" w:hAnsi="Calibri" w:cs="Times New Roman"/>
          <w:bdr w:val="nil"/>
          <w:lang w:val="en-GB"/>
        </w:rPr>
      </w:pPr>
      <w:r w:rsidRPr="009B2708">
        <w:rPr>
          <w:rFonts w:ascii="Calibri" w:eastAsia="Times New Roman" w:hAnsi="Calibri" w:cs="Times New Roman"/>
          <w:bdr w:val="nil"/>
          <w:lang w:val="en-GB"/>
        </w:rPr>
        <w:t xml:space="preserve">John </w:t>
      </w:r>
      <w:proofErr w:type="spellStart"/>
      <w:r w:rsidRPr="009B2708">
        <w:rPr>
          <w:rFonts w:ascii="Calibri" w:eastAsia="Times New Roman" w:hAnsi="Calibri" w:cs="Times New Roman"/>
          <w:bdr w:val="nil"/>
          <w:lang w:val="en-GB"/>
        </w:rPr>
        <w:t>Micklewright</w:t>
      </w:r>
      <w:proofErr w:type="spellEnd"/>
      <w:r w:rsidRPr="009B2708">
        <w:rPr>
          <w:rFonts w:ascii="Calibri" w:eastAsia="Times New Roman" w:hAnsi="Calibri" w:cs="Times New Roman"/>
          <w:bdr w:val="nil"/>
          <w:lang w:val="en-GB"/>
        </w:rPr>
        <w:t xml:space="preserve"> &amp; </w:t>
      </w:r>
      <w:proofErr w:type="spellStart"/>
      <w:r w:rsidRPr="009B2708">
        <w:rPr>
          <w:rFonts w:ascii="Calibri" w:eastAsia="Times New Roman" w:hAnsi="Calibri" w:cs="Times New Roman"/>
          <w:bdr w:val="nil"/>
          <w:lang w:val="en-GB"/>
        </w:rPr>
        <w:t>Gyula</w:t>
      </w:r>
      <w:proofErr w:type="spellEnd"/>
      <w:r w:rsidRPr="009B2708">
        <w:rPr>
          <w:rFonts w:ascii="Calibri" w:eastAsia="Times New Roman" w:hAnsi="Calibri" w:cs="Times New Roman"/>
          <w:bdr w:val="nil"/>
          <w:lang w:val="en-GB"/>
        </w:rPr>
        <w:t xml:space="preserve"> Nagy </w:t>
      </w:r>
      <w:r>
        <w:rPr>
          <w:rFonts w:ascii="Calibri" w:eastAsia="Times New Roman" w:hAnsi="Calibri" w:cs="Times New Roman"/>
          <w:bdr w:val="nil"/>
          <w:lang w:val="en-GB"/>
        </w:rPr>
        <w:t>(</w:t>
      </w:r>
      <w:r w:rsidRPr="009B2708">
        <w:rPr>
          <w:rFonts w:ascii="Calibri" w:eastAsia="Times New Roman" w:hAnsi="Calibri" w:cs="Times New Roman"/>
          <w:bdr w:val="nil"/>
          <w:lang w:val="en-GB"/>
        </w:rPr>
        <w:t>1999</w:t>
      </w:r>
      <w:r>
        <w:rPr>
          <w:rFonts w:ascii="Calibri" w:eastAsia="Times New Roman" w:hAnsi="Calibri" w:cs="Times New Roman"/>
          <w:bdr w:val="nil"/>
          <w:lang w:val="en-GB"/>
        </w:rPr>
        <w:t>)</w:t>
      </w:r>
      <w:r w:rsidRPr="009B2708">
        <w:rPr>
          <w:rFonts w:ascii="Calibri" w:eastAsia="Times New Roman" w:hAnsi="Calibri" w:cs="Times New Roman"/>
          <w:bdr w:val="nil"/>
          <w:lang w:val="en-GB"/>
        </w:rPr>
        <w:t xml:space="preserve"> The Informational Value of Job Search Data and the Dynamics of Search Behaviour: Evidence from Hungary</w:t>
      </w:r>
      <w:r>
        <w:rPr>
          <w:rFonts w:ascii="Calibri" w:eastAsia="Times New Roman" w:hAnsi="Calibri" w:cs="Times New Roman"/>
          <w:bdr w:val="nil"/>
          <w:lang w:val="en-GB"/>
        </w:rPr>
        <w:t>.</w:t>
      </w:r>
      <w:r w:rsidRPr="009B2708">
        <w:rPr>
          <w:rFonts w:ascii="Calibri" w:eastAsia="Times New Roman" w:hAnsi="Calibri" w:cs="Times New Roman"/>
          <w:bdr w:val="nil"/>
          <w:lang w:val="en-GB"/>
        </w:rPr>
        <w:t xml:space="preserve"> </w:t>
      </w:r>
      <w:proofErr w:type="gramStart"/>
      <w:r w:rsidRPr="009B2708">
        <w:rPr>
          <w:rFonts w:ascii="Calibri" w:eastAsia="Times New Roman" w:hAnsi="Calibri" w:cs="Times New Roman"/>
          <w:bdr w:val="nil"/>
          <w:lang w:val="en-GB"/>
        </w:rPr>
        <w:t>Budapest Working Papers on the Labour Market, Institute of Economics, Centre for Economic and Regional Studies.</w:t>
      </w:r>
      <w:proofErr w:type="gramEnd"/>
    </w:p>
    <w:p w:rsidR="009867D1" w:rsidRPr="009B7638" w:rsidRDefault="00E00157" w:rsidP="007A3396">
      <w:pPr>
        <w:pBdr>
          <w:top w:val="nil"/>
          <w:left w:val="nil"/>
          <w:bottom w:val="nil"/>
          <w:right w:val="nil"/>
          <w:between w:val="nil"/>
          <w:bar w:val="nil"/>
        </w:pBdr>
        <w:spacing w:before="300" w:after="300" w:line="240" w:lineRule="auto"/>
        <w:ind w:left="0"/>
        <w:jc w:val="left"/>
        <w:rPr>
          <w:lang w:val="en-GB"/>
        </w:rPr>
      </w:pPr>
      <w:proofErr w:type="spellStart"/>
      <w:r>
        <w:rPr>
          <w:lang w:val="en-GB"/>
        </w:rPr>
        <w:t>Molnár</w:t>
      </w:r>
      <w:proofErr w:type="spellEnd"/>
      <w:r>
        <w:rPr>
          <w:lang w:val="en-GB"/>
        </w:rPr>
        <w:t xml:space="preserve"> </w:t>
      </w:r>
      <w:proofErr w:type="spellStart"/>
      <w:r w:rsidR="00842765">
        <w:rPr>
          <w:lang w:val="en-GB"/>
        </w:rPr>
        <w:t>Tamás</w:t>
      </w:r>
      <w:proofErr w:type="spellEnd"/>
      <w:r>
        <w:rPr>
          <w:lang w:val="en-GB"/>
        </w:rPr>
        <w:t xml:space="preserve"> (2019): </w:t>
      </w:r>
      <w:r w:rsidR="00842765">
        <w:t>Job search behaviour of young people not in education, training or employment</w:t>
      </w:r>
      <w:r>
        <w:t xml:space="preserve">, in: Hungarian Labour Market, </w:t>
      </w:r>
      <w:proofErr w:type="gramStart"/>
      <w:r>
        <w:t>eds</w:t>
      </w:r>
      <w:proofErr w:type="gramEnd"/>
      <w:r>
        <w:t>: Fazekas, K.</w:t>
      </w:r>
      <w:r w:rsidRPr="00E00157">
        <w:t xml:space="preserve"> C</w:t>
      </w:r>
      <w:r>
        <w:t xml:space="preserve">sillag, M., Hermann, Z. and Scharle, Á </w:t>
      </w:r>
      <w:r w:rsidRPr="00E00157">
        <w:t xml:space="preserve">Institute of Economics, Centre for Economic and Regional Studies, </w:t>
      </w:r>
      <w:r w:rsidR="00383358">
        <w:fldChar w:fldCharType="begin"/>
      </w:r>
      <w:r w:rsidR="00383358">
        <w:instrText>HYPERLINK "https://EconPapers.repec.org/RePEc:has:lmbook:2019"</w:instrText>
      </w:r>
      <w:r w:rsidR="00383358">
        <w:fldChar w:fldCharType="separate"/>
      </w:r>
      <w:r w:rsidR="007A3396" w:rsidRPr="00734CDD">
        <w:rPr>
          <w:rStyle w:val="Hyperlink"/>
        </w:rPr>
        <w:t>https://EconPapers.repec.org/RePEc:has:lmbook:2019</w:t>
      </w:r>
      <w:r w:rsidR="00383358">
        <w:fldChar w:fldCharType="end"/>
      </w:r>
      <w:r w:rsidRPr="00E00157">
        <w:t>.</w:t>
      </w:r>
      <w:r w:rsidR="007A3396">
        <w:t xml:space="preserve"> </w:t>
      </w:r>
    </w:p>
    <w:p w:rsidR="009867D1" w:rsidRDefault="00254A8D" w:rsidP="00CB6E93">
      <w:pPr>
        <w:pStyle w:val="Nagwekbeznumeracji"/>
        <w:rPr>
          <w:lang w:val="en-GB"/>
        </w:rPr>
      </w:pPr>
      <w:bookmarkStart w:id="19" w:name="_Toc85531101"/>
      <w:r w:rsidRPr="009B7638">
        <w:rPr>
          <w:lang w:val="en-GB"/>
        </w:rPr>
        <w:lastRenderedPageBreak/>
        <w:t>Appendix</w:t>
      </w:r>
      <w:bookmarkEnd w:id="19"/>
    </w:p>
    <w:p w:rsidR="007144C3" w:rsidRDefault="007144C3" w:rsidP="007144C3">
      <w:pPr>
        <w:rPr>
          <w:lang w:val="en-GB"/>
        </w:rPr>
      </w:pPr>
    </w:p>
    <w:p w:rsidR="007144C3" w:rsidRPr="00526541" w:rsidRDefault="007144C3" w:rsidP="007144C3">
      <w:pPr>
        <w:pStyle w:val="Caption"/>
        <w:ind w:left="0"/>
      </w:pPr>
      <w:r>
        <w:t>Table A1</w:t>
      </w:r>
      <w:r w:rsidRPr="00526541">
        <w:t xml:space="preserve"> </w:t>
      </w:r>
      <w:r>
        <w:t>2</w:t>
      </w:r>
      <w:r w:rsidRPr="00526541">
        <w:t xml:space="preserve"> </w:t>
      </w:r>
      <w:r>
        <w:t>Registration of NEET youths (2016), by county and data source (%)</w:t>
      </w:r>
    </w:p>
    <w:tbl>
      <w:tblPr>
        <w:tblStyle w:val="BItable1"/>
        <w:tblW w:w="9072" w:type="dxa"/>
        <w:tblLayout w:type="fixed"/>
        <w:tblLook w:val="04A0"/>
      </w:tblPr>
      <w:tblGrid>
        <w:gridCol w:w="1974"/>
        <w:gridCol w:w="1183"/>
        <w:gridCol w:w="1183"/>
        <w:gridCol w:w="1183"/>
        <w:gridCol w:w="1183"/>
        <w:gridCol w:w="1183"/>
        <w:gridCol w:w="1183"/>
      </w:tblGrid>
      <w:tr w:rsidR="007144C3" w:rsidRPr="00526541" w:rsidTr="000644D0">
        <w:trPr>
          <w:cnfStyle w:val="100000000000"/>
        </w:trPr>
        <w:tc>
          <w:tcPr>
            <w:cnfStyle w:val="0010000001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County</w:t>
            </w:r>
          </w:p>
        </w:tc>
        <w:tc>
          <w:tcPr>
            <w:tcW w:w="3549" w:type="dxa"/>
            <w:gridSpan w:val="3"/>
          </w:tcPr>
          <w:p w:rsidR="007144C3" w:rsidRDefault="007144C3" w:rsidP="000644D0">
            <w:pPr>
              <w:suppressAutoHyphens/>
              <w:autoSpaceDE w:val="0"/>
              <w:autoSpaceDN w:val="0"/>
              <w:adjustRightInd w:val="0"/>
              <w:spacing w:before="40" w:after="40" w:line="240" w:lineRule="auto"/>
              <w:ind w:left="0"/>
              <w:jc w:val="center"/>
              <w:textAlignment w:val="center"/>
              <w:cnfStyle w:val="100000000000"/>
              <w:rPr>
                <w:rFonts w:asciiTheme="minorHAnsi" w:hAnsiTheme="minorHAnsi"/>
                <w:bCs/>
                <w:sz w:val="18"/>
                <w:szCs w:val="18"/>
              </w:rPr>
            </w:pPr>
            <w:r>
              <w:rPr>
                <w:rFonts w:asciiTheme="minorHAnsi" w:hAnsiTheme="minorHAnsi"/>
                <w:bCs/>
                <w:sz w:val="18"/>
                <w:szCs w:val="18"/>
              </w:rPr>
              <w:t>Micro-census</w:t>
            </w:r>
          </w:p>
        </w:tc>
        <w:tc>
          <w:tcPr>
            <w:tcW w:w="3549" w:type="dxa"/>
            <w:gridSpan w:val="3"/>
          </w:tcPr>
          <w:p w:rsidR="007144C3" w:rsidRDefault="007144C3" w:rsidP="000644D0">
            <w:pPr>
              <w:suppressAutoHyphens/>
              <w:autoSpaceDE w:val="0"/>
              <w:autoSpaceDN w:val="0"/>
              <w:adjustRightInd w:val="0"/>
              <w:spacing w:before="40" w:after="40" w:line="240" w:lineRule="auto"/>
              <w:ind w:left="0"/>
              <w:jc w:val="center"/>
              <w:textAlignment w:val="center"/>
              <w:cnfStyle w:val="100000000000"/>
              <w:rPr>
                <w:rFonts w:asciiTheme="minorHAnsi" w:hAnsiTheme="minorHAnsi"/>
                <w:bCs/>
                <w:sz w:val="18"/>
                <w:szCs w:val="18"/>
              </w:rPr>
            </w:pPr>
            <w:r>
              <w:rPr>
                <w:rFonts w:asciiTheme="minorHAnsi" w:hAnsiTheme="minorHAnsi"/>
                <w:bCs/>
                <w:sz w:val="18"/>
                <w:szCs w:val="18"/>
              </w:rPr>
              <w:t>Administrative data</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i/>
                <w:iCs/>
                <w:sz w:val="18"/>
                <w:szCs w:val="18"/>
              </w:rPr>
            </w:pPr>
            <w:r w:rsidRPr="00CC7371">
              <w:rPr>
                <w:rFonts w:asciiTheme="minorHAnsi" w:hAnsiTheme="minorHAnsi"/>
                <w:bCs/>
                <w:i/>
                <w:iCs/>
                <w:sz w:val="18"/>
                <w:szCs w:val="18"/>
              </w:rPr>
              <w:t>P25</w:t>
            </w: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i/>
                <w:iCs/>
                <w:sz w:val="18"/>
                <w:szCs w:val="18"/>
              </w:rPr>
            </w:pPr>
            <w:r w:rsidRPr="00CC7371">
              <w:rPr>
                <w:rFonts w:asciiTheme="minorHAnsi" w:hAnsiTheme="minorHAnsi"/>
                <w:bCs/>
                <w:i/>
                <w:iCs/>
                <w:sz w:val="18"/>
                <w:szCs w:val="18"/>
              </w:rPr>
              <w:t>P50</w:t>
            </w: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i/>
                <w:iCs/>
                <w:sz w:val="18"/>
                <w:szCs w:val="18"/>
              </w:rPr>
            </w:pPr>
            <w:r w:rsidRPr="00CC7371">
              <w:rPr>
                <w:rFonts w:asciiTheme="minorHAnsi" w:hAnsiTheme="minorHAnsi"/>
                <w:bCs/>
                <w:i/>
                <w:iCs/>
                <w:sz w:val="18"/>
                <w:szCs w:val="18"/>
              </w:rPr>
              <w:t>P75</w:t>
            </w: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i/>
                <w:iCs/>
                <w:sz w:val="18"/>
                <w:szCs w:val="18"/>
              </w:rPr>
            </w:pPr>
            <w:r w:rsidRPr="00CC7371">
              <w:rPr>
                <w:rFonts w:asciiTheme="minorHAnsi" w:hAnsiTheme="minorHAnsi"/>
                <w:bCs/>
                <w:i/>
                <w:iCs/>
                <w:sz w:val="18"/>
                <w:szCs w:val="18"/>
              </w:rPr>
              <w:t>P25</w:t>
            </w: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i/>
                <w:iCs/>
                <w:sz w:val="18"/>
                <w:szCs w:val="18"/>
              </w:rPr>
            </w:pPr>
            <w:r w:rsidRPr="00CC7371">
              <w:rPr>
                <w:rFonts w:asciiTheme="minorHAnsi" w:hAnsiTheme="minorHAnsi"/>
                <w:bCs/>
                <w:i/>
                <w:iCs/>
                <w:sz w:val="18"/>
                <w:szCs w:val="18"/>
              </w:rPr>
              <w:t>P50</w:t>
            </w:r>
          </w:p>
        </w:tc>
        <w:tc>
          <w:tcPr>
            <w:tcW w:w="1183" w:type="dxa"/>
          </w:tcPr>
          <w:p w:rsidR="007144C3" w:rsidRPr="00CC7371"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i/>
                <w:iCs/>
                <w:sz w:val="18"/>
                <w:szCs w:val="18"/>
              </w:rPr>
            </w:pPr>
            <w:r w:rsidRPr="00CC7371">
              <w:rPr>
                <w:rFonts w:asciiTheme="minorHAnsi" w:hAnsiTheme="minorHAnsi"/>
                <w:bCs/>
                <w:i/>
                <w:iCs/>
                <w:sz w:val="18"/>
                <w:szCs w:val="18"/>
              </w:rPr>
              <w:t>P75</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Baranya</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sz w:val="18"/>
                <w:szCs w:val="18"/>
              </w:rPr>
            </w:pPr>
            <w:r w:rsidRPr="00325118">
              <w:rPr>
                <w:rFonts w:asciiTheme="minorHAnsi" w:hAnsiTheme="minorHAnsi"/>
                <w:sz w:val="18"/>
                <w:szCs w:val="18"/>
              </w:rPr>
              <w:t>44</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i/>
                <w:iCs/>
                <w:sz w:val="18"/>
                <w:szCs w:val="18"/>
              </w:rPr>
            </w:pPr>
            <w:r w:rsidRPr="00325118">
              <w:rPr>
                <w:rFonts w:asciiTheme="minorHAnsi" w:hAnsiTheme="minorHAnsi"/>
                <w:i/>
                <w:iCs/>
                <w:sz w:val="18"/>
                <w:szCs w:val="18"/>
              </w:rPr>
              <w:t>55</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sz w:val="18"/>
                <w:szCs w:val="18"/>
              </w:rPr>
            </w:pPr>
            <w:r w:rsidRPr="00325118">
              <w:rPr>
                <w:rFonts w:asciiTheme="minorHAnsi" w:hAnsiTheme="minorHAnsi"/>
                <w:sz w:val="18"/>
                <w:szCs w:val="18"/>
              </w:rPr>
              <w:t>59</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sz w:val="18"/>
                <w:szCs w:val="18"/>
              </w:rPr>
            </w:pPr>
            <w:r w:rsidRPr="00325118">
              <w:rPr>
                <w:rFonts w:asciiTheme="minorHAnsi" w:hAnsiTheme="minorHAnsi"/>
                <w:sz w:val="18"/>
                <w:szCs w:val="18"/>
              </w:rPr>
              <w:t>25</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i/>
                <w:iCs/>
                <w:sz w:val="18"/>
                <w:szCs w:val="18"/>
              </w:rPr>
            </w:pPr>
            <w:r w:rsidRPr="00325118">
              <w:rPr>
                <w:rFonts w:asciiTheme="minorHAnsi" w:hAnsiTheme="minorHAnsi"/>
                <w:i/>
                <w:iCs/>
                <w:sz w:val="18"/>
                <w:szCs w:val="18"/>
              </w:rPr>
              <w:t>29</w:t>
            </w:r>
          </w:p>
        </w:tc>
        <w:tc>
          <w:tcPr>
            <w:tcW w:w="1183" w:type="dxa"/>
          </w:tcPr>
          <w:p w:rsidR="007144C3" w:rsidRPr="00325118" w:rsidRDefault="007144C3" w:rsidP="000644D0">
            <w:pPr>
              <w:suppressAutoHyphens/>
              <w:autoSpaceDE w:val="0"/>
              <w:autoSpaceDN w:val="0"/>
              <w:adjustRightInd w:val="0"/>
              <w:spacing w:before="40" w:after="40" w:line="240" w:lineRule="auto"/>
              <w:ind w:left="0"/>
              <w:jc w:val="center"/>
              <w:textAlignment w:val="center"/>
              <w:cnfStyle w:val="000000000000"/>
              <w:rPr>
                <w:rFonts w:asciiTheme="minorHAnsi" w:hAnsiTheme="minorHAnsi"/>
                <w:bCs/>
                <w:sz w:val="18"/>
                <w:szCs w:val="18"/>
              </w:rPr>
            </w:pPr>
            <w:r w:rsidRPr="00325118">
              <w:rPr>
                <w:rFonts w:asciiTheme="minorHAnsi" w:hAnsiTheme="minorHAnsi"/>
                <w:sz w:val="18"/>
                <w:szCs w:val="18"/>
              </w:rPr>
              <w:t>34</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b/>
                <w:sz w:val="18"/>
                <w:szCs w:val="18"/>
              </w:rPr>
            </w:pPr>
            <w:r>
              <w:rPr>
                <w:rFonts w:asciiTheme="minorHAnsi" w:hAnsiTheme="minorHAnsi"/>
                <w:sz w:val="18"/>
                <w:szCs w:val="18"/>
              </w:rPr>
              <w:t>Bács-Kiskun</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30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42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23</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b/>
                <w:sz w:val="18"/>
                <w:szCs w:val="18"/>
              </w:rPr>
            </w:pPr>
            <w:r>
              <w:rPr>
                <w:rFonts w:asciiTheme="minorHAnsi" w:hAnsiTheme="minorHAnsi"/>
                <w:sz w:val="18"/>
                <w:szCs w:val="18"/>
              </w:rPr>
              <w:t>Békés</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42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48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54</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33</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b/>
                <w:sz w:val="18"/>
                <w:szCs w:val="18"/>
              </w:rPr>
            </w:pPr>
            <w:r>
              <w:rPr>
                <w:rFonts w:asciiTheme="minorHAnsi" w:hAnsiTheme="minorHAnsi"/>
                <w:sz w:val="18"/>
                <w:szCs w:val="18"/>
              </w:rPr>
              <w:t>BAZ</w:t>
            </w:r>
          </w:p>
        </w:tc>
        <w:tc>
          <w:tcPr>
            <w:tcW w:w="1183" w:type="dxa"/>
          </w:tcPr>
          <w:p w:rsidR="007144C3" w:rsidRPr="00325118" w:rsidRDefault="007144C3" w:rsidP="000644D0">
            <w:pPr>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43</w:t>
            </w:r>
          </w:p>
        </w:tc>
        <w:tc>
          <w:tcPr>
            <w:tcW w:w="1183" w:type="dxa"/>
          </w:tcPr>
          <w:p w:rsidR="007144C3" w:rsidRPr="00325118" w:rsidRDefault="007144C3" w:rsidP="000644D0">
            <w:pPr>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51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31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39</w:t>
            </w:r>
          </w:p>
        </w:tc>
      </w:tr>
      <w:tr w:rsidR="007144C3" w:rsidRPr="00526541" w:rsidTr="000644D0">
        <w:tc>
          <w:tcPr>
            <w:cnfStyle w:val="001000000000"/>
            <w:tcW w:w="1974" w:type="dxa"/>
          </w:tcPr>
          <w:p w:rsidR="007144C3" w:rsidRPr="00CC737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Csongrád</w:t>
            </w:r>
          </w:p>
        </w:tc>
        <w:tc>
          <w:tcPr>
            <w:tcW w:w="1183" w:type="dxa"/>
          </w:tcPr>
          <w:p w:rsidR="007144C3" w:rsidRPr="00325118" w:rsidRDefault="007144C3" w:rsidP="000644D0">
            <w:pPr>
              <w:tabs>
                <w:tab w:val="left" w:pos="255"/>
                <w:tab w:val="center" w:pos="483"/>
              </w:tabs>
              <w:suppressAutoHyphens/>
              <w:autoSpaceDE w:val="0"/>
              <w:autoSpaceDN w:val="0"/>
              <w:adjustRightInd w:val="0"/>
              <w:spacing w:before="40" w:after="40" w:line="240" w:lineRule="auto"/>
              <w:ind w:left="0"/>
              <w:textAlignment w:val="center"/>
              <w:cnfStyle w:val="000000000000"/>
              <w:rPr>
                <w:rFonts w:asciiTheme="minorHAnsi" w:hAnsiTheme="minorHAnsi"/>
                <w:b/>
                <w:bCs/>
                <w:sz w:val="18"/>
                <w:szCs w:val="18"/>
              </w:rPr>
            </w:pPr>
            <w:r w:rsidRPr="00325118">
              <w:rPr>
                <w:rFonts w:asciiTheme="minorHAnsi" w:hAnsiTheme="minorHAnsi"/>
                <w:sz w:val="18"/>
                <w:szCs w:val="18"/>
              </w:rPr>
              <w:t>19</w:t>
            </w:r>
          </w:p>
        </w:tc>
        <w:tc>
          <w:tcPr>
            <w:tcW w:w="1183" w:type="dxa"/>
          </w:tcPr>
          <w:p w:rsidR="007144C3" w:rsidRPr="00325118" w:rsidRDefault="007144C3" w:rsidP="000644D0">
            <w:pPr>
              <w:suppressAutoHyphens/>
              <w:autoSpaceDE w:val="0"/>
              <w:autoSpaceDN w:val="0"/>
              <w:adjustRightInd w:val="0"/>
              <w:spacing w:before="40" w:after="40" w:line="240" w:lineRule="auto"/>
              <w:ind w:left="0"/>
              <w:textAlignment w:val="center"/>
              <w:cnfStyle w:val="000000000000"/>
              <w:rPr>
                <w:rFonts w:asciiTheme="minorHAnsi" w:hAnsiTheme="minorHAnsi"/>
                <w:b/>
                <w:bCs/>
                <w:i/>
                <w:iCs/>
                <w:sz w:val="18"/>
                <w:szCs w:val="18"/>
              </w:rPr>
            </w:pPr>
            <w:r w:rsidRPr="00325118">
              <w:rPr>
                <w:rFonts w:asciiTheme="minorHAnsi" w:hAnsiTheme="minorHAnsi"/>
                <w:i/>
                <w:iCs/>
                <w:sz w:val="18"/>
                <w:szCs w:val="18"/>
              </w:rPr>
              <w:t>32</w:t>
            </w:r>
          </w:p>
        </w:tc>
        <w:tc>
          <w:tcPr>
            <w:tcW w:w="1183" w:type="dxa"/>
          </w:tcPr>
          <w:p w:rsidR="007144C3" w:rsidRPr="00325118" w:rsidRDefault="007144C3" w:rsidP="000644D0">
            <w:pPr>
              <w:suppressAutoHyphens/>
              <w:autoSpaceDE w:val="0"/>
              <w:autoSpaceDN w:val="0"/>
              <w:adjustRightInd w:val="0"/>
              <w:spacing w:before="40" w:after="40" w:line="240" w:lineRule="auto"/>
              <w:ind w:left="0"/>
              <w:textAlignment w:val="center"/>
              <w:cnfStyle w:val="000000000000"/>
              <w:rPr>
                <w:rFonts w:asciiTheme="minorHAnsi" w:hAnsiTheme="minorHAnsi"/>
                <w:b/>
                <w:bCs/>
                <w:sz w:val="18"/>
                <w:szCs w:val="18"/>
              </w:rPr>
            </w:pPr>
            <w:r w:rsidRPr="00325118">
              <w:rPr>
                <w:rFonts w:asciiTheme="minorHAnsi" w:hAnsiTheme="minorHAnsi"/>
                <w:sz w:val="18"/>
                <w:szCs w:val="18"/>
              </w:rPr>
              <w:t>34</w:t>
            </w:r>
          </w:p>
        </w:tc>
        <w:tc>
          <w:tcPr>
            <w:tcW w:w="1183" w:type="dxa"/>
          </w:tcPr>
          <w:p w:rsidR="007144C3" w:rsidRPr="00325118" w:rsidRDefault="007144C3" w:rsidP="000644D0">
            <w:pPr>
              <w:suppressAutoHyphens/>
              <w:autoSpaceDE w:val="0"/>
              <w:autoSpaceDN w:val="0"/>
              <w:adjustRightInd w:val="0"/>
              <w:spacing w:before="40" w:after="40" w:line="240" w:lineRule="auto"/>
              <w:ind w:left="0"/>
              <w:textAlignment w:val="center"/>
              <w:cnfStyle w:val="000000000000"/>
              <w:rPr>
                <w:rFonts w:asciiTheme="minorHAnsi" w:hAnsiTheme="minorHAnsi"/>
                <w:b/>
                <w:bCs/>
                <w:sz w:val="18"/>
                <w:szCs w:val="18"/>
              </w:rPr>
            </w:pPr>
            <w:r w:rsidRPr="00325118">
              <w:rPr>
                <w:rFonts w:asciiTheme="minorHAnsi" w:hAnsiTheme="minorHAnsi"/>
                <w:sz w:val="18"/>
                <w:szCs w:val="18"/>
              </w:rPr>
              <w:t>12</w:t>
            </w:r>
          </w:p>
        </w:tc>
        <w:tc>
          <w:tcPr>
            <w:tcW w:w="1183" w:type="dxa"/>
          </w:tcPr>
          <w:p w:rsidR="007144C3" w:rsidRPr="00325118" w:rsidRDefault="007144C3" w:rsidP="000644D0">
            <w:pPr>
              <w:suppressAutoHyphens/>
              <w:autoSpaceDE w:val="0"/>
              <w:autoSpaceDN w:val="0"/>
              <w:adjustRightInd w:val="0"/>
              <w:spacing w:before="40" w:after="40" w:line="240" w:lineRule="auto"/>
              <w:ind w:left="0"/>
              <w:textAlignment w:val="center"/>
              <w:cnfStyle w:val="000000000000"/>
              <w:rPr>
                <w:rFonts w:asciiTheme="minorHAnsi" w:hAnsiTheme="minorHAnsi"/>
                <w:b/>
                <w:bCs/>
                <w:i/>
                <w:iCs/>
                <w:sz w:val="18"/>
                <w:szCs w:val="18"/>
              </w:rPr>
            </w:pPr>
            <w:r w:rsidRPr="00325118">
              <w:rPr>
                <w:rFonts w:asciiTheme="minorHAnsi" w:hAnsiTheme="minorHAnsi"/>
                <w:i/>
                <w:iCs/>
                <w:sz w:val="18"/>
                <w:szCs w:val="18"/>
              </w:rPr>
              <w:t>19</w:t>
            </w:r>
          </w:p>
        </w:tc>
        <w:tc>
          <w:tcPr>
            <w:tcW w:w="1183" w:type="dxa"/>
          </w:tcPr>
          <w:p w:rsidR="007144C3" w:rsidRPr="00325118" w:rsidRDefault="007144C3" w:rsidP="000644D0">
            <w:pPr>
              <w:suppressAutoHyphens/>
              <w:autoSpaceDE w:val="0"/>
              <w:autoSpaceDN w:val="0"/>
              <w:adjustRightInd w:val="0"/>
              <w:spacing w:before="40" w:after="40" w:line="240" w:lineRule="auto"/>
              <w:ind w:left="0"/>
              <w:textAlignment w:val="center"/>
              <w:cnfStyle w:val="000000000000"/>
              <w:rPr>
                <w:rFonts w:asciiTheme="minorHAnsi" w:hAnsiTheme="minorHAnsi"/>
                <w:b/>
                <w:bCs/>
                <w:sz w:val="18"/>
                <w:szCs w:val="18"/>
              </w:rPr>
            </w:pPr>
            <w:r w:rsidRPr="00325118">
              <w:rPr>
                <w:rFonts w:asciiTheme="minorHAnsi" w:hAnsiTheme="minorHAnsi"/>
                <w:sz w:val="18"/>
                <w:szCs w:val="18"/>
              </w:rPr>
              <w:t>23</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b/>
                <w:sz w:val="18"/>
                <w:szCs w:val="18"/>
              </w:rPr>
            </w:pPr>
            <w:r>
              <w:rPr>
                <w:rFonts w:asciiTheme="minorHAnsi" w:hAnsiTheme="minorHAnsi"/>
                <w:sz w:val="18"/>
                <w:szCs w:val="18"/>
              </w:rPr>
              <w:t>Fejér</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17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10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17</w:t>
            </w:r>
          </w:p>
        </w:tc>
      </w:tr>
      <w:tr w:rsidR="007144C3" w:rsidRPr="00526541" w:rsidTr="000644D0">
        <w:tc>
          <w:tcPr>
            <w:cnfStyle w:val="001000000000"/>
            <w:tcW w:w="1974" w:type="dxa"/>
          </w:tcPr>
          <w:p w:rsidR="007144C3" w:rsidRPr="00526541"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b/>
                <w:sz w:val="18"/>
                <w:szCs w:val="18"/>
              </w:rPr>
            </w:pPr>
            <w:r>
              <w:rPr>
                <w:rFonts w:asciiTheme="minorHAnsi" w:hAnsiTheme="minorHAnsi"/>
                <w:sz w:val="18"/>
                <w:szCs w:val="18"/>
              </w:rPr>
              <w:t>Győr-Moson</w:t>
            </w:r>
            <w:r w:rsidRPr="00526541">
              <w:rPr>
                <w:rFonts w:asciiTheme="minorHAnsi" w:hAnsiTheme="minorHAnsi"/>
                <w:sz w:val="18"/>
                <w:szCs w:val="18"/>
              </w:rPr>
              <w:t xml:space="preserve"> </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10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4</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9</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Hajdú-Bihar</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41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48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54</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30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37</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Heves</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29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31</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Jász-Nagykun</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16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62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15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38</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Komárom-Esztergom</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15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11</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Nógrád</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18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30</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Pest</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46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50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35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40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41</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Somogy</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39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42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52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39</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Szabolcs-Szatmár</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45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11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14</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32</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Tolna</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34</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42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46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25</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Vas</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27</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28</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9</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15</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Veszprém</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20</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31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12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13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15</w:t>
            </w:r>
          </w:p>
        </w:tc>
      </w:tr>
      <w:tr w:rsidR="007144C3" w:rsidRPr="00526541" w:rsidTr="000644D0">
        <w:tc>
          <w:tcPr>
            <w:cnfStyle w:val="001000000000"/>
            <w:tcW w:w="1974" w:type="dxa"/>
          </w:tcPr>
          <w:p w:rsidR="007144C3" w:rsidRDefault="007144C3" w:rsidP="000644D0">
            <w:pPr>
              <w:suppressAutoHyphens/>
              <w:autoSpaceDE w:val="0"/>
              <w:autoSpaceDN w:val="0"/>
              <w:adjustRightInd w:val="0"/>
              <w:spacing w:before="40" w:after="40" w:line="240" w:lineRule="auto"/>
              <w:ind w:left="0"/>
              <w:jc w:val="left"/>
              <w:textAlignment w:val="center"/>
              <w:rPr>
                <w:rFonts w:asciiTheme="minorHAnsi" w:hAnsiTheme="minorHAnsi"/>
                <w:sz w:val="18"/>
                <w:szCs w:val="18"/>
              </w:rPr>
            </w:pPr>
            <w:r>
              <w:rPr>
                <w:rFonts w:asciiTheme="minorHAnsi" w:hAnsiTheme="minorHAnsi"/>
                <w:sz w:val="18"/>
                <w:szCs w:val="18"/>
              </w:rPr>
              <w:t>Zala</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sz w:val="18"/>
                <w:szCs w:val="18"/>
              </w:rPr>
            </w:pPr>
            <w:r w:rsidRPr="00325118">
              <w:rPr>
                <w:rFonts w:asciiTheme="minorHAnsi" w:hAnsiTheme="minorHAnsi"/>
                <w:sz w:val="18"/>
                <w:szCs w:val="18"/>
              </w:rPr>
              <w:t>32</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26"/>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33</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35</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sz w:val="18"/>
                <w:szCs w:val="18"/>
              </w:rPr>
            </w:pPr>
            <w:r w:rsidRPr="00325118">
              <w:rPr>
                <w:rFonts w:asciiTheme="minorHAnsi" w:hAnsiTheme="minorHAnsi"/>
                <w:sz w:val="18"/>
                <w:szCs w:val="18"/>
              </w:rPr>
              <w:t>16</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335"/>
              <w:jc w:val="center"/>
              <w:textAlignment w:val="center"/>
              <w:cnfStyle w:val="000000000000"/>
              <w:rPr>
                <w:rFonts w:asciiTheme="minorHAnsi" w:hAnsiTheme="minorHAnsi"/>
                <w:i/>
                <w:iCs/>
                <w:sz w:val="18"/>
                <w:szCs w:val="18"/>
              </w:rPr>
            </w:pPr>
            <w:r w:rsidRPr="00325118">
              <w:rPr>
                <w:rFonts w:asciiTheme="minorHAnsi" w:hAnsiTheme="minorHAnsi"/>
                <w:i/>
                <w:iCs/>
                <w:sz w:val="18"/>
                <w:szCs w:val="18"/>
              </w:rPr>
              <w:t>21</w:t>
            </w:r>
          </w:p>
        </w:tc>
        <w:tc>
          <w:tcPr>
            <w:tcW w:w="1183" w:type="dxa"/>
          </w:tcPr>
          <w:p w:rsidR="007144C3" w:rsidRPr="00325118" w:rsidRDefault="007144C3" w:rsidP="000644D0">
            <w:pPr>
              <w:tabs>
                <w:tab w:val="left" w:pos="1245"/>
              </w:tabs>
              <w:suppressAutoHyphens/>
              <w:autoSpaceDE w:val="0"/>
              <w:autoSpaceDN w:val="0"/>
              <w:adjustRightInd w:val="0"/>
              <w:spacing w:before="40" w:after="40" w:line="240" w:lineRule="auto"/>
              <w:ind w:left="0" w:right="485"/>
              <w:jc w:val="center"/>
              <w:textAlignment w:val="center"/>
              <w:cnfStyle w:val="000000000000"/>
              <w:rPr>
                <w:rFonts w:asciiTheme="minorHAnsi" w:hAnsiTheme="minorHAnsi"/>
                <w:sz w:val="18"/>
                <w:szCs w:val="18"/>
              </w:rPr>
            </w:pPr>
            <w:r w:rsidRPr="00325118">
              <w:rPr>
                <w:rFonts w:asciiTheme="minorHAnsi" w:hAnsiTheme="minorHAnsi"/>
                <w:sz w:val="18"/>
                <w:szCs w:val="18"/>
              </w:rPr>
              <w:t>23</w:t>
            </w:r>
          </w:p>
        </w:tc>
      </w:tr>
    </w:tbl>
    <w:p w:rsidR="007144C3" w:rsidRDefault="007144C3" w:rsidP="007144C3">
      <w:pPr>
        <w:suppressAutoHyphens/>
        <w:autoSpaceDE w:val="0"/>
        <w:autoSpaceDN w:val="0"/>
        <w:adjustRightInd w:val="0"/>
        <w:spacing w:before="120" w:after="0" w:line="288" w:lineRule="auto"/>
        <w:ind w:left="0" w:right="1678"/>
        <w:jc w:val="left"/>
        <w:textAlignment w:val="center"/>
        <w:rPr>
          <w:i/>
          <w:iCs/>
          <w:color w:val="666769"/>
          <w:sz w:val="16"/>
          <w:szCs w:val="16"/>
        </w:rPr>
      </w:pPr>
      <w:r>
        <w:rPr>
          <w:i/>
          <w:iCs/>
          <w:color w:val="666769"/>
          <w:sz w:val="16"/>
          <w:szCs w:val="16"/>
        </w:rPr>
        <w:t xml:space="preserve">Registered jobseekers/NEETs, percent. </w:t>
      </w:r>
      <w:r w:rsidR="00922755">
        <w:rPr>
          <w:i/>
          <w:iCs/>
          <w:color w:val="666769"/>
          <w:sz w:val="16"/>
          <w:szCs w:val="16"/>
        </w:rPr>
        <w:t xml:space="preserve"> P25= the registration rate at the 25th percentile within a given county; P50= median registration rate, within county; P75= 75th percentile of registration rate, within county. </w:t>
      </w:r>
    </w:p>
    <w:p w:rsidR="00EA63CC" w:rsidRDefault="00EA63CC" w:rsidP="009867D1">
      <w:pPr>
        <w:rPr>
          <w:lang w:val="en-GB"/>
        </w:rPr>
      </w:pPr>
    </w:p>
    <w:p w:rsidR="00AE2913" w:rsidRPr="009B7638" w:rsidRDefault="00AE2913" w:rsidP="009867D1">
      <w:pPr>
        <w:rPr>
          <w:lang w:val="en-GB"/>
        </w:rPr>
        <w:sectPr w:rsidR="00AE2913" w:rsidRPr="009B7638" w:rsidSect="0036614A">
          <w:headerReference w:type="default" r:id="rId13"/>
          <w:footerReference w:type="default" r:id="rId14"/>
          <w:pgSz w:w="11906" w:h="16838"/>
          <w:pgMar w:top="2552" w:right="1133" w:bottom="1417" w:left="1134" w:header="708" w:footer="708" w:gutter="0"/>
          <w:cols w:space="708"/>
          <w:docGrid w:linePitch="360"/>
        </w:sectPr>
      </w:pPr>
    </w:p>
    <w:p w:rsidR="009867D1" w:rsidRPr="009B7638" w:rsidRDefault="009867D1" w:rsidP="009867D1">
      <w:pPr>
        <w:rPr>
          <w:color w:val="FFFFFF" w:themeColor="background1"/>
          <w:lang w:val="en-GB"/>
        </w:rPr>
      </w:pPr>
    </w:p>
    <w:p w:rsidR="001B323E" w:rsidRPr="009B7638" w:rsidRDefault="001B323E" w:rsidP="009867D1">
      <w:pPr>
        <w:rPr>
          <w:color w:val="FFFFFF" w:themeColor="background1"/>
          <w:lang w:val="en-GB"/>
        </w:rPr>
      </w:pPr>
    </w:p>
    <w:p w:rsidR="001B323E" w:rsidRPr="009B7638" w:rsidRDefault="001B323E" w:rsidP="009867D1">
      <w:pPr>
        <w:rPr>
          <w:color w:val="FFFFFF" w:themeColor="background1"/>
          <w:lang w:val="en-GB"/>
        </w:rPr>
      </w:pPr>
    </w:p>
    <w:p w:rsidR="001B323E" w:rsidRDefault="00F06A82" w:rsidP="009867D1">
      <w:pPr>
        <w:rPr>
          <w:color w:val="FFFFFF" w:themeColor="background1"/>
          <w:lang w:val="en-GB"/>
        </w:rPr>
      </w:pPr>
      <w:r>
        <w:rPr>
          <w:color w:val="FFFFFF" w:themeColor="background1"/>
          <w:lang w:val="en-GB"/>
        </w:rPr>
        <w:t xml:space="preserve">Authors: </w:t>
      </w:r>
    </w:p>
    <w:p w:rsidR="00F06A82" w:rsidRPr="009B7638" w:rsidRDefault="00F06A82" w:rsidP="009867D1">
      <w:pPr>
        <w:rPr>
          <w:color w:val="FFFFFF" w:themeColor="background1"/>
          <w:lang w:val="en-GB"/>
        </w:rPr>
      </w:pPr>
      <w:proofErr w:type="spellStart"/>
      <w:r>
        <w:rPr>
          <w:color w:val="FFFFFF" w:themeColor="background1"/>
          <w:lang w:val="en-GB"/>
        </w:rPr>
        <w:t>Márton</w:t>
      </w:r>
      <w:proofErr w:type="spellEnd"/>
      <w:r>
        <w:rPr>
          <w:color w:val="FFFFFF" w:themeColor="background1"/>
          <w:lang w:val="en-GB"/>
        </w:rPr>
        <w:t xml:space="preserve"> </w:t>
      </w:r>
      <w:proofErr w:type="spellStart"/>
      <w:r>
        <w:rPr>
          <w:color w:val="FFFFFF" w:themeColor="background1"/>
          <w:lang w:val="en-GB"/>
        </w:rPr>
        <w:t>C</w:t>
      </w:r>
      <w:r w:rsidR="005170C4">
        <w:rPr>
          <w:color w:val="FFFFFF" w:themeColor="background1"/>
          <w:lang w:val="en-GB"/>
        </w:rPr>
        <w:t>sillag</w:t>
      </w:r>
      <w:proofErr w:type="spellEnd"/>
      <w:r w:rsidR="005170C4">
        <w:rPr>
          <w:color w:val="FFFFFF" w:themeColor="background1"/>
          <w:lang w:val="en-GB"/>
        </w:rPr>
        <w:t xml:space="preserve"> -</w:t>
      </w:r>
      <w:r>
        <w:rPr>
          <w:color w:val="FFFFFF" w:themeColor="background1"/>
          <w:lang w:val="en-GB"/>
        </w:rPr>
        <w:t xml:space="preserve"> Budapest Institute for Policy Analysis</w:t>
      </w:r>
      <w:r w:rsidR="005170C4">
        <w:rPr>
          <w:color w:val="FFFFFF" w:themeColor="background1"/>
          <w:lang w:val="en-GB"/>
        </w:rPr>
        <w:t>,</w:t>
      </w:r>
      <w:r>
        <w:rPr>
          <w:color w:val="FFFFFF" w:themeColor="background1"/>
          <w:lang w:val="en-GB"/>
        </w:rPr>
        <w:t xml:space="preserve"> </w:t>
      </w:r>
      <w:r w:rsidRPr="00F06A82">
        <w:rPr>
          <w:color w:val="FFFFFF" w:themeColor="background1"/>
          <w:lang w:val="en-GB"/>
        </w:rPr>
        <w:t>Centre for Economic and Regional Studies</w:t>
      </w:r>
    </w:p>
    <w:p w:rsidR="001B323E" w:rsidRPr="009B7638" w:rsidRDefault="007144C3" w:rsidP="009867D1">
      <w:pPr>
        <w:rPr>
          <w:color w:val="FFFFFF" w:themeColor="background1"/>
          <w:lang w:val="en-GB"/>
        </w:rPr>
      </w:pPr>
      <w:proofErr w:type="spellStart"/>
      <w:r>
        <w:rPr>
          <w:color w:val="FFFFFF" w:themeColor="background1"/>
          <w:lang w:val="en-GB"/>
        </w:rPr>
        <w:t>Tamás</w:t>
      </w:r>
      <w:proofErr w:type="spellEnd"/>
      <w:r>
        <w:rPr>
          <w:color w:val="FFFFFF" w:themeColor="background1"/>
          <w:lang w:val="en-GB"/>
        </w:rPr>
        <w:t xml:space="preserve"> </w:t>
      </w:r>
      <w:proofErr w:type="spellStart"/>
      <w:r>
        <w:rPr>
          <w:color w:val="FFFFFF" w:themeColor="background1"/>
          <w:lang w:val="en-GB"/>
        </w:rPr>
        <w:t>Molnár</w:t>
      </w:r>
      <w:proofErr w:type="spellEnd"/>
      <w:r w:rsidR="005170C4">
        <w:rPr>
          <w:color w:val="FFFFFF" w:themeColor="background1"/>
          <w:lang w:val="en-GB"/>
        </w:rPr>
        <w:t xml:space="preserve"> - </w:t>
      </w:r>
      <w:r w:rsidR="00F06A82">
        <w:rPr>
          <w:color w:val="FFFFFF" w:themeColor="background1"/>
          <w:lang w:val="en-GB"/>
        </w:rPr>
        <w:t xml:space="preserve">Budapest Institute for Policy Analysis </w:t>
      </w:r>
    </w:p>
    <w:p w:rsidR="001B323E" w:rsidRPr="009B7638" w:rsidRDefault="00F06A82" w:rsidP="00F06A82">
      <w:pPr>
        <w:rPr>
          <w:color w:val="FFFFFF" w:themeColor="background1"/>
          <w:lang w:val="en-GB"/>
        </w:rPr>
      </w:pPr>
      <w:proofErr w:type="spellStart"/>
      <w:r>
        <w:rPr>
          <w:color w:val="FFFFFF" w:themeColor="background1"/>
          <w:lang w:val="en-GB"/>
        </w:rPr>
        <w:t>Ágota</w:t>
      </w:r>
      <w:proofErr w:type="spellEnd"/>
      <w:r>
        <w:rPr>
          <w:color w:val="FFFFFF" w:themeColor="background1"/>
          <w:lang w:val="en-GB"/>
        </w:rPr>
        <w:t xml:space="preserve"> </w:t>
      </w:r>
      <w:proofErr w:type="spellStart"/>
      <w:r>
        <w:rPr>
          <w:color w:val="FFFFFF" w:themeColor="background1"/>
          <w:lang w:val="en-GB"/>
        </w:rPr>
        <w:t>Scharle</w:t>
      </w:r>
      <w:proofErr w:type="spellEnd"/>
      <w:r w:rsidR="005170C4">
        <w:rPr>
          <w:color w:val="FFFFFF" w:themeColor="background1"/>
          <w:lang w:val="en-GB"/>
        </w:rPr>
        <w:t xml:space="preserve"> - </w:t>
      </w:r>
      <w:r>
        <w:rPr>
          <w:color w:val="FFFFFF" w:themeColor="background1"/>
          <w:lang w:val="en-GB"/>
        </w:rPr>
        <w:t>Budapest Institute for Policy Analysis</w:t>
      </w:r>
    </w:p>
    <w:p w:rsidR="00272B59" w:rsidRPr="009B7638" w:rsidRDefault="00272B59" w:rsidP="00272B59">
      <w:pPr>
        <w:ind w:left="0"/>
        <w:rPr>
          <w:color w:val="FFFFFF" w:themeColor="background1"/>
          <w:lang w:val="en-GB"/>
        </w:rPr>
      </w:pPr>
    </w:p>
    <w:p w:rsidR="001B323E" w:rsidRPr="009B7638" w:rsidRDefault="001B323E" w:rsidP="009867D1">
      <w:pPr>
        <w:rPr>
          <w:color w:val="FFFFFF" w:themeColor="background1"/>
          <w:lang w:val="en-GB"/>
        </w:rPr>
      </w:pPr>
    </w:p>
    <w:p w:rsidR="006122D0" w:rsidRPr="009B7638" w:rsidRDefault="006122D0" w:rsidP="009867D1">
      <w:pPr>
        <w:rPr>
          <w:color w:val="FFFFFF" w:themeColor="background1"/>
          <w:lang w:val="en-GB"/>
        </w:rPr>
      </w:pPr>
    </w:p>
    <w:p w:rsidR="009D52DC" w:rsidRPr="009B7638" w:rsidRDefault="009D52DC" w:rsidP="009D52DC">
      <w:pPr>
        <w:rPr>
          <w:b/>
          <w:color w:val="FFFFFF" w:themeColor="background1"/>
          <w:lang w:val="en-GB"/>
        </w:rPr>
      </w:pPr>
      <w:r w:rsidRPr="009B7638">
        <w:rPr>
          <w:b/>
          <w:bCs/>
          <w:color w:val="FFFFFF" w:themeColor="background1"/>
          <w:lang w:val="en-GB"/>
        </w:rPr>
        <w:t>Budapest Institute for Policy Analysis</w:t>
      </w:r>
    </w:p>
    <w:p w:rsidR="001B323E" w:rsidRPr="009B7638" w:rsidRDefault="001B323E" w:rsidP="009867D1">
      <w:pPr>
        <w:rPr>
          <w:b/>
          <w:color w:val="FFFFFF" w:themeColor="background1"/>
          <w:lang w:val="en-GB"/>
        </w:rPr>
      </w:pPr>
    </w:p>
    <w:p w:rsidR="006122D0" w:rsidRPr="009B7638" w:rsidRDefault="006122D0" w:rsidP="00D65283">
      <w:pPr>
        <w:spacing w:after="0"/>
        <w:rPr>
          <w:color w:val="FFFFFF" w:themeColor="background1"/>
          <w:lang w:val="en-GB"/>
        </w:rPr>
      </w:pPr>
      <w:r w:rsidRPr="009B7638">
        <w:rPr>
          <w:color w:val="FFFFFF" w:themeColor="background1"/>
          <w:lang w:val="en-GB"/>
        </w:rPr>
        <w:t>Ad</w:t>
      </w:r>
      <w:r w:rsidR="00C27A1D" w:rsidRPr="009B7638">
        <w:rPr>
          <w:color w:val="FFFFFF" w:themeColor="background1"/>
          <w:lang w:val="en-GB"/>
        </w:rPr>
        <w:t>d</w:t>
      </w:r>
      <w:r w:rsidRPr="009B7638">
        <w:rPr>
          <w:color w:val="FFFFFF" w:themeColor="background1"/>
          <w:lang w:val="en-GB"/>
        </w:rPr>
        <w:t>res</w:t>
      </w:r>
      <w:r w:rsidR="00C27A1D" w:rsidRPr="009B7638">
        <w:rPr>
          <w:color w:val="FFFFFF" w:themeColor="background1"/>
          <w:lang w:val="en-GB"/>
        </w:rPr>
        <w:t>s 10</w:t>
      </w:r>
      <w:r w:rsidR="000E2450" w:rsidRPr="009B7638">
        <w:rPr>
          <w:color w:val="FFFFFF" w:themeColor="background1"/>
          <w:lang w:val="en-GB"/>
        </w:rPr>
        <w:t>7</w:t>
      </w:r>
      <w:r w:rsidR="00C27A1D" w:rsidRPr="009B7638">
        <w:rPr>
          <w:color w:val="FFFFFF" w:themeColor="background1"/>
          <w:lang w:val="en-GB"/>
        </w:rPr>
        <w:t xml:space="preserve">4 Budapest </w:t>
      </w:r>
      <w:proofErr w:type="spellStart"/>
      <w:r w:rsidR="00C27A1D" w:rsidRPr="009B7638">
        <w:rPr>
          <w:color w:val="FFFFFF" w:themeColor="background1"/>
          <w:lang w:val="en-GB"/>
        </w:rPr>
        <w:t>Dohány</w:t>
      </w:r>
      <w:proofErr w:type="spellEnd"/>
      <w:r w:rsidR="00C27A1D" w:rsidRPr="009B7638">
        <w:rPr>
          <w:color w:val="FFFFFF" w:themeColor="background1"/>
          <w:lang w:val="en-GB"/>
        </w:rPr>
        <w:t xml:space="preserve"> </w:t>
      </w:r>
      <w:proofErr w:type="spellStart"/>
      <w:r w:rsidR="00C27A1D" w:rsidRPr="009B7638">
        <w:rPr>
          <w:color w:val="FFFFFF" w:themeColor="background1"/>
          <w:lang w:val="en-GB"/>
        </w:rPr>
        <w:t>utca</w:t>
      </w:r>
      <w:proofErr w:type="spellEnd"/>
      <w:r w:rsidR="00C27A1D" w:rsidRPr="009B7638">
        <w:rPr>
          <w:color w:val="FFFFFF" w:themeColor="background1"/>
          <w:lang w:val="en-GB"/>
        </w:rPr>
        <w:t xml:space="preserve"> 84.</w:t>
      </w:r>
    </w:p>
    <w:p w:rsidR="006122D0" w:rsidRPr="009B7638" w:rsidRDefault="00383358" w:rsidP="009867D1">
      <w:pPr>
        <w:rPr>
          <w:color w:val="FFFFFF" w:themeColor="background1"/>
          <w:lang w:val="en-GB"/>
        </w:rPr>
      </w:pPr>
      <w:hyperlink r:id="rId15" w:history="1">
        <w:r w:rsidR="00254A8D" w:rsidRPr="009B7638">
          <w:rPr>
            <w:rStyle w:val="Hyperlink"/>
            <w:lang w:val="en-GB"/>
          </w:rPr>
          <w:t>www.budapestinstitute.eu</w:t>
        </w:r>
      </w:hyperlink>
      <w:r w:rsidR="00254A8D" w:rsidRPr="009B7638">
        <w:rPr>
          <w:color w:val="FFFFFF" w:themeColor="background1"/>
          <w:lang w:val="en-GB"/>
        </w:rPr>
        <w:t xml:space="preserve"> </w:t>
      </w:r>
    </w:p>
    <w:sectPr w:rsidR="006122D0" w:rsidRPr="009B7638" w:rsidSect="00B361D2">
      <w:headerReference w:type="default" r:id="rId16"/>
      <w:footerReference w:type="default" r:id="rId17"/>
      <w:pgSz w:w="11906" w:h="16838"/>
      <w:pgMar w:top="2694"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463" w:rsidRDefault="00A21463" w:rsidP="0061193C">
      <w:r>
        <w:separator/>
      </w:r>
    </w:p>
  </w:endnote>
  <w:endnote w:type="continuationSeparator" w:id="0">
    <w:p w:rsidR="00A21463" w:rsidRDefault="00A21463" w:rsidP="006119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NeuzeitS-Book">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Pr="008C2AA1" w:rsidRDefault="000644D0" w:rsidP="00D163DA">
    <w:pPr>
      <w:pStyle w:val="Pagina"/>
      <w:ind w:left="0"/>
      <w:jc w:val="both"/>
      <w:rPr>
        <w:color w:val="B81639"/>
      </w:rPr>
    </w:pPr>
    <w:sdt>
      <w:sdtPr>
        <w:rPr>
          <w:color w:val="B81639"/>
        </w:rPr>
        <w:id w:val="550960732"/>
        <w:docPartObj>
          <w:docPartGallery w:val="Page Numbers (Bottom of Page)"/>
          <w:docPartUnique/>
        </w:docPartObj>
      </w:sdtPr>
      <w:sdtContent>
        <w:r>
          <w:t xml:space="preserve">Outreach report Hungary </w:t>
        </w:r>
        <w:r w:rsidRPr="008C2AA1">
          <w:rPr>
            <w:b/>
          </w:rPr>
          <w:fldChar w:fldCharType="begin"/>
        </w:r>
        <w:r w:rsidRPr="008C2AA1">
          <w:rPr>
            <w:b/>
          </w:rPr>
          <w:instrText>PAGE   \* MERGEFORMAT</w:instrText>
        </w:r>
        <w:r w:rsidRPr="008C2AA1">
          <w:rPr>
            <w:b/>
          </w:rPr>
          <w:fldChar w:fldCharType="separate"/>
        </w:r>
        <w:r w:rsidR="006F1A20" w:rsidRPr="006F1A20">
          <w:rPr>
            <w:b/>
            <w:noProof/>
            <w:lang w:val="pl-PL"/>
          </w:rPr>
          <w:t>19</w:t>
        </w:r>
        <w:r w:rsidRPr="008C2AA1">
          <w:rPr>
            <w:b/>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Pr="008C2AA1" w:rsidRDefault="000644D0" w:rsidP="0061193C">
    <w:pPr>
      <w:pStyle w:val="Pagina"/>
      <w:rPr>
        <w:color w:val="B8163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463" w:rsidRDefault="00A21463" w:rsidP="0061193C">
      <w:r>
        <w:separator/>
      </w:r>
    </w:p>
  </w:footnote>
  <w:footnote w:type="continuationSeparator" w:id="0">
    <w:p w:rsidR="00A21463" w:rsidRDefault="00A21463" w:rsidP="0061193C">
      <w:r>
        <w:continuationSeparator/>
      </w:r>
    </w:p>
  </w:footnote>
  <w:footnote w:id="1">
    <w:p w:rsidR="000644D0" w:rsidRPr="004E0E31" w:rsidRDefault="000644D0">
      <w:pPr>
        <w:pStyle w:val="FootnoteText"/>
        <w:rPr>
          <w:lang w:val="en-GB"/>
        </w:rPr>
      </w:pPr>
      <w:r>
        <w:rPr>
          <w:rStyle w:val="FootnoteReference"/>
        </w:rPr>
        <w:footnoteRef/>
      </w:r>
      <w:r>
        <w:t xml:space="preserve"> </w:t>
      </w:r>
      <w:r>
        <w:rPr>
          <w:lang w:val="en-GB"/>
        </w:rPr>
        <w:t xml:space="preserve">This means that short- and long-term unemployed, labour market re-entrants, and discouraged workers are classified as ‚closer to the labour market’.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Pr="007D5D95" w:rsidRDefault="000644D0" w:rsidP="0061193C">
    <w:pPr>
      <w:pStyle w:val="Header"/>
    </w:pPr>
    <w:r>
      <w:rPr>
        <w:noProof/>
        <w:lang w:val="hu-HU" w:eastAsia="hu-HU"/>
      </w:rPr>
      <w:drawing>
        <wp:anchor distT="0" distB="0" distL="114300" distR="114300" simplePos="0" relativeHeight="251657216" behindDoc="1" locked="0" layoutInCell="1" allowOverlap="1">
          <wp:simplePos x="0" y="0"/>
          <wp:positionH relativeFrom="column">
            <wp:posOffset>-710565</wp:posOffset>
          </wp:positionH>
          <wp:positionV relativeFrom="paragraph">
            <wp:posOffset>-440055</wp:posOffset>
          </wp:positionV>
          <wp:extent cx="7560000" cy="1373333"/>
          <wp:effectExtent l="0" t="0" r="3175" b="0"/>
          <wp:wrapNone/>
          <wp:docPr id="24"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lo_publikacja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373333"/>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Default="000644D0" w:rsidP="0061193C">
    <w:pPr>
      <w:pStyle w:val="Header"/>
    </w:pPr>
    <w:r>
      <w:rPr>
        <w:noProof/>
        <w:lang w:val="hu-HU" w:eastAsia="hu-HU"/>
      </w:rPr>
      <w:drawing>
        <wp:anchor distT="0" distB="0" distL="114300" distR="114300" simplePos="0" relativeHeight="251656192" behindDoc="1" locked="0" layoutInCell="1" allowOverlap="1">
          <wp:simplePos x="0" y="0"/>
          <wp:positionH relativeFrom="column">
            <wp:posOffset>-712139</wp:posOffset>
          </wp:positionH>
          <wp:positionV relativeFrom="paragraph">
            <wp:posOffset>-441423</wp:posOffset>
          </wp:positionV>
          <wp:extent cx="7560000" cy="10697400"/>
          <wp:effectExtent l="0" t="0" r="3175" b="8890"/>
          <wp:wrapNone/>
          <wp:docPr id="45"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tlo_publikacja_tytulowa.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74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Pr="007D5D95" w:rsidRDefault="000644D0" w:rsidP="0061193C">
    <w:pPr>
      <w:pStyle w:val="Header"/>
    </w:pPr>
    <w:r>
      <w:rPr>
        <w:noProof/>
        <w:lang w:val="hu-HU" w:eastAsia="hu-HU"/>
      </w:rPr>
      <w:drawing>
        <wp:anchor distT="0" distB="0" distL="114300" distR="114300" simplePos="0" relativeHeight="251658240" behindDoc="1" locked="0" layoutInCell="1" allowOverlap="1">
          <wp:simplePos x="0" y="0"/>
          <wp:positionH relativeFrom="column">
            <wp:posOffset>-711835</wp:posOffset>
          </wp:positionH>
          <wp:positionV relativeFrom="paragraph">
            <wp:posOffset>-456151</wp:posOffset>
          </wp:positionV>
          <wp:extent cx="7560000" cy="1148538"/>
          <wp:effectExtent l="0" t="0" r="317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lo_publikacja_logo.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148538"/>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D0" w:rsidRPr="007D5D95" w:rsidRDefault="000644D0" w:rsidP="0061193C">
    <w:pPr>
      <w:pStyle w:val="Header"/>
    </w:pPr>
    <w:r>
      <w:rPr>
        <w:noProof/>
        <w:lang w:val="hu-HU" w:eastAsia="hu-HU"/>
      </w:rPr>
      <w:drawing>
        <wp:anchor distT="0" distB="0" distL="114300" distR="114300" simplePos="0" relativeHeight="251659264" behindDoc="1" locked="0" layoutInCell="1" allowOverlap="1">
          <wp:simplePos x="0" y="0"/>
          <wp:positionH relativeFrom="column">
            <wp:posOffset>-712718</wp:posOffset>
          </wp:positionH>
          <wp:positionV relativeFrom="paragraph">
            <wp:posOffset>-442098</wp:posOffset>
          </wp:positionV>
          <wp:extent cx="7560000" cy="10697812"/>
          <wp:effectExtent l="0" t="0" r="3175" b="8890"/>
          <wp:wrapNone/>
          <wp:docPr id="47"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tlo_publikacja_tytulowa_cz.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06978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68D3"/>
    <w:multiLevelType w:val="hybridMultilevel"/>
    <w:tmpl w:val="715C6488"/>
    <w:lvl w:ilvl="0" w:tplc="16E003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751F7A"/>
    <w:multiLevelType w:val="singleLevel"/>
    <w:tmpl w:val="0409000F"/>
    <w:lvl w:ilvl="0">
      <w:start w:val="1"/>
      <w:numFmt w:val="decimal"/>
      <w:lvlText w:val="%1."/>
      <w:lvlJc w:val="left"/>
      <w:pPr>
        <w:ind w:left="283" w:hanging="283"/>
      </w:pPr>
      <w:rPr>
        <w:caps w:val="0"/>
        <w:smallCaps w:val="0"/>
        <w:strike w:val="0"/>
        <w:dstrike w:val="0"/>
        <w:color w:val="1232D0"/>
        <w:spacing w:val="0"/>
        <w:w w:val="100"/>
        <w:kern w:val="0"/>
        <w:position w:val="0"/>
        <w:highlight w:val="none"/>
        <w:vertAlign w:val="baseline"/>
      </w:rPr>
    </w:lvl>
  </w:abstractNum>
  <w:abstractNum w:abstractNumId="2">
    <w:nsid w:val="0A520F0E"/>
    <w:multiLevelType w:val="hybridMultilevel"/>
    <w:tmpl w:val="A4221B00"/>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19C4AE8"/>
    <w:multiLevelType w:val="hybridMultilevel"/>
    <w:tmpl w:val="DF8E0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B376B"/>
    <w:multiLevelType w:val="multilevel"/>
    <w:tmpl w:val="6FDA88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C367C82"/>
    <w:multiLevelType w:val="multilevel"/>
    <w:tmpl w:val="C2746A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01E5830"/>
    <w:multiLevelType w:val="hybridMultilevel"/>
    <w:tmpl w:val="C54C73A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
    <w:nsid w:val="223346C0"/>
    <w:multiLevelType w:val="hybridMultilevel"/>
    <w:tmpl w:val="7BEC7C9C"/>
    <w:numStyleLink w:val="VietaIseak"/>
  </w:abstractNum>
  <w:abstractNum w:abstractNumId="8">
    <w:nsid w:val="227E6E1D"/>
    <w:multiLevelType w:val="hybridMultilevel"/>
    <w:tmpl w:val="5A002360"/>
    <w:lvl w:ilvl="0" w:tplc="BB0E9EA2">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97A84"/>
    <w:multiLevelType w:val="hybridMultilevel"/>
    <w:tmpl w:val="D8BA17DA"/>
    <w:lvl w:ilvl="0" w:tplc="84AC514A">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7341C"/>
    <w:multiLevelType w:val="hybridMultilevel"/>
    <w:tmpl w:val="ACBE82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F4B79"/>
    <w:multiLevelType w:val="hybridMultilevel"/>
    <w:tmpl w:val="70D29640"/>
    <w:lvl w:ilvl="0" w:tplc="F8206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156718"/>
    <w:multiLevelType w:val="multilevel"/>
    <w:tmpl w:val="BC4E756E"/>
    <w:lvl w:ilvl="0">
      <w:start w:val="1"/>
      <w:numFmt w:val="decimal"/>
      <w:pStyle w:val="Heading1"/>
      <w:lvlText w:val="%1."/>
      <w:lvlJc w:val="left"/>
      <w:pPr>
        <w:ind w:left="360" w:hanging="360"/>
      </w:pPr>
    </w:lvl>
    <w:lvl w:ilvl="1">
      <w:start w:val="1"/>
      <w:numFmt w:val="decimal"/>
      <w:pStyle w:val="Heading2"/>
      <w:lvlText w:val="%1.%2."/>
      <w:lvlJc w:val="left"/>
      <w:pPr>
        <w:ind w:left="1850"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39622F"/>
    <w:multiLevelType w:val="hybridMultilevel"/>
    <w:tmpl w:val="B9C096D6"/>
    <w:lvl w:ilvl="0" w:tplc="31224624">
      <w:start w:val="1"/>
      <w:numFmt w:val="lowerLetter"/>
      <w:lvlText w:val="%1)"/>
      <w:lvlJc w:val="left"/>
      <w:pPr>
        <w:ind w:left="2061" w:hanging="360"/>
      </w:pPr>
      <w:rPr>
        <w:rFonts w:hint="default"/>
        <w:sz w:val="22"/>
        <w:szCs w:val="22"/>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3FCD52AB"/>
    <w:multiLevelType w:val="multilevel"/>
    <w:tmpl w:val="5F34D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0995DF4"/>
    <w:multiLevelType w:val="hybridMultilevel"/>
    <w:tmpl w:val="DAC2E8D8"/>
    <w:lvl w:ilvl="0" w:tplc="FBB2A74E">
      <w:start w:val="1"/>
      <w:numFmt w:val="decimal"/>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4683427E"/>
    <w:multiLevelType w:val="hybridMultilevel"/>
    <w:tmpl w:val="190897AA"/>
    <w:lvl w:ilvl="0" w:tplc="F12A82CC">
      <w:start w:val="1"/>
      <w:numFmt w:val="bullet"/>
      <w:lvlText w:val="•"/>
      <w:lvlJc w:val="left"/>
      <w:pPr>
        <w:tabs>
          <w:tab w:val="num" w:pos="720"/>
        </w:tabs>
        <w:ind w:left="720" w:hanging="360"/>
      </w:pPr>
      <w:rPr>
        <w:rFonts w:ascii="Arial" w:hAnsi="Arial" w:hint="default"/>
      </w:rPr>
    </w:lvl>
    <w:lvl w:ilvl="1" w:tplc="2F146E54" w:tentative="1">
      <w:start w:val="1"/>
      <w:numFmt w:val="bullet"/>
      <w:lvlText w:val="•"/>
      <w:lvlJc w:val="left"/>
      <w:pPr>
        <w:tabs>
          <w:tab w:val="num" w:pos="1440"/>
        </w:tabs>
        <w:ind w:left="1440" w:hanging="360"/>
      </w:pPr>
      <w:rPr>
        <w:rFonts w:ascii="Arial" w:hAnsi="Arial" w:hint="default"/>
      </w:rPr>
    </w:lvl>
    <w:lvl w:ilvl="2" w:tplc="2B8CE460" w:tentative="1">
      <w:start w:val="1"/>
      <w:numFmt w:val="bullet"/>
      <w:lvlText w:val="•"/>
      <w:lvlJc w:val="left"/>
      <w:pPr>
        <w:tabs>
          <w:tab w:val="num" w:pos="2160"/>
        </w:tabs>
        <w:ind w:left="2160" w:hanging="360"/>
      </w:pPr>
      <w:rPr>
        <w:rFonts w:ascii="Arial" w:hAnsi="Arial" w:hint="default"/>
      </w:rPr>
    </w:lvl>
    <w:lvl w:ilvl="3" w:tplc="BE542976" w:tentative="1">
      <w:start w:val="1"/>
      <w:numFmt w:val="bullet"/>
      <w:lvlText w:val="•"/>
      <w:lvlJc w:val="left"/>
      <w:pPr>
        <w:tabs>
          <w:tab w:val="num" w:pos="2880"/>
        </w:tabs>
        <w:ind w:left="2880" w:hanging="360"/>
      </w:pPr>
      <w:rPr>
        <w:rFonts w:ascii="Arial" w:hAnsi="Arial" w:hint="default"/>
      </w:rPr>
    </w:lvl>
    <w:lvl w:ilvl="4" w:tplc="E65E651A" w:tentative="1">
      <w:start w:val="1"/>
      <w:numFmt w:val="bullet"/>
      <w:lvlText w:val="•"/>
      <w:lvlJc w:val="left"/>
      <w:pPr>
        <w:tabs>
          <w:tab w:val="num" w:pos="3600"/>
        </w:tabs>
        <w:ind w:left="3600" w:hanging="360"/>
      </w:pPr>
      <w:rPr>
        <w:rFonts w:ascii="Arial" w:hAnsi="Arial" w:hint="default"/>
      </w:rPr>
    </w:lvl>
    <w:lvl w:ilvl="5" w:tplc="2292892A" w:tentative="1">
      <w:start w:val="1"/>
      <w:numFmt w:val="bullet"/>
      <w:lvlText w:val="•"/>
      <w:lvlJc w:val="left"/>
      <w:pPr>
        <w:tabs>
          <w:tab w:val="num" w:pos="4320"/>
        </w:tabs>
        <w:ind w:left="4320" w:hanging="360"/>
      </w:pPr>
      <w:rPr>
        <w:rFonts w:ascii="Arial" w:hAnsi="Arial" w:hint="default"/>
      </w:rPr>
    </w:lvl>
    <w:lvl w:ilvl="6" w:tplc="B0D46A3E" w:tentative="1">
      <w:start w:val="1"/>
      <w:numFmt w:val="bullet"/>
      <w:lvlText w:val="•"/>
      <w:lvlJc w:val="left"/>
      <w:pPr>
        <w:tabs>
          <w:tab w:val="num" w:pos="5040"/>
        </w:tabs>
        <w:ind w:left="5040" w:hanging="360"/>
      </w:pPr>
      <w:rPr>
        <w:rFonts w:ascii="Arial" w:hAnsi="Arial" w:hint="default"/>
      </w:rPr>
    </w:lvl>
    <w:lvl w:ilvl="7" w:tplc="46D23404" w:tentative="1">
      <w:start w:val="1"/>
      <w:numFmt w:val="bullet"/>
      <w:lvlText w:val="•"/>
      <w:lvlJc w:val="left"/>
      <w:pPr>
        <w:tabs>
          <w:tab w:val="num" w:pos="5760"/>
        </w:tabs>
        <w:ind w:left="5760" w:hanging="360"/>
      </w:pPr>
      <w:rPr>
        <w:rFonts w:ascii="Arial" w:hAnsi="Arial" w:hint="default"/>
      </w:rPr>
    </w:lvl>
    <w:lvl w:ilvl="8" w:tplc="E2FA3ADA" w:tentative="1">
      <w:start w:val="1"/>
      <w:numFmt w:val="bullet"/>
      <w:lvlText w:val="•"/>
      <w:lvlJc w:val="left"/>
      <w:pPr>
        <w:tabs>
          <w:tab w:val="num" w:pos="6480"/>
        </w:tabs>
        <w:ind w:left="6480" w:hanging="360"/>
      </w:pPr>
      <w:rPr>
        <w:rFonts w:ascii="Arial" w:hAnsi="Arial" w:hint="default"/>
      </w:rPr>
    </w:lvl>
  </w:abstractNum>
  <w:abstractNum w:abstractNumId="17">
    <w:nsid w:val="48A65707"/>
    <w:multiLevelType w:val="hybridMultilevel"/>
    <w:tmpl w:val="D8D620E4"/>
    <w:lvl w:ilvl="0" w:tplc="400EBF74">
      <w:start w:val="1"/>
      <w:numFmt w:val="bullet"/>
      <w:lvlText w:val="•"/>
      <w:lvlJc w:val="left"/>
      <w:pPr>
        <w:tabs>
          <w:tab w:val="num" w:pos="720"/>
        </w:tabs>
        <w:ind w:left="720" w:hanging="360"/>
      </w:pPr>
      <w:rPr>
        <w:rFonts w:ascii="Arial" w:hAnsi="Arial" w:hint="default"/>
      </w:rPr>
    </w:lvl>
    <w:lvl w:ilvl="1" w:tplc="8054AFF4" w:tentative="1">
      <w:start w:val="1"/>
      <w:numFmt w:val="bullet"/>
      <w:lvlText w:val="•"/>
      <w:lvlJc w:val="left"/>
      <w:pPr>
        <w:tabs>
          <w:tab w:val="num" w:pos="1440"/>
        </w:tabs>
        <w:ind w:left="1440" w:hanging="360"/>
      </w:pPr>
      <w:rPr>
        <w:rFonts w:ascii="Arial" w:hAnsi="Arial" w:hint="default"/>
      </w:rPr>
    </w:lvl>
    <w:lvl w:ilvl="2" w:tplc="AA227BC4" w:tentative="1">
      <w:start w:val="1"/>
      <w:numFmt w:val="bullet"/>
      <w:lvlText w:val="•"/>
      <w:lvlJc w:val="left"/>
      <w:pPr>
        <w:tabs>
          <w:tab w:val="num" w:pos="2160"/>
        </w:tabs>
        <w:ind w:left="2160" w:hanging="360"/>
      </w:pPr>
      <w:rPr>
        <w:rFonts w:ascii="Arial" w:hAnsi="Arial" w:hint="default"/>
      </w:rPr>
    </w:lvl>
    <w:lvl w:ilvl="3" w:tplc="B412A8D8" w:tentative="1">
      <w:start w:val="1"/>
      <w:numFmt w:val="bullet"/>
      <w:lvlText w:val="•"/>
      <w:lvlJc w:val="left"/>
      <w:pPr>
        <w:tabs>
          <w:tab w:val="num" w:pos="2880"/>
        </w:tabs>
        <w:ind w:left="2880" w:hanging="360"/>
      </w:pPr>
      <w:rPr>
        <w:rFonts w:ascii="Arial" w:hAnsi="Arial" w:hint="default"/>
      </w:rPr>
    </w:lvl>
    <w:lvl w:ilvl="4" w:tplc="E56CDB8C" w:tentative="1">
      <w:start w:val="1"/>
      <w:numFmt w:val="bullet"/>
      <w:lvlText w:val="•"/>
      <w:lvlJc w:val="left"/>
      <w:pPr>
        <w:tabs>
          <w:tab w:val="num" w:pos="3600"/>
        </w:tabs>
        <w:ind w:left="3600" w:hanging="360"/>
      </w:pPr>
      <w:rPr>
        <w:rFonts w:ascii="Arial" w:hAnsi="Arial" w:hint="default"/>
      </w:rPr>
    </w:lvl>
    <w:lvl w:ilvl="5" w:tplc="2B549070" w:tentative="1">
      <w:start w:val="1"/>
      <w:numFmt w:val="bullet"/>
      <w:lvlText w:val="•"/>
      <w:lvlJc w:val="left"/>
      <w:pPr>
        <w:tabs>
          <w:tab w:val="num" w:pos="4320"/>
        </w:tabs>
        <w:ind w:left="4320" w:hanging="360"/>
      </w:pPr>
      <w:rPr>
        <w:rFonts w:ascii="Arial" w:hAnsi="Arial" w:hint="default"/>
      </w:rPr>
    </w:lvl>
    <w:lvl w:ilvl="6" w:tplc="BC94FEA8" w:tentative="1">
      <w:start w:val="1"/>
      <w:numFmt w:val="bullet"/>
      <w:lvlText w:val="•"/>
      <w:lvlJc w:val="left"/>
      <w:pPr>
        <w:tabs>
          <w:tab w:val="num" w:pos="5040"/>
        </w:tabs>
        <w:ind w:left="5040" w:hanging="360"/>
      </w:pPr>
      <w:rPr>
        <w:rFonts w:ascii="Arial" w:hAnsi="Arial" w:hint="default"/>
      </w:rPr>
    </w:lvl>
    <w:lvl w:ilvl="7" w:tplc="204A14D8" w:tentative="1">
      <w:start w:val="1"/>
      <w:numFmt w:val="bullet"/>
      <w:lvlText w:val="•"/>
      <w:lvlJc w:val="left"/>
      <w:pPr>
        <w:tabs>
          <w:tab w:val="num" w:pos="5760"/>
        </w:tabs>
        <w:ind w:left="5760" w:hanging="360"/>
      </w:pPr>
      <w:rPr>
        <w:rFonts w:ascii="Arial" w:hAnsi="Arial" w:hint="default"/>
      </w:rPr>
    </w:lvl>
    <w:lvl w:ilvl="8" w:tplc="0F161096" w:tentative="1">
      <w:start w:val="1"/>
      <w:numFmt w:val="bullet"/>
      <w:lvlText w:val="•"/>
      <w:lvlJc w:val="left"/>
      <w:pPr>
        <w:tabs>
          <w:tab w:val="num" w:pos="6480"/>
        </w:tabs>
        <w:ind w:left="6480" w:hanging="360"/>
      </w:pPr>
      <w:rPr>
        <w:rFonts w:ascii="Arial" w:hAnsi="Arial" w:hint="default"/>
      </w:rPr>
    </w:lvl>
  </w:abstractNum>
  <w:abstractNum w:abstractNumId="18">
    <w:nsid w:val="4AB12BA8"/>
    <w:multiLevelType w:val="hybridMultilevel"/>
    <w:tmpl w:val="E1DA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FB3DF4"/>
    <w:multiLevelType w:val="hybridMultilevel"/>
    <w:tmpl w:val="05480C40"/>
    <w:lvl w:ilvl="0" w:tplc="51FA769E">
      <w:start w:val="1"/>
      <w:numFmt w:val="bullet"/>
      <w:pStyle w:val="ListParagraph"/>
      <w:lvlText w:val=""/>
      <w:lvlJc w:val="left"/>
      <w:pPr>
        <w:ind w:left="2421" w:hanging="360"/>
      </w:pPr>
      <w:rPr>
        <w:rFonts w:ascii="Symbol" w:hAnsi="Symbol" w:hint="default"/>
        <w:color w:val="B81639" w:themeColor="accent1"/>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nsid w:val="502010B4"/>
    <w:multiLevelType w:val="hybridMultilevel"/>
    <w:tmpl w:val="8AC87C9C"/>
    <w:lvl w:ilvl="0" w:tplc="4F2A74B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7218C"/>
    <w:multiLevelType w:val="hybridMultilevel"/>
    <w:tmpl w:val="4108570A"/>
    <w:lvl w:ilvl="0" w:tplc="9F3C3612">
      <w:start w:val="1"/>
      <w:numFmt w:val="bullet"/>
      <w:lvlText w:val="•"/>
      <w:lvlJc w:val="left"/>
      <w:pPr>
        <w:tabs>
          <w:tab w:val="num" w:pos="720"/>
        </w:tabs>
        <w:ind w:left="720" w:hanging="360"/>
      </w:pPr>
      <w:rPr>
        <w:rFonts w:ascii="Arial" w:hAnsi="Arial" w:hint="default"/>
      </w:rPr>
    </w:lvl>
    <w:lvl w:ilvl="1" w:tplc="D4902B60" w:tentative="1">
      <w:start w:val="1"/>
      <w:numFmt w:val="bullet"/>
      <w:lvlText w:val="•"/>
      <w:lvlJc w:val="left"/>
      <w:pPr>
        <w:tabs>
          <w:tab w:val="num" w:pos="1440"/>
        </w:tabs>
        <w:ind w:left="1440" w:hanging="360"/>
      </w:pPr>
      <w:rPr>
        <w:rFonts w:ascii="Arial" w:hAnsi="Arial" w:hint="default"/>
      </w:rPr>
    </w:lvl>
    <w:lvl w:ilvl="2" w:tplc="76D42C06" w:tentative="1">
      <w:start w:val="1"/>
      <w:numFmt w:val="bullet"/>
      <w:lvlText w:val="•"/>
      <w:lvlJc w:val="left"/>
      <w:pPr>
        <w:tabs>
          <w:tab w:val="num" w:pos="2160"/>
        </w:tabs>
        <w:ind w:left="2160" w:hanging="360"/>
      </w:pPr>
      <w:rPr>
        <w:rFonts w:ascii="Arial" w:hAnsi="Arial" w:hint="default"/>
      </w:rPr>
    </w:lvl>
    <w:lvl w:ilvl="3" w:tplc="2ABCB29E" w:tentative="1">
      <w:start w:val="1"/>
      <w:numFmt w:val="bullet"/>
      <w:lvlText w:val="•"/>
      <w:lvlJc w:val="left"/>
      <w:pPr>
        <w:tabs>
          <w:tab w:val="num" w:pos="2880"/>
        </w:tabs>
        <w:ind w:left="2880" w:hanging="360"/>
      </w:pPr>
      <w:rPr>
        <w:rFonts w:ascii="Arial" w:hAnsi="Arial" w:hint="default"/>
      </w:rPr>
    </w:lvl>
    <w:lvl w:ilvl="4" w:tplc="F65CF288" w:tentative="1">
      <w:start w:val="1"/>
      <w:numFmt w:val="bullet"/>
      <w:lvlText w:val="•"/>
      <w:lvlJc w:val="left"/>
      <w:pPr>
        <w:tabs>
          <w:tab w:val="num" w:pos="3600"/>
        </w:tabs>
        <w:ind w:left="3600" w:hanging="360"/>
      </w:pPr>
      <w:rPr>
        <w:rFonts w:ascii="Arial" w:hAnsi="Arial" w:hint="default"/>
      </w:rPr>
    </w:lvl>
    <w:lvl w:ilvl="5" w:tplc="FA74EF3C" w:tentative="1">
      <w:start w:val="1"/>
      <w:numFmt w:val="bullet"/>
      <w:lvlText w:val="•"/>
      <w:lvlJc w:val="left"/>
      <w:pPr>
        <w:tabs>
          <w:tab w:val="num" w:pos="4320"/>
        </w:tabs>
        <w:ind w:left="4320" w:hanging="360"/>
      </w:pPr>
      <w:rPr>
        <w:rFonts w:ascii="Arial" w:hAnsi="Arial" w:hint="default"/>
      </w:rPr>
    </w:lvl>
    <w:lvl w:ilvl="6" w:tplc="8C38AFA6" w:tentative="1">
      <w:start w:val="1"/>
      <w:numFmt w:val="bullet"/>
      <w:lvlText w:val="•"/>
      <w:lvlJc w:val="left"/>
      <w:pPr>
        <w:tabs>
          <w:tab w:val="num" w:pos="5040"/>
        </w:tabs>
        <w:ind w:left="5040" w:hanging="360"/>
      </w:pPr>
      <w:rPr>
        <w:rFonts w:ascii="Arial" w:hAnsi="Arial" w:hint="default"/>
      </w:rPr>
    </w:lvl>
    <w:lvl w:ilvl="7" w:tplc="19E27D32" w:tentative="1">
      <w:start w:val="1"/>
      <w:numFmt w:val="bullet"/>
      <w:lvlText w:val="•"/>
      <w:lvlJc w:val="left"/>
      <w:pPr>
        <w:tabs>
          <w:tab w:val="num" w:pos="5760"/>
        </w:tabs>
        <w:ind w:left="5760" w:hanging="360"/>
      </w:pPr>
      <w:rPr>
        <w:rFonts w:ascii="Arial" w:hAnsi="Arial" w:hint="default"/>
      </w:rPr>
    </w:lvl>
    <w:lvl w:ilvl="8" w:tplc="65AAC53C" w:tentative="1">
      <w:start w:val="1"/>
      <w:numFmt w:val="bullet"/>
      <w:lvlText w:val="•"/>
      <w:lvlJc w:val="left"/>
      <w:pPr>
        <w:tabs>
          <w:tab w:val="num" w:pos="6480"/>
        </w:tabs>
        <w:ind w:left="6480" w:hanging="360"/>
      </w:pPr>
      <w:rPr>
        <w:rFonts w:ascii="Arial" w:hAnsi="Arial" w:hint="default"/>
      </w:rPr>
    </w:lvl>
  </w:abstractNum>
  <w:abstractNum w:abstractNumId="22">
    <w:nsid w:val="57825CF0"/>
    <w:multiLevelType w:val="hybridMultilevel"/>
    <w:tmpl w:val="EE5E227E"/>
    <w:lvl w:ilvl="0" w:tplc="C768642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C67EBE"/>
    <w:multiLevelType w:val="hybridMultilevel"/>
    <w:tmpl w:val="2D64B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253B69"/>
    <w:multiLevelType w:val="hybridMultilevel"/>
    <w:tmpl w:val="4CD2818E"/>
    <w:lvl w:ilvl="0" w:tplc="3232F2CE">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5">
    <w:nsid w:val="5C405556"/>
    <w:multiLevelType w:val="hybridMultilevel"/>
    <w:tmpl w:val="28F812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E715207"/>
    <w:multiLevelType w:val="multilevel"/>
    <w:tmpl w:val="95929CAE"/>
    <w:lvl w:ilvl="0">
      <w:start w:val="2"/>
      <w:numFmt w:val="decimal"/>
      <w:pStyle w:val="1Titl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795119D"/>
    <w:multiLevelType w:val="hybridMultilevel"/>
    <w:tmpl w:val="6BECC388"/>
    <w:lvl w:ilvl="0" w:tplc="172AE90E">
      <w:start w:val="1"/>
      <w:numFmt w:val="lowerLetter"/>
      <w:lvlText w:val="%1)"/>
      <w:lvlJc w:val="left"/>
      <w:pPr>
        <w:ind w:left="2061" w:hanging="360"/>
      </w:pPr>
      <w:rPr>
        <w:rFonts w:hint="default"/>
        <w:i/>
        <w:color w:val="595959" w:themeColor="text2"/>
        <w:sz w:val="18"/>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8">
    <w:nsid w:val="6AC56452"/>
    <w:multiLevelType w:val="multilevel"/>
    <w:tmpl w:val="E3DC2444"/>
    <w:styleLink w:val="NmerosIseak"/>
    <w:lvl w:ilvl="0">
      <w:start w:val="1"/>
      <w:numFmt w:val="decimal"/>
      <w:lvlText w:val="%1."/>
      <w:lvlJc w:val="left"/>
      <w:pPr>
        <w:ind w:left="283" w:hanging="283"/>
      </w:pPr>
      <w:rPr>
        <w:rFonts w:hAnsi="Arial Unicode MS"/>
        <w:caps w:val="0"/>
        <w:smallCaps w:val="0"/>
        <w:strike w:val="0"/>
        <w:dstrike w:val="0"/>
        <w:color w:val="1232D0"/>
        <w:spacing w:val="0"/>
        <w:w w:val="100"/>
        <w:kern w:val="0"/>
        <w:position w:val="0"/>
        <w:highlight w:val="none"/>
        <w:vertAlign w:val="baseline"/>
      </w:rPr>
    </w:lvl>
    <w:lvl w:ilvl="1">
      <w:start w:val="1"/>
      <w:numFmt w:val="lowerLetter"/>
      <w:suff w:val="nothing"/>
      <w:lvlText w:val="%1.%2."/>
      <w:lvlJc w:val="left"/>
      <w:pPr>
        <w:ind w:left="643" w:hanging="283"/>
      </w:pPr>
      <w:rPr>
        <w:rFonts w:hAnsi="Arial Unicode MS"/>
        <w:caps w:val="0"/>
        <w:smallCaps w:val="0"/>
        <w:strike w:val="0"/>
        <w:dstrike w:val="0"/>
        <w:color w:val="1232D0"/>
        <w:spacing w:val="0"/>
        <w:w w:val="100"/>
        <w:kern w:val="0"/>
        <w:position w:val="0"/>
        <w:highlight w:val="none"/>
        <w:vertAlign w:val="baseline"/>
      </w:rPr>
    </w:lvl>
    <w:lvl w:ilvl="2">
      <w:start w:val="1"/>
      <w:numFmt w:val="lowerRoman"/>
      <w:suff w:val="nothing"/>
      <w:lvlText w:val="%1.%2.%3."/>
      <w:lvlJc w:val="left"/>
      <w:pPr>
        <w:ind w:left="1003" w:hanging="283"/>
      </w:pPr>
      <w:rPr>
        <w:rFonts w:hAnsi="Arial Unicode MS"/>
        <w:caps w:val="0"/>
        <w:smallCaps w:val="0"/>
        <w:strike w:val="0"/>
        <w:dstrike w:val="0"/>
        <w:color w:val="1232D0"/>
        <w:spacing w:val="0"/>
        <w:w w:val="100"/>
        <w:kern w:val="0"/>
        <w:position w:val="0"/>
        <w:highlight w:val="none"/>
        <w:vertAlign w:val="baseline"/>
      </w:rPr>
    </w:lvl>
    <w:lvl w:ilvl="3">
      <w:start w:val="1"/>
      <w:numFmt w:val="decimal"/>
      <w:suff w:val="nothing"/>
      <w:lvlText w:val="%1.%2.%3.%4."/>
      <w:lvlJc w:val="left"/>
      <w:pPr>
        <w:ind w:left="1473" w:hanging="393"/>
      </w:pPr>
      <w:rPr>
        <w:rFonts w:hAnsi="Arial Unicode MS"/>
        <w:caps w:val="0"/>
        <w:smallCaps w:val="0"/>
        <w:strike w:val="0"/>
        <w:dstrike w:val="0"/>
        <w:color w:val="1232D0"/>
        <w:spacing w:val="0"/>
        <w:w w:val="100"/>
        <w:kern w:val="0"/>
        <w:position w:val="0"/>
        <w:highlight w:val="none"/>
        <w:vertAlign w:val="baseline"/>
      </w:rPr>
    </w:lvl>
    <w:lvl w:ilvl="4">
      <w:start w:val="1"/>
      <w:numFmt w:val="decimal"/>
      <w:suff w:val="nothing"/>
      <w:lvlText w:val="%1.%2.%3.%4.%5."/>
      <w:lvlJc w:val="left"/>
      <w:pPr>
        <w:ind w:left="1833" w:hanging="393"/>
      </w:pPr>
      <w:rPr>
        <w:rFonts w:hAnsi="Arial Unicode MS"/>
        <w:caps w:val="0"/>
        <w:smallCaps w:val="0"/>
        <w:strike w:val="0"/>
        <w:dstrike w:val="0"/>
        <w:color w:val="1232D0"/>
        <w:spacing w:val="0"/>
        <w:w w:val="100"/>
        <w:kern w:val="0"/>
        <w:position w:val="0"/>
        <w:highlight w:val="none"/>
        <w:vertAlign w:val="baseline"/>
      </w:rPr>
    </w:lvl>
    <w:lvl w:ilvl="5">
      <w:start w:val="1"/>
      <w:numFmt w:val="decimal"/>
      <w:suff w:val="nothing"/>
      <w:lvlText w:val="%1.%2.%3.%4.%5.%6."/>
      <w:lvlJc w:val="left"/>
      <w:pPr>
        <w:ind w:left="2193" w:hanging="393"/>
      </w:pPr>
      <w:rPr>
        <w:rFonts w:hAnsi="Arial Unicode MS"/>
        <w:caps w:val="0"/>
        <w:smallCaps w:val="0"/>
        <w:strike w:val="0"/>
        <w:dstrike w:val="0"/>
        <w:color w:val="1232D0"/>
        <w:spacing w:val="0"/>
        <w:w w:val="100"/>
        <w:kern w:val="0"/>
        <w:position w:val="0"/>
        <w:highlight w:val="none"/>
        <w:vertAlign w:val="baseline"/>
      </w:rPr>
    </w:lvl>
    <w:lvl w:ilvl="6">
      <w:start w:val="1"/>
      <w:numFmt w:val="decimal"/>
      <w:suff w:val="nothing"/>
      <w:lvlText w:val="%1.%2.%3.%4.%5.%6.%7."/>
      <w:lvlJc w:val="left"/>
      <w:pPr>
        <w:ind w:left="2553" w:hanging="393"/>
      </w:pPr>
      <w:rPr>
        <w:rFonts w:hAnsi="Arial Unicode MS"/>
        <w:caps w:val="0"/>
        <w:smallCaps w:val="0"/>
        <w:strike w:val="0"/>
        <w:dstrike w:val="0"/>
        <w:color w:val="1232D0"/>
        <w:spacing w:val="0"/>
        <w:w w:val="100"/>
        <w:kern w:val="0"/>
        <w:position w:val="0"/>
        <w:highlight w:val="none"/>
        <w:vertAlign w:val="baseline"/>
      </w:rPr>
    </w:lvl>
    <w:lvl w:ilvl="7">
      <w:start w:val="1"/>
      <w:numFmt w:val="decimal"/>
      <w:suff w:val="nothing"/>
      <w:lvlText w:val="%1.%2.%3.%4.%5.%6.%7.%8."/>
      <w:lvlJc w:val="left"/>
      <w:pPr>
        <w:ind w:left="2913" w:hanging="393"/>
      </w:pPr>
      <w:rPr>
        <w:rFonts w:hAnsi="Arial Unicode MS"/>
        <w:caps w:val="0"/>
        <w:smallCaps w:val="0"/>
        <w:strike w:val="0"/>
        <w:dstrike w:val="0"/>
        <w:color w:val="1232D0"/>
        <w:spacing w:val="0"/>
        <w:w w:val="100"/>
        <w:kern w:val="0"/>
        <w:position w:val="0"/>
        <w:highlight w:val="none"/>
        <w:vertAlign w:val="baseline"/>
      </w:rPr>
    </w:lvl>
    <w:lvl w:ilvl="8">
      <w:start w:val="1"/>
      <w:numFmt w:val="decimal"/>
      <w:suff w:val="nothing"/>
      <w:lvlText w:val="%1.%2.%3.%4.%5.%6.%7.%8.%9."/>
      <w:lvlJc w:val="left"/>
      <w:pPr>
        <w:ind w:left="3273" w:hanging="393"/>
      </w:pPr>
      <w:rPr>
        <w:rFonts w:hAnsi="Arial Unicode MS"/>
        <w:caps w:val="0"/>
        <w:smallCaps w:val="0"/>
        <w:strike w:val="0"/>
        <w:dstrike w:val="0"/>
        <w:color w:val="1232D0"/>
        <w:spacing w:val="0"/>
        <w:w w:val="100"/>
        <w:kern w:val="0"/>
        <w:position w:val="0"/>
        <w:highlight w:val="none"/>
        <w:vertAlign w:val="baseline"/>
      </w:rPr>
    </w:lvl>
  </w:abstractNum>
  <w:abstractNum w:abstractNumId="29">
    <w:nsid w:val="6C9D0D9C"/>
    <w:multiLevelType w:val="hybridMultilevel"/>
    <w:tmpl w:val="CDBA0E7A"/>
    <w:lvl w:ilvl="0" w:tplc="6A9EC9B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nsid w:val="738F0DB9"/>
    <w:multiLevelType w:val="hybridMultilevel"/>
    <w:tmpl w:val="282C74E4"/>
    <w:lvl w:ilvl="0" w:tplc="511C0AE6">
      <w:numFmt w:val="bullet"/>
      <w:lvlText w:val="-"/>
      <w:lvlJc w:val="left"/>
      <w:pPr>
        <w:ind w:left="720" w:hanging="360"/>
      </w:pPr>
      <w:rPr>
        <w:rFonts w:ascii="Microsoft JhengHei UI" w:eastAsia="Microsoft JhengHei UI" w:hAnsi="Microsoft JhengHei UI"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1650F5"/>
    <w:multiLevelType w:val="hybridMultilevel"/>
    <w:tmpl w:val="7E7A9DD8"/>
    <w:lvl w:ilvl="0" w:tplc="5EC2C84C">
      <w:start w:val="1"/>
      <w:numFmt w:val="decimal"/>
      <w:lvlText w:val="%1."/>
      <w:lvlJc w:val="left"/>
      <w:pPr>
        <w:ind w:left="2064" w:hanging="170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57E26E6"/>
    <w:multiLevelType w:val="hybridMultilevel"/>
    <w:tmpl w:val="F296EA18"/>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abstractNum w:abstractNumId="33">
    <w:nsid w:val="781D31B4"/>
    <w:multiLevelType w:val="hybridMultilevel"/>
    <w:tmpl w:val="0CCC48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60062"/>
    <w:multiLevelType w:val="hybridMultilevel"/>
    <w:tmpl w:val="C78848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971E5B"/>
    <w:multiLevelType w:val="hybridMultilevel"/>
    <w:tmpl w:val="FC5A8ADA"/>
    <w:lvl w:ilvl="0" w:tplc="CE0C193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6">
    <w:nsid w:val="79C72B6D"/>
    <w:multiLevelType w:val="hybridMultilevel"/>
    <w:tmpl w:val="947A7208"/>
    <w:lvl w:ilvl="0" w:tplc="18200D8A">
      <w:start w:val="1"/>
      <w:numFmt w:val="decimal"/>
      <w:suff w:val="space"/>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A4B741D"/>
    <w:multiLevelType w:val="hybridMultilevel"/>
    <w:tmpl w:val="7BEC7C9C"/>
    <w:styleLink w:val="VietaIseak"/>
    <w:lvl w:ilvl="0" w:tplc="7B0C016E">
      <w:start w:val="1"/>
      <w:numFmt w:val="bullet"/>
      <w:lvlText w:val="→"/>
      <w:lvlJc w:val="left"/>
      <w:pPr>
        <w:ind w:left="283" w:hanging="283"/>
      </w:pPr>
      <w:rPr>
        <w:rFonts w:hAnsi="Arial Unicode MS"/>
        <w:caps w:val="0"/>
        <w:smallCaps w:val="0"/>
        <w:strike w:val="0"/>
        <w:dstrike w:val="0"/>
        <w:color w:val="1232D0"/>
        <w:spacing w:val="0"/>
        <w:w w:val="100"/>
        <w:kern w:val="0"/>
        <w:position w:val="0"/>
        <w:highlight w:val="none"/>
        <w:vertAlign w:val="baseline"/>
      </w:rPr>
    </w:lvl>
    <w:lvl w:ilvl="1" w:tplc="44C841FC">
      <w:start w:val="1"/>
      <w:numFmt w:val="bullet"/>
      <w:lvlText w:val="•"/>
      <w:lvlJc w:val="left"/>
      <w:pPr>
        <w:ind w:left="480" w:hanging="196"/>
      </w:pPr>
      <w:rPr>
        <w:rFonts w:hAnsi="Arial Unicode MS"/>
        <w:caps w:val="0"/>
        <w:smallCaps w:val="0"/>
        <w:strike w:val="0"/>
        <w:dstrike w:val="0"/>
        <w:color w:val="1232D0"/>
        <w:spacing w:val="0"/>
        <w:w w:val="100"/>
        <w:kern w:val="0"/>
        <w:position w:val="-2"/>
        <w:highlight w:val="none"/>
        <w:vertAlign w:val="baseline"/>
      </w:rPr>
    </w:lvl>
    <w:lvl w:ilvl="2" w:tplc="D23E1A0C">
      <w:start w:val="1"/>
      <w:numFmt w:val="bullet"/>
      <w:lvlText w:val="-"/>
      <w:lvlJc w:val="left"/>
      <w:pPr>
        <w:ind w:left="763" w:hanging="196"/>
      </w:pPr>
      <w:rPr>
        <w:rFonts w:hAnsi="Arial Unicode MS"/>
        <w:caps w:val="0"/>
        <w:smallCaps w:val="0"/>
        <w:strike w:val="0"/>
        <w:dstrike w:val="0"/>
        <w:color w:val="1232D0"/>
        <w:spacing w:val="0"/>
        <w:w w:val="100"/>
        <w:kern w:val="0"/>
        <w:position w:val="-2"/>
        <w:highlight w:val="none"/>
        <w:vertAlign w:val="baseline"/>
      </w:rPr>
    </w:lvl>
    <w:lvl w:ilvl="3" w:tplc="875C766E">
      <w:start w:val="1"/>
      <w:numFmt w:val="bullet"/>
      <w:lvlText w:val="✓"/>
      <w:lvlJc w:val="left"/>
      <w:pPr>
        <w:ind w:left="1134" w:hanging="283"/>
      </w:pPr>
      <w:rPr>
        <w:rFonts w:hAnsi="Arial Unicode MS"/>
        <w:caps w:val="0"/>
        <w:smallCaps w:val="0"/>
        <w:strike w:val="0"/>
        <w:dstrike w:val="0"/>
        <w:color w:val="1232D0"/>
        <w:spacing w:val="0"/>
        <w:w w:val="100"/>
        <w:kern w:val="0"/>
        <w:position w:val="-2"/>
        <w:highlight w:val="none"/>
        <w:vertAlign w:val="baseline"/>
      </w:rPr>
    </w:lvl>
    <w:lvl w:ilvl="4" w:tplc="E69215DE">
      <w:start w:val="1"/>
      <w:numFmt w:val="bullet"/>
      <w:lvlText w:val="•"/>
      <w:lvlJc w:val="left"/>
      <w:pPr>
        <w:ind w:left="916" w:hanging="196"/>
      </w:pPr>
      <w:rPr>
        <w:rFonts w:hAnsi="Arial Unicode MS"/>
        <w:caps w:val="0"/>
        <w:smallCaps w:val="0"/>
        <w:strike w:val="0"/>
        <w:dstrike w:val="0"/>
        <w:color w:val="1232D0"/>
        <w:spacing w:val="0"/>
        <w:w w:val="100"/>
        <w:kern w:val="0"/>
        <w:position w:val="-2"/>
        <w:highlight w:val="none"/>
        <w:vertAlign w:val="baseline"/>
      </w:rPr>
    </w:lvl>
    <w:lvl w:ilvl="5" w:tplc="68EA34C4">
      <w:start w:val="1"/>
      <w:numFmt w:val="bullet"/>
      <w:lvlText w:val="•"/>
      <w:lvlJc w:val="left"/>
      <w:pPr>
        <w:ind w:left="1096" w:hanging="196"/>
      </w:pPr>
      <w:rPr>
        <w:rFonts w:hAnsi="Arial Unicode MS"/>
        <w:caps w:val="0"/>
        <w:smallCaps w:val="0"/>
        <w:strike w:val="0"/>
        <w:dstrike w:val="0"/>
        <w:color w:val="1232D0"/>
        <w:spacing w:val="0"/>
        <w:w w:val="100"/>
        <w:kern w:val="0"/>
        <w:position w:val="-2"/>
        <w:highlight w:val="none"/>
        <w:vertAlign w:val="baseline"/>
      </w:rPr>
    </w:lvl>
    <w:lvl w:ilvl="6" w:tplc="A818414A">
      <w:start w:val="1"/>
      <w:numFmt w:val="bullet"/>
      <w:lvlText w:val="•"/>
      <w:lvlJc w:val="left"/>
      <w:pPr>
        <w:ind w:left="1276" w:hanging="196"/>
      </w:pPr>
      <w:rPr>
        <w:rFonts w:hAnsi="Arial Unicode MS"/>
        <w:caps w:val="0"/>
        <w:smallCaps w:val="0"/>
        <w:strike w:val="0"/>
        <w:dstrike w:val="0"/>
        <w:color w:val="1232D0"/>
        <w:spacing w:val="0"/>
        <w:w w:val="100"/>
        <w:kern w:val="0"/>
        <w:position w:val="-2"/>
        <w:highlight w:val="none"/>
        <w:vertAlign w:val="baseline"/>
      </w:rPr>
    </w:lvl>
    <w:lvl w:ilvl="7" w:tplc="0EF2CCC8">
      <w:start w:val="1"/>
      <w:numFmt w:val="bullet"/>
      <w:lvlText w:val="•"/>
      <w:lvlJc w:val="left"/>
      <w:pPr>
        <w:ind w:left="1456" w:hanging="196"/>
      </w:pPr>
      <w:rPr>
        <w:rFonts w:hAnsi="Arial Unicode MS"/>
        <w:caps w:val="0"/>
        <w:smallCaps w:val="0"/>
        <w:strike w:val="0"/>
        <w:dstrike w:val="0"/>
        <w:color w:val="1232D0"/>
        <w:spacing w:val="0"/>
        <w:w w:val="100"/>
        <w:kern w:val="0"/>
        <w:position w:val="-2"/>
        <w:highlight w:val="none"/>
        <w:vertAlign w:val="baseline"/>
      </w:rPr>
    </w:lvl>
    <w:lvl w:ilvl="8" w:tplc="C294642E">
      <w:start w:val="1"/>
      <w:numFmt w:val="bullet"/>
      <w:lvlText w:val="•"/>
      <w:lvlJc w:val="left"/>
      <w:pPr>
        <w:ind w:left="1636" w:hanging="196"/>
      </w:pPr>
      <w:rPr>
        <w:rFonts w:hAnsi="Arial Unicode MS"/>
        <w:caps w:val="0"/>
        <w:smallCaps w:val="0"/>
        <w:strike w:val="0"/>
        <w:dstrike w:val="0"/>
        <w:color w:val="1232D0"/>
        <w:spacing w:val="0"/>
        <w:w w:val="100"/>
        <w:kern w:val="0"/>
        <w:position w:val="-2"/>
        <w:highlight w:val="none"/>
        <w:vertAlign w:val="baseline"/>
      </w:rPr>
    </w:lvl>
  </w:abstractNum>
  <w:abstractNum w:abstractNumId="38">
    <w:nsid w:val="7FA35DE1"/>
    <w:multiLevelType w:val="hybridMultilevel"/>
    <w:tmpl w:val="BDD08C9E"/>
    <w:lvl w:ilvl="0" w:tplc="1B120680">
      <w:start w:val="1"/>
      <w:numFmt w:val="lowerLetter"/>
      <w:lvlText w:val="%1)"/>
      <w:lvlJc w:val="left"/>
      <w:pPr>
        <w:ind w:left="2061" w:hanging="360"/>
      </w:pPr>
      <w:rPr>
        <w:rFonts w:hint="default"/>
        <w:i/>
        <w:color w:val="595959" w:themeColor="text2"/>
        <w:sz w:val="18"/>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2"/>
  </w:num>
  <w:num w:numId="2">
    <w:abstractNumId w:val="31"/>
  </w:num>
  <w:num w:numId="3">
    <w:abstractNumId w:val="6"/>
  </w:num>
  <w:num w:numId="4">
    <w:abstractNumId w:val="19"/>
  </w:num>
  <w:num w:numId="5">
    <w:abstractNumId w:val="28"/>
  </w:num>
  <w:num w:numId="6">
    <w:abstractNumId w:val="1"/>
  </w:num>
  <w:num w:numId="7">
    <w:abstractNumId w:val="37"/>
  </w:num>
  <w:num w:numId="8">
    <w:abstractNumId w:val="7"/>
  </w:num>
  <w:num w:numId="9">
    <w:abstractNumId w:val="15"/>
  </w:num>
  <w:num w:numId="10">
    <w:abstractNumId w:val="22"/>
  </w:num>
  <w:num w:numId="11">
    <w:abstractNumId w:val="18"/>
  </w:num>
  <w:num w:numId="12">
    <w:abstractNumId w:val="9"/>
  </w:num>
  <w:num w:numId="13">
    <w:abstractNumId w:val="26"/>
  </w:num>
  <w:num w:numId="14">
    <w:abstractNumId w:val="16"/>
  </w:num>
  <w:num w:numId="15">
    <w:abstractNumId w:val="21"/>
  </w:num>
  <w:num w:numId="16">
    <w:abstractNumId w:val="24"/>
  </w:num>
  <w:num w:numId="17">
    <w:abstractNumId w:val="32"/>
  </w:num>
  <w:num w:numId="18">
    <w:abstractNumId w:val="30"/>
  </w:num>
  <w:num w:numId="19">
    <w:abstractNumId w:val="11"/>
  </w:num>
  <w:num w:numId="20">
    <w:abstractNumId w:val="2"/>
  </w:num>
  <w:num w:numId="21">
    <w:abstractNumId w:val="0"/>
  </w:num>
  <w:num w:numId="22">
    <w:abstractNumId w:val="36"/>
  </w:num>
  <w:num w:numId="23">
    <w:abstractNumId w:val="25"/>
  </w:num>
  <w:num w:numId="24">
    <w:abstractNumId w:val="4"/>
  </w:num>
  <w:num w:numId="25">
    <w:abstractNumId w:val="14"/>
  </w:num>
  <w:num w:numId="26">
    <w:abstractNumId w:val="5"/>
  </w:num>
  <w:num w:numId="27">
    <w:abstractNumId w:val="10"/>
  </w:num>
  <w:num w:numId="28">
    <w:abstractNumId w:val="33"/>
  </w:num>
  <w:num w:numId="29">
    <w:abstractNumId w:val="3"/>
  </w:num>
  <w:num w:numId="30">
    <w:abstractNumId w:val="17"/>
  </w:num>
  <w:num w:numId="31">
    <w:abstractNumId w:val="27"/>
  </w:num>
  <w:num w:numId="32">
    <w:abstractNumId w:val="13"/>
  </w:num>
  <w:num w:numId="33">
    <w:abstractNumId w:val="29"/>
  </w:num>
  <w:num w:numId="34">
    <w:abstractNumId w:val="35"/>
  </w:num>
  <w:num w:numId="35">
    <w:abstractNumId w:val="23"/>
  </w:num>
  <w:num w:numId="36">
    <w:abstractNumId w:val="20"/>
  </w:num>
  <w:num w:numId="37">
    <w:abstractNumId w:val="8"/>
  </w:num>
  <w:num w:numId="38">
    <w:abstractNumId w:val="38"/>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0" w:nlCheck="1" w:checkStyle="0"/>
  <w:activeWritingStyle w:appName="MSWord" w:lang="de-DE" w:vendorID="64" w:dllVersion="0" w:nlCheck="1" w:checkStyle="0"/>
  <w:activeWritingStyle w:appName="MSWord" w:lang="hu-HU"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efaultTableStyle w:val="GridTable1Light-Accent31"/>
  <w:characterSpacingControl w:val="doNotCompress"/>
  <w:hdrShapeDefaults>
    <o:shapedefaults v:ext="edit" spidmax="4098"/>
  </w:hdrShapeDefaults>
  <w:footnotePr>
    <w:footnote w:id="-1"/>
    <w:footnote w:id="0"/>
  </w:footnotePr>
  <w:endnotePr>
    <w:endnote w:id="-1"/>
    <w:endnote w:id="0"/>
  </w:endnotePr>
  <w:compat/>
  <w:rsids>
    <w:rsidRoot w:val="007D5D95"/>
    <w:rsid w:val="00002C72"/>
    <w:rsid w:val="00004928"/>
    <w:rsid w:val="00004AC1"/>
    <w:rsid w:val="00004B8B"/>
    <w:rsid w:val="00004EC3"/>
    <w:rsid w:val="0000521E"/>
    <w:rsid w:val="00007326"/>
    <w:rsid w:val="00007B49"/>
    <w:rsid w:val="000134E4"/>
    <w:rsid w:val="000151FF"/>
    <w:rsid w:val="00015378"/>
    <w:rsid w:val="00015E8D"/>
    <w:rsid w:val="000174E9"/>
    <w:rsid w:val="00017A46"/>
    <w:rsid w:val="00021BBC"/>
    <w:rsid w:val="000224F0"/>
    <w:rsid w:val="0002539A"/>
    <w:rsid w:val="00026B1C"/>
    <w:rsid w:val="00027045"/>
    <w:rsid w:val="00027831"/>
    <w:rsid w:val="00030C93"/>
    <w:rsid w:val="000349C0"/>
    <w:rsid w:val="00034ACE"/>
    <w:rsid w:val="00041DD4"/>
    <w:rsid w:val="00042CB0"/>
    <w:rsid w:val="00043124"/>
    <w:rsid w:val="00043C9B"/>
    <w:rsid w:val="000443E3"/>
    <w:rsid w:val="00044808"/>
    <w:rsid w:val="000476B5"/>
    <w:rsid w:val="00047E12"/>
    <w:rsid w:val="000510EE"/>
    <w:rsid w:val="000516A9"/>
    <w:rsid w:val="00053AAE"/>
    <w:rsid w:val="00053B60"/>
    <w:rsid w:val="000545AC"/>
    <w:rsid w:val="00061032"/>
    <w:rsid w:val="000618CE"/>
    <w:rsid w:val="000644D0"/>
    <w:rsid w:val="0006473A"/>
    <w:rsid w:val="00065128"/>
    <w:rsid w:val="00066FCB"/>
    <w:rsid w:val="00070CE7"/>
    <w:rsid w:val="00071A55"/>
    <w:rsid w:val="00072302"/>
    <w:rsid w:val="000742EE"/>
    <w:rsid w:val="000802FC"/>
    <w:rsid w:val="000833FF"/>
    <w:rsid w:val="00085D23"/>
    <w:rsid w:val="000867AA"/>
    <w:rsid w:val="00087B3A"/>
    <w:rsid w:val="00092F88"/>
    <w:rsid w:val="00093420"/>
    <w:rsid w:val="00095FAA"/>
    <w:rsid w:val="000A11B3"/>
    <w:rsid w:val="000A236B"/>
    <w:rsid w:val="000A3F2C"/>
    <w:rsid w:val="000A4B95"/>
    <w:rsid w:val="000A6E1E"/>
    <w:rsid w:val="000A7DA1"/>
    <w:rsid w:val="000B037B"/>
    <w:rsid w:val="000B33F0"/>
    <w:rsid w:val="000B3CAD"/>
    <w:rsid w:val="000B50C4"/>
    <w:rsid w:val="000B6268"/>
    <w:rsid w:val="000C0C36"/>
    <w:rsid w:val="000C21C3"/>
    <w:rsid w:val="000C4597"/>
    <w:rsid w:val="000C561F"/>
    <w:rsid w:val="000C6D26"/>
    <w:rsid w:val="000D158E"/>
    <w:rsid w:val="000D2E97"/>
    <w:rsid w:val="000D33BF"/>
    <w:rsid w:val="000D4CDE"/>
    <w:rsid w:val="000D5256"/>
    <w:rsid w:val="000D5599"/>
    <w:rsid w:val="000D657A"/>
    <w:rsid w:val="000D688F"/>
    <w:rsid w:val="000E0367"/>
    <w:rsid w:val="000E03C5"/>
    <w:rsid w:val="000E0F1E"/>
    <w:rsid w:val="000E2450"/>
    <w:rsid w:val="000E3304"/>
    <w:rsid w:val="000F27B1"/>
    <w:rsid w:val="000F2D7D"/>
    <w:rsid w:val="000F2E23"/>
    <w:rsid w:val="000F3375"/>
    <w:rsid w:val="000F3D40"/>
    <w:rsid w:val="000F752E"/>
    <w:rsid w:val="000F7B1B"/>
    <w:rsid w:val="001007E1"/>
    <w:rsid w:val="00106501"/>
    <w:rsid w:val="00106F1E"/>
    <w:rsid w:val="00110583"/>
    <w:rsid w:val="00110D5D"/>
    <w:rsid w:val="00112315"/>
    <w:rsid w:val="00113CE9"/>
    <w:rsid w:val="0011609E"/>
    <w:rsid w:val="001164AB"/>
    <w:rsid w:val="00116591"/>
    <w:rsid w:val="00116835"/>
    <w:rsid w:val="001175FC"/>
    <w:rsid w:val="00117758"/>
    <w:rsid w:val="00117D34"/>
    <w:rsid w:val="00121EAE"/>
    <w:rsid w:val="001258B8"/>
    <w:rsid w:val="00126292"/>
    <w:rsid w:val="001262A6"/>
    <w:rsid w:val="00126D44"/>
    <w:rsid w:val="00126E44"/>
    <w:rsid w:val="001314CC"/>
    <w:rsid w:val="0013194E"/>
    <w:rsid w:val="00133A74"/>
    <w:rsid w:val="001357F7"/>
    <w:rsid w:val="00137EBF"/>
    <w:rsid w:val="001401FB"/>
    <w:rsid w:val="001427A2"/>
    <w:rsid w:val="00142B42"/>
    <w:rsid w:val="00142CAC"/>
    <w:rsid w:val="001446A3"/>
    <w:rsid w:val="00145135"/>
    <w:rsid w:val="00145687"/>
    <w:rsid w:val="001460FE"/>
    <w:rsid w:val="00146360"/>
    <w:rsid w:val="001467F7"/>
    <w:rsid w:val="00147B92"/>
    <w:rsid w:val="0015033A"/>
    <w:rsid w:val="001513D5"/>
    <w:rsid w:val="00156562"/>
    <w:rsid w:val="001569D8"/>
    <w:rsid w:val="001574FA"/>
    <w:rsid w:val="001620F4"/>
    <w:rsid w:val="001627E1"/>
    <w:rsid w:val="00166322"/>
    <w:rsid w:val="00167562"/>
    <w:rsid w:val="001677AF"/>
    <w:rsid w:val="0016782B"/>
    <w:rsid w:val="00170572"/>
    <w:rsid w:val="00170770"/>
    <w:rsid w:val="0017158E"/>
    <w:rsid w:val="001744EF"/>
    <w:rsid w:val="001751DB"/>
    <w:rsid w:val="001755D2"/>
    <w:rsid w:val="001756B2"/>
    <w:rsid w:val="00177B9B"/>
    <w:rsid w:val="001809F8"/>
    <w:rsid w:val="00181FE6"/>
    <w:rsid w:val="00182C9F"/>
    <w:rsid w:val="001833BC"/>
    <w:rsid w:val="001834AF"/>
    <w:rsid w:val="001836AE"/>
    <w:rsid w:val="00186EFA"/>
    <w:rsid w:val="00187E61"/>
    <w:rsid w:val="001904FA"/>
    <w:rsid w:val="0019416F"/>
    <w:rsid w:val="001A0493"/>
    <w:rsid w:val="001A2694"/>
    <w:rsid w:val="001A2F4C"/>
    <w:rsid w:val="001A5090"/>
    <w:rsid w:val="001A591F"/>
    <w:rsid w:val="001B323E"/>
    <w:rsid w:val="001B3BFD"/>
    <w:rsid w:val="001B4423"/>
    <w:rsid w:val="001B46E4"/>
    <w:rsid w:val="001B5FAB"/>
    <w:rsid w:val="001C105A"/>
    <w:rsid w:val="001C2E96"/>
    <w:rsid w:val="001C3E97"/>
    <w:rsid w:val="001C4D4C"/>
    <w:rsid w:val="001C4DCC"/>
    <w:rsid w:val="001C634E"/>
    <w:rsid w:val="001C6941"/>
    <w:rsid w:val="001D236F"/>
    <w:rsid w:val="001D27FB"/>
    <w:rsid w:val="001D52C8"/>
    <w:rsid w:val="001E007A"/>
    <w:rsid w:val="001E224B"/>
    <w:rsid w:val="001E58CE"/>
    <w:rsid w:val="001F1267"/>
    <w:rsid w:val="001F40D7"/>
    <w:rsid w:val="001F5180"/>
    <w:rsid w:val="001F5861"/>
    <w:rsid w:val="001F7A14"/>
    <w:rsid w:val="0020202C"/>
    <w:rsid w:val="0020439C"/>
    <w:rsid w:val="00205A30"/>
    <w:rsid w:val="00206AD2"/>
    <w:rsid w:val="002166C6"/>
    <w:rsid w:val="00221DBB"/>
    <w:rsid w:val="00221F94"/>
    <w:rsid w:val="00225462"/>
    <w:rsid w:val="00226C16"/>
    <w:rsid w:val="00227031"/>
    <w:rsid w:val="00236F18"/>
    <w:rsid w:val="00237371"/>
    <w:rsid w:val="00242FFD"/>
    <w:rsid w:val="002444E9"/>
    <w:rsid w:val="00251383"/>
    <w:rsid w:val="002530A5"/>
    <w:rsid w:val="00254A8D"/>
    <w:rsid w:val="00256A16"/>
    <w:rsid w:val="00256CAA"/>
    <w:rsid w:val="00256F5D"/>
    <w:rsid w:val="0026039C"/>
    <w:rsid w:val="0026181F"/>
    <w:rsid w:val="0026373E"/>
    <w:rsid w:val="00264332"/>
    <w:rsid w:val="002678B6"/>
    <w:rsid w:val="002716B9"/>
    <w:rsid w:val="0027246E"/>
    <w:rsid w:val="00272B59"/>
    <w:rsid w:val="00273D78"/>
    <w:rsid w:val="002743C4"/>
    <w:rsid w:val="002758A8"/>
    <w:rsid w:val="002760F0"/>
    <w:rsid w:val="00276DD6"/>
    <w:rsid w:val="00280047"/>
    <w:rsid w:val="0028054A"/>
    <w:rsid w:val="00281A3B"/>
    <w:rsid w:val="00281C42"/>
    <w:rsid w:val="00285897"/>
    <w:rsid w:val="002871EE"/>
    <w:rsid w:val="0028754B"/>
    <w:rsid w:val="0028793F"/>
    <w:rsid w:val="002902E1"/>
    <w:rsid w:val="0029158D"/>
    <w:rsid w:val="002920F9"/>
    <w:rsid w:val="002936D1"/>
    <w:rsid w:val="00293A93"/>
    <w:rsid w:val="00293D66"/>
    <w:rsid w:val="00293FFC"/>
    <w:rsid w:val="002A31D0"/>
    <w:rsid w:val="002A5A84"/>
    <w:rsid w:val="002A5D9D"/>
    <w:rsid w:val="002A6BD6"/>
    <w:rsid w:val="002B0167"/>
    <w:rsid w:val="002B3396"/>
    <w:rsid w:val="002B3E85"/>
    <w:rsid w:val="002B4FB1"/>
    <w:rsid w:val="002B58DA"/>
    <w:rsid w:val="002B5CC6"/>
    <w:rsid w:val="002B758B"/>
    <w:rsid w:val="002C0A4C"/>
    <w:rsid w:val="002C1457"/>
    <w:rsid w:val="002C1B96"/>
    <w:rsid w:val="002C207D"/>
    <w:rsid w:val="002C2DD5"/>
    <w:rsid w:val="002C739A"/>
    <w:rsid w:val="002C78A6"/>
    <w:rsid w:val="002D3576"/>
    <w:rsid w:val="002D425D"/>
    <w:rsid w:val="002D7AB7"/>
    <w:rsid w:val="002E17D1"/>
    <w:rsid w:val="002E1E9B"/>
    <w:rsid w:val="002E5113"/>
    <w:rsid w:val="002E77D3"/>
    <w:rsid w:val="002E7E67"/>
    <w:rsid w:val="002F0AB8"/>
    <w:rsid w:val="002F1C6B"/>
    <w:rsid w:val="002F23BF"/>
    <w:rsid w:val="002F3057"/>
    <w:rsid w:val="002F4A5D"/>
    <w:rsid w:val="002F5104"/>
    <w:rsid w:val="002F5AF6"/>
    <w:rsid w:val="003000D4"/>
    <w:rsid w:val="00300601"/>
    <w:rsid w:val="00302874"/>
    <w:rsid w:val="003041CD"/>
    <w:rsid w:val="0030493B"/>
    <w:rsid w:val="003050BF"/>
    <w:rsid w:val="0031035F"/>
    <w:rsid w:val="003159EB"/>
    <w:rsid w:val="003168EB"/>
    <w:rsid w:val="003171A2"/>
    <w:rsid w:val="00320E43"/>
    <w:rsid w:val="00322DE7"/>
    <w:rsid w:val="003242BC"/>
    <w:rsid w:val="00326765"/>
    <w:rsid w:val="00326E49"/>
    <w:rsid w:val="003272AD"/>
    <w:rsid w:val="00332934"/>
    <w:rsid w:val="00332FAB"/>
    <w:rsid w:val="00337EFA"/>
    <w:rsid w:val="0034093D"/>
    <w:rsid w:val="00342827"/>
    <w:rsid w:val="00342880"/>
    <w:rsid w:val="003450C5"/>
    <w:rsid w:val="0034585A"/>
    <w:rsid w:val="003513F9"/>
    <w:rsid w:val="003517A8"/>
    <w:rsid w:val="00352953"/>
    <w:rsid w:val="00352B7A"/>
    <w:rsid w:val="003556F9"/>
    <w:rsid w:val="00360C79"/>
    <w:rsid w:val="0036116F"/>
    <w:rsid w:val="0036292D"/>
    <w:rsid w:val="0036614A"/>
    <w:rsid w:val="0036739B"/>
    <w:rsid w:val="00367E7B"/>
    <w:rsid w:val="00370AF6"/>
    <w:rsid w:val="00370B27"/>
    <w:rsid w:val="00370ECC"/>
    <w:rsid w:val="003730E3"/>
    <w:rsid w:val="003731C8"/>
    <w:rsid w:val="00377E03"/>
    <w:rsid w:val="00381679"/>
    <w:rsid w:val="00381DBA"/>
    <w:rsid w:val="0038277D"/>
    <w:rsid w:val="00383358"/>
    <w:rsid w:val="00384362"/>
    <w:rsid w:val="0038593E"/>
    <w:rsid w:val="003862BF"/>
    <w:rsid w:val="00387012"/>
    <w:rsid w:val="003912E9"/>
    <w:rsid w:val="00391F37"/>
    <w:rsid w:val="00392F4F"/>
    <w:rsid w:val="00394190"/>
    <w:rsid w:val="00394F8E"/>
    <w:rsid w:val="00396AED"/>
    <w:rsid w:val="00397083"/>
    <w:rsid w:val="003A430A"/>
    <w:rsid w:val="003A58C4"/>
    <w:rsid w:val="003B079E"/>
    <w:rsid w:val="003B0883"/>
    <w:rsid w:val="003B0A17"/>
    <w:rsid w:val="003B38D0"/>
    <w:rsid w:val="003B5A30"/>
    <w:rsid w:val="003B5AD4"/>
    <w:rsid w:val="003B6A3A"/>
    <w:rsid w:val="003B79C8"/>
    <w:rsid w:val="003C0FE8"/>
    <w:rsid w:val="003C2343"/>
    <w:rsid w:val="003D5DAB"/>
    <w:rsid w:val="003D6BD6"/>
    <w:rsid w:val="003E0031"/>
    <w:rsid w:val="003E25D8"/>
    <w:rsid w:val="003E28FA"/>
    <w:rsid w:val="003E3444"/>
    <w:rsid w:val="003E3E94"/>
    <w:rsid w:val="003E40E2"/>
    <w:rsid w:val="003E48D2"/>
    <w:rsid w:val="003E59C8"/>
    <w:rsid w:val="003F120B"/>
    <w:rsid w:val="003F2193"/>
    <w:rsid w:val="003F7CF7"/>
    <w:rsid w:val="00401591"/>
    <w:rsid w:val="00403E25"/>
    <w:rsid w:val="004070FB"/>
    <w:rsid w:val="00411A51"/>
    <w:rsid w:val="00412A13"/>
    <w:rsid w:val="00416EDD"/>
    <w:rsid w:val="0042041A"/>
    <w:rsid w:val="00424420"/>
    <w:rsid w:val="0042468F"/>
    <w:rsid w:val="00430DC2"/>
    <w:rsid w:val="004329CE"/>
    <w:rsid w:val="00443869"/>
    <w:rsid w:val="004450FD"/>
    <w:rsid w:val="00445C39"/>
    <w:rsid w:val="00446A38"/>
    <w:rsid w:val="00447A5F"/>
    <w:rsid w:val="00450865"/>
    <w:rsid w:val="0045122C"/>
    <w:rsid w:val="00451926"/>
    <w:rsid w:val="00454EA8"/>
    <w:rsid w:val="00457999"/>
    <w:rsid w:val="00463358"/>
    <w:rsid w:val="004663E1"/>
    <w:rsid w:val="0046652B"/>
    <w:rsid w:val="00466B0D"/>
    <w:rsid w:val="00466ED4"/>
    <w:rsid w:val="00471455"/>
    <w:rsid w:val="00472033"/>
    <w:rsid w:val="0047340C"/>
    <w:rsid w:val="0047342A"/>
    <w:rsid w:val="004741A5"/>
    <w:rsid w:val="00475C64"/>
    <w:rsid w:val="004778E0"/>
    <w:rsid w:val="0048058F"/>
    <w:rsid w:val="00480A97"/>
    <w:rsid w:val="004831B2"/>
    <w:rsid w:val="00483414"/>
    <w:rsid w:val="00486375"/>
    <w:rsid w:val="004863A5"/>
    <w:rsid w:val="00486946"/>
    <w:rsid w:val="0049797A"/>
    <w:rsid w:val="00497FD8"/>
    <w:rsid w:val="004A16F2"/>
    <w:rsid w:val="004A1BF7"/>
    <w:rsid w:val="004A21DD"/>
    <w:rsid w:val="004A3077"/>
    <w:rsid w:val="004A3BE2"/>
    <w:rsid w:val="004A45F1"/>
    <w:rsid w:val="004A564C"/>
    <w:rsid w:val="004A5B07"/>
    <w:rsid w:val="004B1622"/>
    <w:rsid w:val="004B2F70"/>
    <w:rsid w:val="004B5DAF"/>
    <w:rsid w:val="004B6054"/>
    <w:rsid w:val="004B7CAA"/>
    <w:rsid w:val="004B7D68"/>
    <w:rsid w:val="004C06D2"/>
    <w:rsid w:val="004C0AE9"/>
    <w:rsid w:val="004C3483"/>
    <w:rsid w:val="004C50A0"/>
    <w:rsid w:val="004C54AF"/>
    <w:rsid w:val="004C5C92"/>
    <w:rsid w:val="004C7728"/>
    <w:rsid w:val="004D00FD"/>
    <w:rsid w:val="004D2470"/>
    <w:rsid w:val="004D32B6"/>
    <w:rsid w:val="004D5BCF"/>
    <w:rsid w:val="004D7B4F"/>
    <w:rsid w:val="004E0E31"/>
    <w:rsid w:val="004E162C"/>
    <w:rsid w:val="004E2CE4"/>
    <w:rsid w:val="004E4693"/>
    <w:rsid w:val="004E55D7"/>
    <w:rsid w:val="004E6172"/>
    <w:rsid w:val="004E7738"/>
    <w:rsid w:val="004F0443"/>
    <w:rsid w:val="005002B1"/>
    <w:rsid w:val="00500CE3"/>
    <w:rsid w:val="00501732"/>
    <w:rsid w:val="00505D96"/>
    <w:rsid w:val="00507B08"/>
    <w:rsid w:val="00511D0D"/>
    <w:rsid w:val="0051230C"/>
    <w:rsid w:val="00512AE5"/>
    <w:rsid w:val="00512B67"/>
    <w:rsid w:val="00512F76"/>
    <w:rsid w:val="00513562"/>
    <w:rsid w:val="005138A0"/>
    <w:rsid w:val="005170C4"/>
    <w:rsid w:val="0051776A"/>
    <w:rsid w:val="00517D75"/>
    <w:rsid w:val="00520578"/>
    <w:rsid w:val="0052385A"/>
    <w:rsid w:val="00526906"/>
    <w:rsid w:val="00526CA0"/>
    <w:rsid w:val="005278B1"/>
    <w:rsid w:val="0053170E"/>
    <w:rsid w:val="0053255F"/>
    <w:rsid w:val="00532C2C"/>
    <w:rsid w:val="00536F7C"/>
    <w:rsid w:val="00537786"/>
    <w:rsid w:val="00537924"/>
    <w:rsid w:val="00540A8E"/>
    <w:rsid w:val="00540F70"/>
    <w:rsid w:val="0054509A"/>
    <w:rsid w:val="00545234"/>
    <w:rsid w:val="00550754"/>
    <w:rsid w:val="005519AD"/>
    <w:rsid w:val="00552B59"/>
    <w:rsid w:val="00554965"/>
    <w:rsid w:val="005551A8"/>
    <w:rsid w:val="005575BD"/>
    <w:rsid w:val="00560562"/>
    <w:rsid w:val="00561135"/>
    <w:rsid w:val="00563B12"/>
    <w:rsid w:val="00564258"/>
    <w:rsid w:val="00565F69"/>
    <w:rsid w:val="0056603E"/>
    <w:rsid w:val="00572526"/>
    <w:rsid w:val="005756B0"/>
    <w:rsid w:val="00577898"/>
    <w:rsid w:val="00580A75"/>
    <w:rsid w:val="0058533B"/>
    <w:rsid w:val="00585BD0"/>
    <w:rsid w:val="00585F48"/>
    <w:rsid w:val="00586A31"/>
    <w:rsid w:val="00586B35"/>
    <w:rsid w:val="0058786E"/>
    <w:rsid w:val="0059097C"/>
    <w:rsid w:val="0059460C"/>
    <w:rsid w:val="00594D40"/>
    <w:rsid w:val="00597162"/>
    <w:rsid w:val="00597EAB"/>
    <w:rsid w:val="00597F13"/>
    <w:rsid w:val="005A0EAE"/>
    <w:rsid w:val="005A1E11"/>
    <w:rsid w:val="005A6142"/>
    <w:rsid w:val="005A7CEB"/>
    <w:rsid w:val="005A7F47"/>
    <w:rsid w:val="005B1CD6"/>
    <w:rsid w:val="005B1F48"/>
    <w:rsid w:val="005B4EB1"/>
    <w:rsid w:val="005B500E"/>
    <w:rsid w:val="005B68AE"/>
    <w:rsid w:val="005C2902"/>
    <w:rsid w:val="005C30EB"/>
    <w:rsid w:val="005C3B03"/>
    <w:rsid w:val="005D236B"/>
    <w:rsid w:val="005D239C"/>
    <w:rsid w:val="005D5AD3"/>
    <w:rsid w:val="005D6F63"/>
    <w:rsid w:val="005E266A"/>
    <w:rsid w:val="005E26EF"/>
    <w:rsid w:val="005E4C85"/>
    <w:rsid w:val="005E4F95"/>
    <w:rsid w:val="005E5D9F"/>
    <w:rsid w:val="005F1169"/>
    <w:rsid w:val="005F1411"/>
    <w:rsid w:val="005F1739"/>
    <w:rsid w:val="005F29CA"/>
    <w:rsid w:val="005F2F3B"/>
    <w:rsid w:val="005F3050"/>
    <w:rsid w:val="005F6AF1"/>
    <w:rsid w:val="005F71AB"/>
    <w:rsid w:val="006010DC"/>
    <w:rsid w:val="00601AF7"/>
    <w:rsid w:val="00601EF7"/>
    <w:rsid w:val="006040A6"/>
    <w:rsid w:val="0060683E"/>
    <w:rsid w:val="006070DB"/>
    <w:rsid w:val="00607D80"/>
    <w:rsid w:val="0061193C"/>
    <w:rsid w:val="006122D0"/>
    <w:rsid w:val="006127A8"/>
    <w:rsid w:val="00613211"/>
    <w:rsid w:val="00617AC5"/>
    <w:rsid w:val="006200FA"/>
    <w:rsid w:val="00620EA3"/>
    <w:rsid w:val="00621388"/>
    <w:rsid w:val="006220F0"/>
    <w:rsid w:val="0062220E"/>
    <w:rsid w:val="00623F67"/>
    <w:rsid w:val="00624487"/>
    <w:rsid w:val="00625823"/>
    <w:rsid w:val="00626DF0"/>
    <w:rsid w:val="006306FA"/>
    <w:rsid w:val="00634458"/>
    <w:rsid w:val="00640CAA"/>
    <w:rsid w:val="006412AE"/>
    <w:rsid w:val="00641689"/>
    <w:rsid w:val="00642639"/>
    <w:rsid w:val="00644B71"/>
    <w:rsid w:val="00650DB5"/>
    <w:rsid w:val="006512C7"/>
    <w:rsid w:val="006533ED"/>
    <w:rsid w:val="0065472B"/>
    <w:rsid w:val="00660395"/>
    <w:rsid w:val="00661E5C"/>
    <w:rsid w:val="0066347B"/>
    <w:rsid w:val="00663836"/>
    <w:rsid w:val="00663F50"/>
    <w:rsid w:val="00664107"/>
    <w:rsid w:val="00664334"/>
    <w:rsid w:val="00666861"/>
    <w:rsid w:val="006670DD"/>
    <w:rsid w:val="006674D6"/>
    <w:rsid w:val="00667553"/>
    <w:rsid w:val="006766C5"/>
    <w:rsid w:val="00676B01"/>
    <w:rsid w:val="006807E4"/>
    <w:rsid w:val="00681DC9"/>
    <w:rsid w:val="006825D3"/>
    <w:rsid w:val="00684052"/>
    <w:rsid w:val="0068611A"/>
    <w:rsid w:val="00687D08"/>
    <w:rsid w:val="006900FB"/>
    <w:rsid w:val="00690308"/>
    <w:rsid w:val="00690AA6"/>
    <w:rsid w:val="00691045"/>
    <w:rsid w:val="00691210"/>
    <w:rsid w:val="006933CC"/>
    <w:rsid w:val="00693A1A"/>
    <w:rsid w:val="006948D3"/>
    <w:rsid w:val="0069551F"/>
    <w:rsid w:val="00696A50"/>
    <w:rsid w:val="006A0BF1"/>
    <w:rsid w:val="006A2B25"/>
    <w:rsid w:val="006A41DD"/>
    <w:rsid w:val="006A42B5"/>
    <w:rsid w:val="006A6969"/>
    <w:rsid w:val="006B138F"/>
    <w:rsid w:val="006B2E5C"/>
    <w:rsid w:val="006B423C"/>
    <w:rsid w:val="006B6106"/>
    <w:rsid w:val="006C0F2A"/>
    <w:rsid w:val="006C20A7"/>
    <w:rsid w:val="006C2761"/>
    <w:rsid w:val="006C35E4"/>
    <w:rsid w:val="006C5529"/>
    <w:rsid w:val="006D002A"/>
    <w:rsid w:val="006D0220"/>
    <w:rsid w:val="006D20AB"/>
    <w:rsid w:val="006D3636"/>
    <w:rsid w:val="006D3A74"/>
    <w:rsid w:val="006D55B3"/>
    <w:rsid w:val="006D56B0"/>
    <w:rsid w:val="006D795B"/>
    <w:rsid w:val="006E14B1"/>
    <w:rsid w:val="006E3208"/>
    <w:rsid w:val="006E4765"/>
    <w:rsid w:val="006F0992"/>
    <w:rsid w:val="006F1A20"/>
    <w:rsid w:val="006F2087"/>
    <w:rsid w:val="006F2827"/>
    <w:rsid w:val="006F362A"/>
    <w:rsid w:val="006F4041"/>
    <w:rsid w:val="006F46CA"/>
    <w:rsid w:val="006F502C"/>
    <w:rsid w:val="006F567F"/>
    <w:rsid w:val="006F5EB4"/>
    <w:rsid w:val="00702507"/>
    <w:rsid w:val="00705C3F"/>
    <w:rsid w:val="00712C9B"/>
    <w:rsid w:val="00714243"/>
    <w:rsid w:val="007144C3"/>
    <w:rsid w:val="00715F77"/>
    <w:rsid w:val="00717499"/>
    <w:rsid w:val="007175CF"/>
    <w:rsid w:val="00720C67"/>
    <w:rsid w:val="00720DA6"/>
    <w:rsid w:val="0072395E"/>
    <w:rsid w:val="00727125"/>
    <w:rsid w:val="007302B4"/>
    <w:rsid w:val="00731E22"/>
    <w:rsid w:val="007328B0"/>
    <w:rsid w:val="007337B3"/>
    <w:rsid w:val="00733B97"/>
    <w:rsid w:val="00740374"/>
    <w:rsid w:val="00741364"/>
    <w:rsid w:val="007421F8"/>
    <w:rsid w:val="007422E2"/>
    <w:rsid w:val="00742397"/>
    <w:rsid w:val="00742AE8"/>
    <w:rsid w:val="00743A78"/>
    <w:rsid w:val="00745575"/>
    <w:rsid w:val="007460CA"/>
    <w:rsid w:val="00746AB6"/>
    <w:rsid w:val="007573D9"/>
    <w:rsid w:val="007603DB"/>
    <w:rsid w:val="00762EF1"/>
    <w:rsid w:val="007637AE"/>
    <w:rsid w:val="0076458C"/>
    <w:rsid w:val="007646D2"/>
    <w:rsid w:val="00764DDE"/>
    <w:rsid w:val="0076751F"/>
    <w:rsid w:val="00767B6F"/>
    <w:rsid w:val="00770121"/>
    <w:rsid w:val="00771858"/>
    <w:rsid w:val="00771B90"/>
    <w:rsid w:val="007731C8"/>
    <w:rsid w:val="0077333D"/>
    <w:rsid w:val="007757A5"/>
    <w:rsid w:val="00775E41"/>
    <w:rsid w:val="00777BE1"/>
    <w:rsid w:val="00784488"/>
    <w:rsid w:val="007845A9"/>
    <w:rsid w:val="007871F6"/>
    <w:rsid w:val="00796C59"/>
    <w:rsid w:val="00797A31"/>
    <w:rsid w:val="007A141A"/>
    <w:rsid w:val="007A153D"/>
    <w:rsid w:val="007A287D"/>
    <w:rsid w:val="007A3396"/>
    <w:rsid w:val="007A3820"/>
    <w:rsid w:val="007A3A3E"/>
    <w:rsid w:val="007A4EB7"/>
    <w:rsid w:val="007A71E5"/>
    <w:rsid w:val="007A72E3"/>
    <w:rsid w:val="007A79D5"/>
    <w:rsid w:val="007B3802"/>
    <w:rsid w:val="007B395C"/>
    <w:rsid w:val="007B412D"/>
    <w:rsid w:val="007B74BB"/>
    <w:rsid w:val="007B782E"/>
    <w:rsid w:val="007C15D0"/>
    <w:rsid w:val="007C25C0"/>
    <w:rsid w:val="007C468F"/>
    <w:rsid w:val="007C5CA3"/>
    <w:rsid w:val="007D03D5"/>
    <w:rsid w:val="007D1B19"/>
    <w:rsid w:val="007D4F48"/>
    <w:rsid w:val="007D59F7"/>
    <w:rsid w:val="007D5D95"/>
    <w:rsid w:val="007D68E2"/>
    <w:rsid w:val="007D6EAB"/>
    <w:rsid w:val="007E0929"/>
    <w:rsid w:val="007E0F91"/>
    <w:rsid w:val="007E1118"/>
    <w:rsid w:val="007E2682"/>
    <w:rsid w:val="007F09BA"/>
    <w:rsid w:val="007F2DBA"/>
    <w:rsid w:val="007F30A2"/>
    <w:rsid w:val="007F6782"/>
    <w:rsid w:val="007F6938"/>
    <w:rsid w:val="007F711C"/>
    <w:rsid w:val="007F76B0"/>
    <w:rsid w:val="007F7E17"/>
    <w:rsid w:val="00800554"/>
    <w:rsid w:val="00800ADF"/>
    <w:rsid w:val="008042C6"/>
    <w:rsid w:val="008049FA"/>
    <w:rsid w:val="008063B6"/>
    <w:rsid w:val="00807B73"/>
    <w:rsid w:val="00811E25"/>
    <w:rsid w:val="00811F97"/>
    <w:rsid w:val="00812383"/>
    <w:rsid w:val="00814743"/>
    <w:rsid w:val="00815287"/>
    <w:rsid w:val="008179E3"/>
    <w:rsid w:val="0082253D"/>
    <w:rsid w:val="00822E98"/>
    <w:rsid w:val="0082516B"/>
    <w:rsid w:val="008254DA"/>
    <w:rsid w:val="00827384"/>
    <w:rsid w:val="00831073"/>
    <w:rsid w:val="00837917"/>
    <w:rsid w:val="00841BDA"/>
    <w:rsid w:val="00842765"/>
    <w:rsid w:val="00844028"/>
    <w:rsid w:val="00847222"/>
    <w:rsid w:val="008501E1"/>
    <w:rsid w:val="00851ED5"/>
    <w:rsid w:val="008537DE"/>
    <w:rsid w:val="00855251"/>
    <w:rsid w:val="00855621"/>
    <w:rsid w:val="008567B4"/>
    <w:rsid w:val="008568B7"/>
    <w:rsid w:val="0086000E"/>
    <w:rsid w:val="008618F8"/>
    <w:rsid w:val="0086372D"/>
    <w:rsid w:val="0086716B"/>
    <w:rsid w:val="008711ED"/>
    <w:rsid w:val="00875CC7"/>
    <w:rsid w:val="00875E9D"/>
    <w:rsid w:val="00877179"/>
    <w:rsid w:val="00877BC7"/>
    <w:rsid w:val="00880B8D"/>
    <w:rsid w:val="008814FF"/>
    <w:rsid w:val="008834B4"/>
    <w:rsid w:val="008846FC"/>
    <w:rsid w:val="008852DC"/>
    <w:rsid w:val="008907DE"/>
    <w:rsid w:val="008930C4"/>
    <w:rsid w:val="00894049"/>
    <w:rsid w:val="00894EDC"/>
    <w:rsid w:val="00894EF8"/>
    <w:rsid w:val="0089671B"/>
    <w:rsid w:val="008A2A06"/>
    <w:rsid w:val="008A631A"/>
    <w:rsid w:val="008A6AE5"/>
    <w:rsid w:val="008B1792"/>
    <w:rsid w:val="008B5E85"/>
    <w:rsid w:val="008B6D72"/>
    <w:rsid w:val="008C0004"/>
    <w:rsid w:val="008C0CD4"/>
    <w:rsid w:val="008C2AA1"/>
    <w:rsid w:val="008C3C25"/>
    <w:rsid w:val="008C412F"/>
    <w:rsid w:val="008D1108"/>
    <w:rsid w:val="008D13E6"/>
    <w:rsid w:val="008D27D0"/>
    <w:rsid w:val="008D378E"/>
    <w:rsid w:val="008D473E"/>
    <w:rsid w:val="008D4890"/>
    <w:rsid w:val="008D6B43"/>
    <w:rsid w:val="008D757D"/>
    <w:rsid w:val="008E0615"/>
    <w:rsid w:val="008E389F"/>
    <w:rsid w:val="008E3A9E"/>
    <w:rsid w:val="008E7B9B"/>
    <w:rsid w:val="009005C0"/>
    <w:rsid w:val="009006E0"/>
    <w:rsid w:val="0090083B"/>
    <w:rsid w:val="00900EB1"/>
    <w:rsid w:val="0090124C"/>
    <w:rsid w:val="00901E75"/>
    <w:rsid w:val="009026E1"/>
    <w:rsid w:val="00902967"/>
    <w:rsid w:val="00902B32"/>
    <w:rsid w:val="009031A0"/>
    <w:rsid w:val="00905FD0"/>
    <w:rsid w:val="00910944"/>
    <w:rsid w:val="0091311D"/>
    <w:rsid w:val="00915611"/>
    <w:rsid w:val="0091689F"/>
    <w:rsid w:val="009169DE"/>
    <w:rsid w:val="009205C2"/>
    <w:rsid w:val="00922755"/>
    <w:rsid w:val="009235EF"/>
    <w:rsid w:val="00923946"/>
    <w:rsid w:val="009241B5"/>
    <w:rsid w:val="0093073F"/>
    <w:rsid w:val="00931551"/>
    <w:rsid w:val="00933178"/>
    <w:rsid w:val="00936E48"/>
    <w:rsid w:val="00937258"/>
    <w:rsid w:val="00937965"/>
    <w:rsid w:val="0094613A"/>
    <w:rsid w:val="00950DCC"/>
    <w:rsid w:val="00952FED"/>
    <w:rsid w:val="009557AC"/>
    <w:rsid w:val="009567C8"/>
    <w:rsid w:val="00960684"/>
    <w:rsid w:val="00963AAC"/>
    <w:rsid w:val="00964109"/>
    <w:rsid w:val="00964312"/>
    <w:rsid w:val="00964F31"/>
    <w:rsid w:val="009703B0"/>
    <w:rsid w:val="0097057A"/>
    <w:rsid w:val="00971F68"/>
    <w:rsid w:val="00973CF2"/>
    <w:rsid w:val="00974315"/>
    <w:rsid w:val="00977358"/>
    <w:rsid w:val="00980887"/>
    <w:rsid w:val="00981D78"/>
    <w:rsid w:val="00983ED9"/>
    <w:rsid w:val="00984B1F"/>
    <w:rsid w:val="00984BAB"/>
    <w:rsid w:val="00985514"/>
    <w:rsid w:val="009857F6"/>
    <w:rsid w:val="009867D1"/>
    <w:rsid w:val="00986893"/>
    <w:rsid w:val="0099121F"/>
    <w:rsid w:val="00992869"/>
    <w:rsid w:val="00994C9D"/>
    <w:rsid w:val="00995EC9"/>
    <w:rsid w:val="00997B1A"/>
    <w:rsid w:val="009A48BB"/>
    <w:rsid w:val="009A5329"/>
    <w:rsid w:val="009A575C"/>
    <w:rsid w:val="009A57A8"/>
    <w:rsid w:val="009A5904"/>
    <w:rsid w:val="009B11A5"/>
    <w:rsid w:val="009B1421"/>
    <w:rsid w:val="009B2708"/>
    <w:rsid w:val="009B312B"/>
    <w:rsid w:val="009B4D47"/>
    <w:rsid w:val="009B5D9C"/>
    <w:rsid w:val="009B5D9D"/>
    <w:rsid w:val="009B63B7"/>
    <w:rsid w:val="009B73C0"/>
    <w:rsid w:val="009B7638"/>
    <w:rsid w:val="009B7711"/>
    <w:rsid w:val="009B7B7E"/>
    <w:rsid w:val="009C0C89"/>
    <w:rsid w:val="009C0D4B"/>
    <w:rsid w:val="009C73F2"/>
    <w:rsid w:val="009C7CF4"/>
    <w:rsid w:val="009D2715"/>
    <w:rsid w:val="009D52DC"/>
    <w:rsid w:val="009D60A5"/>
    <w:rsid w:val="009D7858"/>
    <w:rsid w:val="009E2353"/>
    <w:rsid w:val="009E23FB"/>
    <w:rsid w:val="009E6ABD"/>
    <w:rsid w:val="009E765C"/>
    <w:rsid w:val="009F1210"/>
    <w:rsid w:val="009F2C70"/>
    <w:rsid w:val="009F43CD"/>
    <w:rsid w:val="009F49F0"/>
    <w:rsid w:val="00A013D7"/>
    <w:rsid w:val="00A0313F"/>
    <w:rsid w:val="00A0610F"/>
    <w:rsid w:val="00A13EC9"/>
    <w:rsid w:val="00A172FA"/>
    <w:rsid w:val="00A17961"/>
    <w:rsid w:val="00A17B89"/>
    <w:rsid w:val="00A17EE0"/>
    <w:rsid w:val="00A20987"/>
    <w:rsid w:val="00A20BE5"/>
    <w:rsid w:val="00A21463"/>
    <w:rsid w:val="00A21BE5"/>
    <w:rsid w:val="00A22159"/>
    <w:rsid w:val="00A238D3"/>
    <w:rsid w:val="00A26C39"/>
    <w:rsid w:val="00A271F2"/>
    <w:rsid w:val="00A33314"/>
    <w:rsid w:val="00A33982"/>
    <w:rsid w:val="00A34949"/>
    <w:rsid w:val="00A359DB"/>
    <w:rsid w:val="00A37073"/>
    <w:rsid w:val="00A4015B"/>
    <w:rsid w:val="00A40593"/>
    <w:rsid w:val="00A4131E"/>
    <w:rsid w:val="00A41EE6"/>
    <w:rsid w:val="00A44ECE"/>
    <w:rsid w:val="00A50A20"/>
    <w:rsid w:val="00A50DA6"/>
    <w:rsid w:val="00A51C27"/>
    <w:rsid w:val="00A5319A"/>
    <w:rsid w:val="00A54569"/>
    <w:rsid w:val="00A54AB5"/>
    <w:rsid w:val="00A55C96"/>
    <w:rsid w:val="00A56E9F"/>
    <w:rsid w:val="00A5741A"/>
    <w:rsid w:val="00A6231E"/>
    <w:rsid w:val="00A62EBE"/>
    <w:rsid w:val="00A673D3"/>
    <w:rsid w:val="00A67526"/>
    <w:rsid w:val="00A71C39"/>
    <w:rsid w:val="00A722FB"/>
    <w:rsid w:val="00A725BD"/>
    <w:rsid w:val="00A738FF"/>
    <w:rsid w:val="00A7634B"/>
    <w:rsid w:val="00A76651"/>
    <w:rsid w:val="00A8129E"/>
    <w:rsid w:val="00A816DA"/>
    <w:rsid w:val="00A824A6"/>
    <w:rsid w:val="00A82CE9"/>
    <w:rsid w:val="00A83C28"/>
    <w:rsid w:val="00A84F6D"/>
    <w:rsid w:val="00A91361"/>
    <w:rsid w:val="00A92C2A"/>
    <w:rsid w:val="00A93A4D"/>
    <w:rsid w:val="00A94F04"/>
    <w:rsid w:val="00AA227B"/>
    <w:rsid w:val="00AA22F1"/>
    <w:rsid w:val="00AA23B0"/>
    <w:rsid w:val="00AA423F"/>
    <w:rsid w:val="00AB04AF"/>
    <w:rsid w:val="00AB1452"/>
    <w:rsid w:val="00AB26F7"/>
    <w:rsid w:val="00AB2E69"/>
    <w:rsid w:val="00AB41CE"/>
    <w:rsid w:val="00AB4B3B"/>
    <w:rsid w:val="00AB5C71"/>
    <w:rsid w:val="00AC1272"/>
    <w:rsid w:val="00AC25FB"/>
    <w:rsid w:val="00AC2B58"/>
    <w:rsid w:val="00AC30FE"/>
    <w:rsid w:val="00AC3160"/>
    <w:rsid w:val="00AC326E"/>
    <w:rsid w:val="00AC45E8"/>
    <w:rsid w:val="00AC520C"/>
    <w:rsid w:val="00AC52FA"/>
    <w:rsid w:val="00AC5C70"/>
    <w:rsid w:val="00AC5CF5"/>
    <w:rsid w:val="00AD0035"/>
    <w:rsid w:val="00AD0239"/>
    <w:rsid w:val="00AD4029"/>
    <w:rsid w:val="00AD5B87"/>
    <w:rsid w:val="00AD7D31"/>
    <w:rsid w:val="00AE0248"/>
    <w:rsid w:val="00AE0251"/>
    <w:rsid w:val="00AE2913"/>
    <w:rsid w:val="00AE3DB6"/>
    <w:rsid w:val="00AE4A35"/>
    <w:rsid w:val="00AE605A"/>
    <w:rsid w:val="00AE7326"/>
    <w:rsid w:val="00AF1B03"/>
    <w:rsid w:val="00AF26AB"/>
    <w:rsid w:val="00B006DD"/>
    <w:rsid w:val="00B02820"/>
    <w:rsid w:val="00B0386A"/>
    <w:rsid w:val="00B03942"/>
    <w:rsid w:val="00B049B0"/>
    <w:rsid w:val="00B065E4"/>
    <w:rsid w:val="00B07A1C"/>
    <w:rsid w:val="00B116B9"/>
    <w:rsid w:val="00B11DDF"/>
    <w:rsid w:val="00B12EC2"/>
    <w:rsid w:val="00B1400A"/>
    <w:rsid w:val="00B2007F"/>
    <w:rsid w:val="00B20F63"/>
    <w:rsid w:val="00B21B57"/>
    <w:rsid w:val="00B21D62"/>
    <w:rsid w:val="00B22008"/>
    <w:rsid w:val="00B22636"/>
    <w:rsid w:val="00B260FE"/>
    <w:rsid w:val="00B26521"/>
    <w:rsid w:val="00B27A12"/>
    <w:rsid w:val="00B341BC"/>
    <w:rsid w:val="00B34A53"/>
    <w:rsid w:val="00B34D60"/>
    <w:rsid w:val="00B3542C"/>
    <w:rsid w:val="00B361D2"/>
    <w:rsid w:val="00B37E76"/>
    <w:rsid w:val="00B439B6"/>
    <w:rsid w:val="00B4423F"/>
    <w:rsid w:val="00B44508"/>
    <w:rsid w:val="00B44EC0"/>
    <w:rsid w:val="00B45848"/>
    <w:rsid w:val="00B47514"/>
    <w:rsid w:val="00B4796A"/>
    <w:rsid w:val="00B50DF5"/>
    <w:rsid w:val="00B5170C"/>
    <w:rsid w:val="00B520A3"/>
    <w:rsid w:val="00B52EA0"/>
    <w:rsid w:val="00B53E21"/>
    <w:rsid w:val="00B57CEE"/>
    <w:rsid w:val="00B61254"/>
    <w:rsid w:val="00B6394E"/>
    <w:rsid w:val="00B639F0"/>
    <w:rsid w:val="00B70727"/>
    <w:rsid w:val="00B72084"/>
    <w:rsid w:val="00B7398F"/>
    <w:rsid w:val="00B743BA"/>
    <w:rsid w:val="00B74CF7"/>
    <w:rsid w:val="00B80AC4"/>
    <w:rsid w:val="00B84531"/>
    <w:rsid w:val="00B85621"/>
    <w:rsid w:val="00B859FC"/>
    <w:rsid w:val="00B90BD3"/>
    <w:rsid w:val="00B93E2D"/>
    <w:rsid w:val="00B94D6C"/>
    <w:rsid w:val="00B95CB3"/>
    <w:rsid w:val="00B95F72"/>
    <w:rsid w:val="00BA070D"/>
    <w:rsid w:val="00BA2C3E"/>
    <w:rsid w:val="00BA3373"/>
    <w:rsid w:val="00BA43E1"/>
    <w:rsid w:val="00BA5669"/>
    <w:rsid w:val="00BA5D83"/>
    <w:rsid w:val="00BA60B6"/>
    <w:rsid w:val="00BB0A5A"/>
    <w:rsid w:val="00BB15F9"/>
    <w:rsid w:val="00BB1C8F"/>
    <w:rsid w:val="00BB2252"/>
    <w:rsid w:val="00BB4068"/>
    <w:rsid w:val="00BB421A"/>
    <w:rsid w:val="00BB4897"/>
    <w:rsid w:val="00BC0088"/>
    <w:rsid w:val="00BC01A8"/>
    <w:rsid w:val="00BC2355"/>
    <w:rsid w:val="00BC3527"/>
    <w:rsid w:val="00BC39A5"/>
    <w:rsid w:val="00BC3D36"/>
    <w:rsid w:val="00BC5344"/>
    <w:rsid w:val="00BC6443"/>
    <w:rsid w:val="00BD0715"/>
    <w:rsid w:val="00BD0DD4"/>
    <w:rsid w:val="00BD2130"/>
    <w:rsid w:val="00BD24BD"/>
    <w:rsid w:val="00BD3AC4"/>
    <w:rsid w:val="00BD44A4"/>
    <w:rsid w:val="00BD58D7"/>
    <w:rsid w:val="00BD6EF8"/>
    <w:rsid w:val="00BD7F5C"/>
    <w:rsid w:val="00BE06F4"/>
    <w:rsid w:val="00BE12F3"/>
    <w:rsid w:val="00BE19D2"/>
    <w:rsid w:val="00BE4728"/>
    <w:rsid w:val="00BE54E8"/>
    <w:rsid w:val="00BE58C2"/>
    <w:rsid w:val="00BE64CE"/>
    <w:rsid w:val="00BE7E0B"/>
    <w:rsid w:val="00BE7F59"/>
    <w:rsid w:val="00BF037F"/>
    <w:rsid w:val="00BF10D8"/>
    <w:rsid w:val="00BF2121"/>
    <w:rsid w:val="00BF32CB"/>
    <w:rsid w:val="00BF33DA"/>
    <w:rsid w:val="00BF4405"/>
    <w:rsid w:val="00BF4F0D"/>
    <w:rsid w:val="00C0040B"/>
    <w:rsid w:val="00C0048D"/>
    <w:rsid w:val="00C02473"/>
    <w:rsid w:val="00C07FC5"/>
    <w:rsid w:val="00C10788"/>
    <w:rsid w:val="00C1258D"/>
    <w:rsid w:val="00C13628"/>
    <w:rsid w:val="00C15D3D"/>
    <w:rsid w:val="00C16609"/>
    <w:rsid w:val="00C16727"/>
    <w:rsid w:val="00C17B48"/>
    <w:rsid w:val="00C17C04"/>
    <w:rsid w:val="00C17D6E"/>
    <w:rsid w:val="00C21131"/>
    <w:rsid w:val="00C22D1D"/>
    <w:rsid w:val="00C23439"/>
    <w:rsid w:val="00C25B3F"/>
    <w:rsid w:val="00C25F65"/>
    <w:rsid w:val="00C264D4"/>
    <w:rsid w:val="00C265C6"/>
    <w:rsid w:val="00C26807"/>
    <w:rsid w:val="00C27446"/>
    <w:rsid w:val="00C27663"/>
    <w:rsid w:val="00C27A1D"/>
    <w:rsid w:val="00C27ED3"/>
    <w:rsid w:val="00C30EA4"/>
    <w:rsid w:val="00C3100A"/>
    <w:rsid w:val="00C329E4"/>
    <w:rsid w:val="00C335BA"/>
    <w:rsid w:val="00C34987"/>
    <w:rsid w:val="00C34B76"/>
    <w:rsid w:val="00C360C9"/>
    <w:rsid w:val="00C36A34"/>
    <w:rsid w:val="00C375CF"/>
    <w:rsid w:val="00C41465"/>
    <w:rsid w:val="00C42612"/>
    <w:rsid w:val="00C43A79"/>
    <w:rsid w:val="00C4525A"/>
    <w:rsid w:val="00C45C0D"/>
    <w:rsid w:val="00C47A6F"/>
    <w:rsid w:val="00C51B60"/>
    <w:rsid w:val="00C526FF"/>
    <w:rsid w:val="00C52B50"/>
    <w:rsid w:val="00C5396F"/>
    <w:rsid w:val="00C54846"/>
    <w:rsid w:val="00C54907"/>
    <w:rsid w:val="00C555B4"/>
    <w:rsid w:val="00C562E8"/>
    <w:rsid w:val="00C62ECF"/>
    <w:rsid w:val="00C66345"/>
    <w:rsid w:val="00C66C3F"/>
    <w:rsid w:val="00C731D1"/>
    <w:rsid w:val="00C7448B"/>
    <w:rsid w:val="00C7450C"/>
    <w:rsid w:val="00C74B8B"/>
    <w:rsid w:val="00C75A11"/>
    <w:rsid w:val="00C7647C"/>
    <w:rsid w:val="00C802F8"/>
    <w:rsid w:val="00C807A8"/>
    <w:rsid w:val="00C80921"/>
    <w:rsid w:val="00C80D95"/>
    <w:rsid w:val="00C8165C"/>
    <w:rsid w:val="00C820AA"/>
    <w:rsid w:val="00C82BE7"/>
    <w:rsid w:val="00C83624"/>
    <w:rsid w:val="00C85C29"/>
    <w:rsid w:val="00C85FBF"/>
    <w:rsid w:val="00C90483"/>
    <w:rsid w:val="00C91000"/>
    <w:rsid w:val="00C91085"/>
    <w:rsid w:val="00C969AC"/>
    <w:rsid w:val="00CA0F5D"/>
    <w:rsid w:val="00CA1AD0"/>
    <w:rsid w:val="00CA29BE"/>
    <w:rsid w:val="00CA3D63"/>
    <w:rsid w:val="00CA6E53"/>
    <w:rsid w:val="00CB0350"/>
    <w:rsid w:val="00CB24E5"/>
    <w:rsid w:val="00CB282E"/>
    <w:rsid w:val="00CB2E3C"/>
    <w:rsid w:val="00CB39E1"/>
    <w:rsid w:val="00CB3B7D"/>
    <w:rsid w:val="00CB4BC3"/>
    <w:rsid w:val="00CB62F3"/>
    <w:rsid w:val="00CB6DA3"/>
    <w:rsid w:val="00CB6E93"/>
    <w:rsid w:val="00CC0B3D"/>
    <w:rsid w:val="00CC17F2"/>
    <w:rsid w:val="00CC3051"/>
    <w:rsid w:val="00CC3BDD"/>
    <w:rsid w:val="00CC49CA"/>
    <w:rsid w:val="00CC7D9B"/>
    <w:rsid w:val="00CD0AD6"/>
    <w:rsid w:val="00CD0BF1"/>
    <w:rsid w:val="00CD0CE8"/>
    <w:rsid w:val="00CD3ED3"/>
    <w:rsid w:val="00CD42A9"/>
    <w:rsid w:val="00CD4353"/>
    <w:rsid w:val="00CD46ED"/>
    <w:rsid w:val="00CD4C82"/>
    <w:rsid w:val="00CD5A5F"/>
    <w:rsid w:val="00CE2164"/>
    <w:rsid w:val="00CE25FB"/>
    <w:rsid w:val="00CE375F"/>
    <w:rsid w:val="00CE79C1"/>
    <w:rsid w:val="00CE7A92"/>
    <w:rsid w:val="00CF140B"/>
    <w:rsid w:val="00CF2DEF"/>
    <w:rsid w:val="00CF792B"/>
    <w:rsid w:val="00CF79BD"/>
    <w:rsid w:val="00D025F3"/>
    <w:rsid w:val="00D037C7"/>
    <w:rsid w:val="00D0570A"/>
    <w:rsid w:val="00D06AE4"/>
    <w:rsid w:val="00D07EA7"/>
    <w:rsid w:val="00D14608"/>
    <w:rsid w:val="00D14EBD"/>
    <w:rsid w:val="00D15526"/>
    <w:rsid w:val="00D15E9B"/>
    <w:rsid w:val="00D15F17"/>
    <w:rsid w:val="00D163DA"/>
    <w:rsid w:val="00D16C83"/>
    <w:rsid w:val="00D17129"/>
    <w:rsid w:val="00D30F3A"/>
    <w:rsid w:val="00D31404"/>
    <w:rsid w:val="00D3242C"/>
    <w:rsid w:val="00D32938"/>
    <w:rsid w:val="00D32961"/>
    <w:rsid w:val="00D35334"/>
    <w:rsid w:val="00D35F42"/>
    <w:rsid w:val="00D36E34"/>
    <w:rsid w:val="00D37171"/>
    <w:rsid w:val="00D432B6"/>
    <w:rsid w:val="00D43C97"/>
    <w:rsid w:val="00D45A88"/>
    <w:rsid w:val="00D54613"/>
    <w:rsid w:val="00D603CE"/>
    <w:rsid w:val="00D616DB"/>
    <w:rsid w:val="00D6441A"/>
    <w:rsid w:val="00D65283"/>
    <w:rsid w:val="00D6627E"/>
    <w:rsid w:val="00D67749"/>
    <w:rsid w:val="00D7079F"/>
    <w:rsid w:val="00D70921"/>
    <w:rsid w:val="00D74617"/>
    <w:rsid w:val="00D82458"/>
    <w:rsid w:val="00D83B73"/>
    <w:rsid w:val="00D8582D"/>
    <w:rsid w:val="00D86484"/>
    <w:rsid w:val="00D904A6"/>
    <w:rsid w:val="00D9186A"/>
    <w:rsid w:val="00D92544"/>
    <w:rsid w:val="00D927DB"/>
    <w:rsid w:val="00D93182"/>
    <w:rsid w:val="00D93912"/>
    <w:rsid w:val="00D956D8"/>
    <w:rsid w:val="00D95C0D"/>
    <w:rsid w:val="00DA0337"/>
    <w:rsid w:val="00DA279E"/>
    <w:rsid w:val="00DA65EC"/>
    <w:rsid w:val="00DA6CF2"/>
    <w:rsid w:val="00DB2166"/>
    <w:rsid w:val="00DB229A"/>
    <w:rsid w:val="00DB2B60"/>
    <w:rsid w:val="00DB3A05"/>
    <w:rsid w:val="00DB3CCB"/>
    <w:rsid w:val="00DC0ADE"/>
    <w:rsid w:val="00DC1166"/>
    <w:rsid w:val="00DC1196"/>
    <w:rsid w:val="00DC2A50"/>
    <w:rsid w:val="00DC54B8"/>
    <w:rsid w:val="00DD2FC9"/>
    <w:rsid w:val="00DD4B9A"/>
    <w:rsid w:val="00DD4EAD"/>
    <w:rsid w:val="00DD66DB"/>
    <w:rsid w:val="00DD6B6C"/>
    <w:rsid w:val="00DE554B"/>
    <w:rsid w:val="00DE6173"/>
    <w:rsid w:val="00DF3D90"/>
    <w:rsid w:val="00DF67DE"/>
    <w:rsid w:val="00DF6D99"/>
    <w:rsid w:val="00DF72D0"/>
    <w:rsid w:val="00E00157"/>
    <w:rsid w:val="00E00D69"/>
    <w:rsid w:val="00E033C0"/>
    <w:rsid w:val="00E0646E"/>
    <w:rsid w:val="00E10DC6"/>
    <w:rsid w:val="00E1163F"/>
    <w:rsid w:val="00E16CCD"/>
    <w:rsid w:val="00E23FD3"/>
    <w:rsid w:val="00E31067"/>
    <w:rsid w:val="00E324F0"/>
    <w:rsid w:val="00E32F58"/>
    <w:rsid w:val="00E3385A"/>
    <w:rsid w:val="00E33894"/>
    <w:rsid w:val="00E35F6A"/>
    <w:rsid w:val="00E378E7"/>
    <w:rsid w:val="00E40BAB"/>
    <w:rsid w:val="00E413F7"/>
    <w:rsid w:val="00E4528E"/>
    <w:rsid w:val="00E4721C"/>
    <w:rsid w:val="00E50242"/>
    <w:rsid w:val="00E50834"/>
    <w:rsid w:val="00E52856"/>
    <w:rsid w:val="00E53323"/>
    <w:rsid w:val="00E5430F"/>
    <w:rsid w:val="00E54DC6"/>
    <w:rsid w:val="00E56615"/>
    <w:rsid w:val="00E57C25"/>
    <w:rsid w:val="00E62F8A"/>
    <w:rsid w:val="00E63949"/>
    <w:rsid w:val="00E70807"/>
    <w:rsid w:val="00E7090A"/>
    <w:rsid w:val="00E729C1"/>
    <w:rsid w:val="00E72E13"/>
    <w:rsid w:val="00E73DAC"/>
    <w:rsid w:val="00E76B66"/>
    <w:rsid w:val="00E80A76"/>
    <w:rsid w:val="00E82EB2"/>
    <w:rsid w:val="00E908E8"/>
    <w:rsid w:val="00E92A87"/>
    <w:rsid w:val="00E92F86"/>
    <w:rsid w:val="00E950A2"/>
    <w:rsid w:val="00E9565D"/>
    <w:rsid w:val="00E9568A"/>
    <w:rsid w:val="00E96182"/>
    <w:rsid w:val="00E9666D"/>
    <w:rsid w:val="00E96F47"/>
    <w:rsid w:val="00EA3456"/>
    <w:rsid w:val="00EA461E"/>
    <w:rsid w:val="00EA5A13"/>
    <w:rsid w:val="00EA6217"/>
    <w:rsid w:val="00EA63CC"/>
    <w:rsid w:val="00EA6620"/>
    <w:rsid w:val="00EB418B"/>
    <w:rsid w:val="00EB4856"/>
    <w:rsid w:val="00EB62E9"/>
    <w:rsid w:val="00EB667C"/>
    <w:rsid w:val="00EB7AD2"/>
    <w:rsid w:val="00EC0FB2"/>
    <w:rsid w:val="00EC26B6"/>
    <w:rsid w:val="00EC391C"/>
    <w:rsid w:val="00EC4098"/>
    <w:rsid w:val="00EC5DB6"/>
    <w:rsid w:val="00EC6E9B"/>
    <w:rsid w:val="00EC7C53"/>
    <w:rsid w:val="00ED2C8C"/>
    <w:rsid w:val="00ED4FC0"/>
    <w:rsid w:val="00EE08F1"/>
    <w:rsid w:val="00EE15D2"/>
    <w:rsid w:val="00EE34EE"/>
    <w:rsid w:val="00EE490A"/>
    <w:rsid w:val="00EE5D7A"/>
    <w:rsid w:val="00EE62AB"/>
    <w:rsid w:val="00EF0ABD"/>
    <w:rsid w:val="00EF1E7C"/>
    <w:rsid w:val="00EF1E89"/>
    <w:rsid w:val="00EF27A8"/>
    <w:rsid w:val="00EF3E50"/>
    <w:rsid w:val="00EF4615"/>
    <w:rsid w:val="00EF496A"/>
    <w:rsid w:val="00EF7B05"/>
    <w:rsid w:val="00F0167B"/>
    <w:rsid w:val="00F01730"/>
    <w:rsid w:val="00F01834"/>
    <w:rsid w:val="00F01C7A"/>
    <w:rsid w:val="00F03D58"/>
    <w:rsid w:val="00F054BE"/>
    <w:rsid w:val="00F06A82"/>
    <w:rsid w:val="00F10175"/>
    <w:rsid w:val="00F103C8"/>
    <w:rsid w:val="00F119A2"/>
    <w:rsid w:val="00F13C23"/>
    <w:rsid w:val="00F15A25"/>
    <w:rsid w:val="00F1602E"/>
    <w:rsid w:val="00F176F3"/>
    <w:rsid w:val="00F2141F"/>
    <w:rsid w:val="00F22813"/>
    <w:rsid w:val="00F23539"/>
    <w:rsid w:val="00F339E3"/>
    <w:rsid w:val="00F34B16"/>
    <w:rsid w:val="00F37600"/>
    <w:rsid w:val="00F4178F"/>
    <w:rsid w:val="00F4187B"/>
    <w:rsid w:val="00F41C27"/>
    <w:rsid w:val="00F42240"/>
    <w:rsid w:val="00F4246A"/>
    <w:rsid w:val="00F43402"/>
    <w:rsid w:val="00F448E5"/>
    <w:rsid w:val="00F45208"/>
    <w:rsid w:val="00F4562A"/>
    <w:rsid w:val="00F45D40"/>
    <w:rsid w:val="00F46294"/>
    <w:rsid w:val="00F4642B"/>
    <w:rsid w:val="00F465AE"/>
    <w:rsid w:val="00F46856"/>
    <w:rsid w:val="00F46D5B"/>
    <w:rsid w:val="00F5139B"/>
    <w:rsid w:val="00F520DE"/>
    <w:rsid w:val="00F544FA"/>
    <w:rsid w:val="00F54E31"/>
    <w:rsid w:val="00F55EA1"/>
    <w:rsid w:val="00F56D3C"/>
    <w:rsid w:val="00F63DD2"/>
    <w:rsid w:val="00F669D5"/>
    <w:rsid w:val="00F66CBA"/>
    <w:rsid w:val="00F671D4"/>
    <w:rsid w:val="00F672F1"/>
    <w:rsid w:val="00F67FBA"/>
    <w:rsid w:val="00F7136E"/>
    <w:rsid w:val="00F72242"/>
    <w:rsid w:val="00F72C54"/>
    <w:rsid w:val="00F74722"/>
    <w:rsid w:val="00F76781"/>
    <w:rsid w:val="00F811D1"/>
    <w:rsid w:val="00F827DB"/>
    <w:rsid w:val="00F82ED3"/>
    <w:rsid w:val="00F8367B"/>
    <w:rsid w:val="00F84067"/>
    <w:rsid w:val="00F84CAF"/>
    <w:rsid w:val="00F85759"/>
    <w:rsid w:val="00F9245B"/>
    <w:rsid w:val="00F94D10"/>
    <w:rsid w:val="00F957C8"/>
    <w:rsid w:val="00F9754D"/>
    <w:rsid w:val="00F97E91"/>
    <w:rsid w:val="00FA1398"/>
    <w:rsid w:val="00FA3C88"/>
    <w:rsid w:val="00FA5A29"/>
    <w:rsid w:val="00FA6BE4"/>
    <w:rsid w:val="00FA7669"/>
    <w:rsid w:val="00FB1688"/>
    <w:rsid w:val="00FB178D"/>
    <w:rsid w:val="00FB2074"/>
    <w:rsid w:val="00FB38DF"/>
    <w:rsid w:val="00FB45A1"/>
    <w:rsid w:val="00FB4EF0"/>
    <w:rsid w:val="00FB54BD"/>
    <w:rsid w:val="00FB5CF3"/>
    <w:rsid w:val="00FC0EC9"/>
    <w:rsid w:val="00FC1043"/>
    <w:rsid w:val="00FC1A29"/>
    <w:rsid w:val="00FC1C7B"/>
    <w:rsid w:val="00FC2392"/>
    <w:rsid w:val="00FC548B"/>
    <w:rsid w:val="00FC5977"/>
    <w:rsid w:val="00FC6422"/>
    <w:rsid w:val="00FD1451"/>
    <w:rsid w:val="00FD1622"/>
    <w:rsid w:val="00FD3467"/>
    <w:rsid w:val="00FD3C91"/>
    <w:rsid w:val="00FD5601"/>
    <w:rsid w:val="00FD5A58"/>
    <w:rsid w:val="00FD5E5C"/>
    <w:rsid w:val="00FD6D71"/>
    <w:rsid w:val="00FE0032"/>
    <w:rsid w:val="00FE161E"/>
    <w:rsid w:val="00FE2E32"/>
    <w:rsid w:val="00FE5523"/>
    <w:rsid w:val="00FE6C6C"/>
    <w:rsid w:val="00FE77CD"/>
    <w:rsid w:val="00FE7E22"/>
    <w:rsid w:val="00FF1BE8"/>
    <w:rsid w:val="00FF5D12"/>
    <w:rsid w:val="00FF6AC9"/>
    <w:rsid w:val="00FF6E3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B58"/>
    <w:pPr>
      <w:spacing w:line="276" w:lineRule="auto"/>
      <w:ind w:left="1701"/>
      <w:jc w:val="both"/>
    </w:pPr>
    <w:rPr>
      <w:lang w:val="de-DE"/>
    </w:rPr>
  </w:style>
  <w:style w:type="paragraph" w:styleId="Heading1">
    <w:name w:val="heading 1"/>
    <w:basedOn w:val="Normal"/>
    <w:next w:val="Normal"/>
    <w:link w:val="Heading1Char"/>
    <w:uiPriority w:val="9"/>
    <w:qFormat/>
    <w:rsid w:val="00CB6E93"/>
    <w:pPr>
      <w:keepNext/>
      <w:keepLines/>
      <w:numPr>
        <w:numId w:val="1"/>
      </w:numPr>
      <w:spacing w:before="480" w:after="240"/>
      <w:ind w:left="1701" w:hanging="1701"/>
      <w:jc w:val="left"/>
      <w:outlineLvl w:val="0"/>
    </w:pPr>
    <w:rPr>
      <w:rFonts w:asciiTheme="majorHAnsi" w:eastAsiaTheme="majorEastAsia" w:hAnsiTheme="majorHAnsi" w:cstheme="majorBidi"/>
      <w:color w:val="B81639"/>
      <w:sz w:val="36"/>
      <w:szCs w:val="32"/>
    </w:rPr>
  </w:style>
  <w:style w:type="paragraph" w:styleId="Heading2">
    <w:name w:val="heading 2"/>
    <w:basedOn w:val="Heading1"/>
    <w:next w:val="Normal"/>
    <w:link w:val="Heading2Char"/>
    <w:uiPriority w:val="9"/>
    <w:qFormat/>
    <w:rsid w:val="00CB6E93"/>
    <w:pPr>
      <w:numPr>
        <w:ilvl w:val="1"/>
      </w:numPr>
      <w:ind w:left="1701" w:hanging="1701"/>
      <w:outlineLvl w:val="1"/>
    </w:pPr>
    <w:rPr>
      <w:sz w:val="28"/>
    </w:rPr>
  </w:style>
  <w:style w:type="paragraph" w:styleId="Heading3">
    <w:name w:val="heading 3"/>
    <w:basedOn w:val="Heading2"/>
    <w:next w:val="Normal"/>
    <w:link w:val="Heading3Char"/>
    <w:uiPriority w:val="9"/>
    <w:qFormat/>
    <w:rsid w:val="00CB6E93"/>
    <w:pPr>
      <w:numPr>
        <w:ilvl w:val="2"/>
      </w:numPr>
      <w:ind w:left="1701" w:hanging="1701"/>
      <w:outlineLvl w:val="2"/>
    </w:pPr>
    <w:rPr>
      <w:sz w:val="24"/>
    </w:rPr>
  </w:style>
  <w:style w:type="paragraph" w:styleId="Heading4">
    <w:name w:val="heading 4"/>
    <w:basedOn w:val="Normal"/>
    <w:next w:val="Normal"/>
    <w:link w:val="Heading4Char"/>
    <w:uiPriority w:val="9"/>
    <w:qFormat/>
    <w:rsid w:val="00BE19D2"/>
    <w:pPr>
      <w:keepNext/>
      <w:keepLines/>
      <w:spacing w:before="480" w:after="240"/>
      <w:jc w:val="left"/>
      <w:outlineLvl w:val="3"/>
    </w:pPr>
    <w:rPr>
      <w:rFonts w:asciiTheme="majorHAnsi" w:eastAsiaTheme="majorEastAsia" w:hAnsiTheme="majorHAnsi" w:cstheme="majorBidi"/>
      <w:iCs/>
      <w:caps/>
      <w:color w:val="B816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D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D5D95"/>
  </w:style>
  <w:style w:type="paragraph" w:styleId="Footer">
    <w:name w:val="footer"/>
    <w:basedOn w:val="Normal"/>
    <w:link w:val="FooterChar"/>
    <w:uiPriority w:val="99"/>
    <w:unhideWhenUsed/>
    <w:rsid w:val="007D5D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D5D95"/>
  </w:style>
  <w:style w:type="paragraph" w:styleId="BalloonText">
    <w:name w:val="Balloon Text"/>
    <w:basedOn w:val="Normal"/>
    <w:link w:val="BalloonTextChar"/>
    <w:uiPriority w:val="99"/>
    <w:semiHidden/>
    <w:unhideWhenUsed/>
    <w:rsid w:val="007D5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D95"/>
    <w:rPr>
      <w:rFonts w:ascii="Segoe UI" w:hAnsi="Segoe UI" w:cs="Segoe UI"/>
      <w:sz w:val="18"/>
      <w:szCs w:val="18"/>
    </w:rPr>
  </w:style>
  <w:style w:type="paragraph" w:styleId="Title">
    <w:name w:val="Title"/>
    <w:basedOn w:val="Normal"/>
    <w:next w:val="Normal"/>
    <w:link w:val="TitleChar"/>
    <w:uiPriority w:val="10"/>
    <w:qFormat/>
    <w:rsid w:val="002E1E9B"/>
    <w:pPr>
      <w:spacing w:after="0" w:line="240" w:lineRule="auto"/>
      <w:ind w:left="2552"/>
      <w:contextualSpacing/>
      <w:jc w:val="left"/>
    </w:pPr>
    <w:rPr>
      <w:rFonts w:asciiTheme="majorHAnsi" w:eastAsiaTheme="majorEastAsia" w:hAnsiTheme="maj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2E1E9B"/>
    <w:rPr>
      <w:rFonts w:asciiTheme="majorHAnsi" w:eastAsiaTheme="majorEastAsia" w:hAnsiTheme="majorHAnsi" w:cstheme="majorBidi"/>
      <w:color w:val="FFFFFF" w:themeColor="background1"/>
      <w:spacing w:val="-10"/>
      <w:kern w:val="28"/>
      <w:sz w:val="72"/>
      <w:szCs w:val="56"/>
      <w:lang w:val="de-DE"/>
    </w:rPr>
  </w:style>
  <w:style w:type="paragraph" w:styleId="Subtitle">
    <w:name w:val="Subtitle"/>
    <w:basedOn w:val="Normal"/>
    <w:next w:val="Normal"/>
    <w:link w:val="SubtitleChar"/>
    <w:uiPriority w:val="11"/>
    <w:qFormat/>
    <w:rsid w:val="006F5EB4"/>
    <w:pPr>
      <w:numPr>
        <w:ilvl w:val="1"/>
      </w:numPr>
      <w:spacing w:before="240"/>
      <w:ind w:left="2552" w:right="850"/>
    </w:pPr>
    <w:rPr>
      <w:rFonts w:asciiTheme="majorHAnsi" w:eastAsiaTheme="minorEastAsia" w:hAnsiTheme="majorHAnsi"/>
      <w:color w:val="DDDDDD" w:themeColor="text2" w:themeTint="33"/>
      <w:spacing w:val="15"/>
      <w:sz w:val="32"/>
    </w:rPr>
  </w:style>
  <w:style w:type="character" w:customStyle="1" w:styleId="SubtitleChar">
    <w:name w:val="Subtitle Char"/>
    <w:basedOn w:val="DefaultParagraphFont"/>
    <w:link w:val="Subtitle"/>
    <w:uiPriority w:val="11"/>
    <w:rsid w:val="006F5EB4"/>
    <w:rPr>
      <w:rFonts w:asciiTheme="majorHAnsi" w:eastAsiaTheme="minorEastAsia" w:hAnsiTheme="majorHAnsi"/>
      <w:color w:val="DDDDDD" w:themeColor="text2" w:themeTint="33"/>
      <w:spacing w:val="15"/>
      <w:sz w:val="32"/>
      <w:lang w:val="de-DE"/>
    </w:rPr>
  </w:style>
  <w:style w:type="paragraph" w:customStyle="1" w:styleId="Autor">
    <w:name w:val="Autor"/>
    <w:basedOn w:val="Normal"/>
    <w:next w:val="Normal"/>
    <w:link w:val="AutorZnak"/>
    <w:uiPriority w:val="12"/>
    <w:qFormat/>
    <w:rsid w:val="002E1E9B"/>
    <w:pPr>
      <w:pBdr>
        <w:top w:val="single" w:sz="4" w:space="30" w:color="FFFFFF" w:themeColor="background1"/>
      </w:pBdr>
      <w:spacing w:before="1200" w:line="360" w:lineRule="auto"/>
      <w:ind w:left="2552"/>
      <w:contextualSpacing/>
    </w:pPr>
    <w:rPr>
      <w:caps/>
      <w:color w:val="FFFFFF" w:themeColor="background1"/>
      <w:sz w:val="32"/>
    </w:rPr>
  </w:style>
  <w:style w:type="character" w:styleId="PlaceholderText">
    <w:name w:val="Placeholder Text"/>
    <w:basedOn w:val="DefaultParagraphFont"/>
    <w:uiPriority w:val="99"/>
    <w:semiHidden/>
    <w:rsid w:val="00E52856"/>
    <w:rPr>
      <w:color w:val="808080"/>
    </w:rPr>
  </w:style>
  <w:style w:type="character" w:customStyle="1" w:styleId="AutorZnak">
    <w:name w:val="Autor Znak"/>
    <w:basedOn w:val="DefaultParagraphFont"/>
    <w:link w:val="Autor"/>
    <w:uiPriority w:val="12"/>
    <w:rsid w:val="002E1E9B"/>
    <w:rPr>
      <w:caps/>
      <w:color w:val="FFFFFF" w:themeColor="background1"/>
      <w:sz w:val="32"/>
      <w:lang w:val="de-DE"/>
    </w:rPr>
  </w:style>
  <w:style w:type="paragraph" w:customStyle="1" w:styleId="Pagina">
    <w:name w:val="Pagina"/>
    <w:basedOn w:val="Normal"/>
    <w:link w:val="PaginaZnak"/>
    <w:uiPriority w:val="35"/>
    <w:qFormat/>
    <w:rsid w:val="008C2AA1"/>
    <w:pPr>
      <w:jc w:val="right"/>
    </w:pPr>
    <w:rPr>
      <w:rFonts w:asciiTheme="majorHAnsi" w:hAnsiTheme="majorHAnsi"/>
      <w:sz w:val="18"/>
      <w:szCs w:val="18"/>
    </w:rPr>
  </w:style>
  <w:style w:type="character" w:customStyle="1" w:styleId="PaginaZnak">
    <w:name w:val="Pagina Znak"/>
    <w:basedOn w:val="DefaultParagraphFont"/>
    <w:link w:val="Pagina"/>
    <w:uiPriority w:val="35"/>
    <w:rsid w:val="00D74617"/>
    <w:rPr>
      <w:rFonts w:asciiTheme="majorHAnsi" w:hAnsiTheme="majorHAnsi"/>
      <w:sz w:val="18"/>
      <w:szCs w:val="18"/>
      <w:lang w:val="de-DE"/>
    </w:rPr>
  </w:style>
  <w:style w:type="character" w:styleId="CommentReference">
    <w:name w:val="annotation reference"/>
    <w:basedOn w:val="DefaultParagraphFont"/>
    <w:uiPriority w:val="99"/>
    <w:semiHidden/>
    <w:unhideWhenUsed/>
    <w:rsid w:val="00601AF7"/>
    <w:rPr>
      <w:sz w:val="16"/>
      <w:szCs w:val="16"/>
    </w:rPr>
  </w:style>
  <w:style w:type="paragraph" w:styleId="CommentText">
    <w:name w:val="annotation text"/>
    <w:basedOn w:val="Normal"/>
    <w:link w:val="CommentTextChar"/>
    <w:uiPriority w:val="99"/>
    <w:unhideWhenUsed/>
    <w:rsid w:val="00601AF7"/>
    <w:pPr>
      <w:spacing w:line="240" w:lineRule="auto"/>
    </w:pPr>
    <w:rPr>
      <w:sz w:val="20"/>
      <w:szCs w:val="20"/>
    </w:rPr>
  </w:style>
  <w:style w:type="character" w:customStyle="1" w:styleId="CommentTextChar">
    <w:name w:val="Comment Text Char"/>
    <w:basedOn w:val="DefaultParagraphFont"/>
    <w:link w:val="CommentText"/>
    <w:uiPriority w:val="99"/>
    <w:rsid w:val="00601AF7"/>
    <w:rPr>
      <w:sz w:val="20"/>
      <w:szCs w:val="20"/>
      <w:lang w:val="de-DE"/>
    </w:rPr>
  </w:style>
  <w:style w:type="paragraph" w:styleId="CommentSubject">
    <w:name w:val="annotation subject"/>
    <w:basedOn w:val="CommentText"/>
    <w:next w:val="CommentText"/>
    <w:link w:val="CommentSubjectChar"/>
    <w:uiPriority w:val="99"/>
    <w:semiHidden/>
    <w:unhideWhenUsed/>
    <w:rsid w:val="00601AF7"/>
    <w:rPr>
      <w:b/>
      <w:bCs/>
    </w:rPr>
  </w:style>
  <w:style w:type="character" w:customStyle="1" w:styleId="CommentSubjectChar">
    <w:name w:val="Comment Subject Char"/>
    <w:basedOn w:val="CommentTextChar"/>
    <w:link w:val="CommentSubject"/>
    <w:uiPriority w:val="99"/>
    <w:semiHidden/>
    <w:rsid w:val="00601AF7"/>
    <w:rPr>
      <w:b/>
      <w:bCs/>
      <w:sz w:val="20"/>
      <w:szCs w:val="20"/>
      <w:lang w:val="de-DE"/>
    </w:rPr>
  </w:style>
  <w:style w:type="character" w:customStyle="1" w:styleId="Heading4Char">
    <w:name w:val="Heading 4 Char"/>
    <w:basedOn w:val="DefaultParagraphFont"/>
    <w:link w:val="Heading4"/>
    <w:uiPriority w:val="9"/>
    <w:rsid w:val="00BE19D2"/>
    <w:rPr>
      <w:rFonts w:asciiTheme="majorHAnsi" w:eastAsiaTheme="majorEastAsia" w:hAnsiTheme="majorHAnsi" w:cstheme="majorBidi"/>
      <w:iCs/>
      <w:caps/>
      <w:color w:val="B81639"/>
      <w:lang w:val="de-DE"/>
    </w:rPr>
  </w:style>
  <w:style w:type="paragraph" w:customStyle="1" w:styleId="Abstrakt-tytu">
    <w:name w:val="Abstrakt - tytuł"/>
    <w:basedOn w:val="Normal"/>
    <w:link w:val="Abstrakt-tytuZnak"/>
    <w:uiPriority w:val="14"/>
    <w:qFormat/>
    <w:rsid w:val="0061193C"/>
    <w:pPr>
      <w:jc w:val="left"/>
    </w:pPr>
    <w:rPr>
      <w:rFonts w:asciiTheme="majorHAnsi" w:hAnsiTheme="majorHAnsi"/>
      <w:color w:val="B81639"/>
      <w:sz w:val="44"/>
      <w:szCs w:val="44"/>
    </w:rPr>
  </w:style>
  <w:style w:type="paragraph" w:customStyle="1" w:styleId="Abstrakt-podtytu">
    <w:name w:val="Abstrakt - podtytuł"/>
    <w:basedOn w:val="Normal"/>
    <w:link w:val="Abstrakt-podtytuZnak"/>
    <w:uiPriority w:val="14"/>
    <w:qFormat/>
    <w:rsid w:val="006F5EB4"/>
    <w:rPr>
      <w:rFonts w:asciiTheme="majorHAnsi" w:hAnsiTheme="majorHAnsi"/>
      <w:color w:val="595959" w:themeColor="text1" w:themeTint="A6"/>
      <w:sz w:val="28"/>
    </w:rPr>
  </w:style>
  <w:style w:type="character" w:customStyle="1" w:styleId="Abstrakt-tytuZnak">
    <w:name w:val="Abstrakt - tytuł Znak"/>
    <w:basedOn w:val="DefaultParagraphFont"/>
    <w:link w:val="Abstrakt-tytu"/>
    <w:uiPriority w:val="14"/>
    <w:rsid w:val="0061193C"/>
    <w:rPr>
      <w:rFonts w:asciiTheme="majorHAnsi" w:hAnsiTheme="majorHAnsi"/>
      <w:color w:val="B81639"/>
      <w:sz w:val="44"/>
      <w:szCs w:val="44"/>
      <w:lang w:val="de-DE"/>
    </w:rPr>
  </w:style>
  <w:style w:type="paragraph" w:customStyle="1" w:styleId="Abstrakt-autor">
    <w:name w:val="Abstrakt - autor"/>
    <w:basedOn w:val="Normal"/>
    <w:link w:val="Abstrakt-autorZnak"/>
    <w:uiPriority w:val="14"/>
    <w:qFormat/>
    <w:rsid w:val="002A6BD6"/>
    <w:pPr>
      <w:spacing w:before="840" w:line="360" w:lineRule="auto"/>
      <w:ind w:left="4820"/>
      <w:contextualSpacing/>
    </w:pPr>
    <w:rPr>
      <w:i/>
      <w:color w:val="595959" w:themeColor="text1" w:themeTint="A6"/>
    </w:rPr>
  </w:style>
  <w:style w:type="character" w:customStyle="1" w:styleId="Abstrakt-podtytuZnak">
    <w:name w:val="Abstrakt - podtytuł Znak"/>
    <w:basedOn w:val="DefaultParagraphFont"/>
    <w:link w:val="Abstrakt-podtytu"/>
    <w:uiPriority w:val="14"/>
    <w:rsid w:val="006F5EB4"/>
    <w:rPr>
      <w:rFonts w:asciiTheme="majorHAnsi" w:hAnsiTheme="majorHAnsi"/>
      <w:color w:val="595959" w:themeColor="text1" w:themeTint="A6"/>
      <w:sz w:val="28"/>
      <w:lang w:val="de-DE"/>
    </w:rPr>
  </w:style>
  <w:style w:type="paragraph" w:styleId="NoSpacing">
    <w:name w:val="No Spacing"/>
    <w:uiPriority w:val="1"/>
    <w:qFormat/>
    <w:rsid w:val="00C80D95"/>
    <w:pPr>
      <w:spacing w:after="0" w:line="240" w:lineRule="auto"/>
      <w:ind w:left="1701"/>
      <w:jc w:val="both"/>
    </w:pPr>
    <w:rPr>
      <w:lang w:val="de-DE"/>
    </w:rPr>
  </w:style>
  <w:style w:type="character" w:customStyle="1" w:styleId="Abstrakt-autorZnak">
    <w:name w:val="Abstrakt - autor Znak"/>
    <w:basedOn w:val="DefaultParagraphFont"/>
    <w:link w:val="Abstrakt-autor"/>
    <w:uiPriority w:val="14"/>
    <w:rsid w:val="005A6142"/>
    <w:rPr>
      <w:i/>
      <w:color w:val="595959" w:themeColor="text1" w:themeTint="A6"/>
      <w:lang w:val="de-DE"/>
    </w:rPr>
  </w:style>
  <w:style w:type="character" w:customStyle="1" w:styleId="Heading1Char">
    <w:name w:val="Heading 1 Char"/>
    <w:basedOn w:val="DefaultParagraphFont"/>
    <w:link w:val="Heading1"/>
    <w:uiPriority w:val="9"/>
    <w:rsid w:val="00CB6E93"/>
    <w:rPr>
      <w:rFonts w:asciiTheme="majorHAnsi" w:eastAsiaTheme="majorEastAsia" w:hAnsiTheme="majorHAnsi" w:cstheme="majorBidi"/>
      <w:color w:val="B81639"/>
      <w:sz w:val="36"/>
      <w:szCs w:val="32"/>
      <w:lang w:val="de-DE"/>
    </w:rPr>
  </w:style>
  <w:style w:type="character" w:customStyle="1" w:styleId="Heading2Char">
    <w:name w:val="Heading 2 Char"/>
    <w:basedOn w:val="DefaultParagraphFont"/>
    <w:link w:val="Heading2"/>
    <w:uiPriority w:val="9"/>
    <w:rsid w:val="00CB6E93"/>
    <w:rPr>
      <w:rFonts w:asciiTheme="majorHAnsi" w:eastAsiaTheme="majorEastAsia" w:hAnsiTheme="majorHAnsi" w:cstheme="majorBidi"/>
      <w:color w:val="B81639"/>
      <w:sz w:val="28"/>
      <w:szCs w:val="32"/>
      <w:lang w:val="de-DE"/>
    </w:rPr>
  </w:style>
  <w:style w:type="character" w:styleId="Strong">
    <w:name w:val="Strong"/>
    <w:basedOn w:val="DefaultParagraphFont"/>
    <w:uiPriority w:val="22"/>
    <w:qFormat/>
    <w:rsid w:val="00BE19D2"/>
    <w:rPr>
      <w:b/>
      <w:bCs/>
    </w:rPr>
  </w:style>
  <w:style w:type="character" w:customStyle="1" w:styleId="Heading3Char">
    <w:name w:val="Heading 3 Char"/>
    <w:basedOn w:val="DefaultParagraphFont"/>
    <w:link w:val="Heading3"/>
    <w:uiPriority w:val="9"/>
    <w:rsid w:val="00CB6E93"/>
    <w:rPr>
      <w:rFonts w:asciiTheme="majorHAnsi" w:eastAsiaTheme="majorEastAsia" w:hAnsiTheme="majorHAnsi" w:cstheme="majorBidi"/>
      <w:color w:val="B81639"/>
      <w:sz w:val="24"/>
      <w:szCs w:val="32"/>
      <w:lang w:val="de-DE"/>
    </w:rPr>
  </w:style>
  <w:style w:type="character" w:styleId="IntenseEmphasis">
    <w:name w:val="Intense Emphasis"/>
    <w:basedOn w:val="DefaultParagraphFont"/>
    <w:uiPriority w:val="21"/>
    <w:qFormat/>
    <w:rsid w:val="00326765"/>
    <w:rPr>
      <w:i/>
      <w:iCs/>
      <w:color w:val="B81639" w:themeColor="accent1"/>
    </w:rPr>
  </w:style>
  <w:style w:type="paragraph" w:styleId="FootnoteText">
    <w:name w:val="footnote text"/>
    <w:basedOn w:val="Normal"/>
    <w:link w:val="FootnoteTextChar"/>
    <w:uiPriority w:val="99"/>
    <w:semiHidden/>
    <w:unhideWhenUsed/>
    <w:rsid w:val="00F465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65AE"/>
    <w:rPr>
      <w:sz w:val="20"/>
      <w:szCs w:val="20"/>
      <w:lang w:val="de-DE"/>
    </w:rPr>
  </w:style>
  <w:style w:type="character" w:styleId="FootnoteReference">
    <w:name w:val="footnote reference"/>
    <w:basedOn w:val="DefaultParagraphFont"/>
    <w:uiPriority w:val="99"/>
    <w:unhideWhenUsed/>
    <w:rsid w:val="00F465AE"/>
    <w:rPr>
      <w:vertAlign w:val="superscript"/>
    </w:rPr>
  </w:style>
  <w:style w:type="paragraph" w:customStyle="1" w:styleId="Przypis">
    <w:name w:val="Przypis"/>
    <w:basedOn w:val="FootnoteText"/>
    <w:link w:val="PrzypisZnak"/>
    <w:uiPriority w:val="4"/>
    <w:qFormat/>
    <w:rsid w:val="0038277D"/>
    <w:rPr>
      <w:color w:val="595959" w:themeColor="text1" w:themeTint="A6"/>
      <w:sz w:val="16"/>
    </w:rPr>
  </w:style>
  <w:style w:type="paragraph" w:styleId="Caption">
    <w:name w:val="caption"/>
    <w:aliases w:val="BI Caption"/>
    <w:basedOn w:val="Normal"/>
    <w:next w:val="Normal"/>
    <w:uiPriority w:val="35"/>
    <w:unhideWhenUsed/>
    <w:qFormat/>
    <w:rsid w:val="00BB4897"/>
    <w:pPr>
      <w:keepNext/>
      <w:spacing w:after="200" w:line="240" w:lineRule="auto"/>
    </w:pPr>
    <w:rPr>
      <w:i/>
      <w:iCs/>
      <w:color w:val="595959" w:themeColor="text2"/>
      <w:sz w:val="18"/>
      <w:szCs w:val="18"/>
    </w:rPr>
  </w:style>
  <w:style w:type="character" w:customStyle="1" w:styleId="PrzypisZnak">
    <w:name w:val="Przypis Znak"/>
    <w:basedOn w:val="FootnoteTextChar"/>
    <w:link w:val="Przypis"/>
    <w:uiPriority w:val="4"/>
    <w:rsid w:val="00FA5A29"/>
    <w:rPr>
      <w:color w:val="595959" w:themeColor="text1" w:themeTint="A6"/>
      <w:sz w:val="16"/>
      <w:szCs w:val="20"/>
      <w:lang w:val="de-DE"/>
    </w:rPr>
  </w:style>
  <w:style w:type="table" w:customStyle="1" w:styleId="Tabelasiatki3akcent11">
    <w:name w:val="Tabela siatki 3 — akcent 11"/>
    <w:basedOn w:val="TableNormal"/>
    <w:uiPriority w:val="48"/>
    <w:rsid w:val="00F97E91"/>
    <w:pPr>
      <w:spacing w:after="0" w:line="240" w:lineRule="auto"/>
    </w:pPr>
    <w:rPr>
      <w:sz w:val="24"/>
      <w:szCs w:val="24"/>
      <w:lang w:val="en-GB"/>
    </w:rPr>
    <w:tblPr>
      <w:tblStyleRowBandSize w:val="1"/>
      <w:tblStyleColBandSize w:val="1"/>
      <w:tblInd w:w="0" w:type="dxa"/>
      <w:tblBorders>
        <w:top w:val="single" w:sz="4" w:space="0" w:color="EB5B7A" w:themeColor="accent1" w:themeTint="99"/>
        <w:left w:val="single" w:sz="4" w:space="0" w:color="EB5B7A" w:themeColor="accent1" w:themeTint="99"/>
        <w:bottom w:val="single" w:sz="4" w:space="0" w:color="EB5B7A" w:themeColor="accent1" w:themeTint="99"/>
        <w:right w:val="single" w:sz="4" w:space="0" w:color="EB5B7A" w:themeColor="accent1" w:themeTint="99"/>
        <w:insideH w:val="single" w:sz="4" w:space="0" w:color="EB5B7A" w:themeColor="accent1" w:themeTint="99"/>
        <w:insideV w:val="single" w:sz="4" w:space="0" w:color="EB5B7A"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8D2" w:themeFill="accent1" w:themeFillTint="33"/>
      </w:tcPr>
    </w:tblStylePr>
    <w:tblStylePr w:type="band1Horz">
      <w:tblPr/>
      <w:tcPr>
        <w:shd w:val="clear" w:color="auto" w:fill="F8C8D2" w:themeFill="accent1" w:themeFillTint="33"/>
      </w:tcPr>
    </w:tblStylePr>
    <w:tblStylePr w:type="neCell">
      <w:tblPr/>
      <w:tcPr>
        <w:tcBorders>
          <w:bottom w:val="single" w:sz="4" w:space="0" w:color="EB5B7A" w:themeColor="accent1" w:themeTint="99"/>
        </w:tcBorders>
      </w:tcPr>
    </w:tblStylePr>
    <w:tblStylePr w:type="nwCell">
      <w:tblPr/>
      <w:tcPr>
        <w:tcBorders>
          <w:bottom w:val="single" w:sz="4" w:space="0" w:color="EB5B7A" w:themeColor="accent1" w:themeTint="99"/>
        </w:tcBorders>
      </w:tcPr>
    </w:tblStylePr>
    <w:tblStylePr w:type="seCell">
      <w:tblPr/>
      <w:tcPr>
        <w:tcBorders>
          <w:top w:val="single" w:sz="4" w:space="0" w:color="EB5B7A" w:themeColor="accent1" w:themeTint="99"/>
        </w:tcBorders>
      </w:tcPr>
    </w:tblStylePr>
    <w:tblStylePr w:type="swCell">
      <w:tblPr/>
      <w:tcPr>
        <w:tcBorders>
          <w:top w:val="single" w:sz="4" w:space="0" w:color="EB5B7A" w:themeColor="accent1" w:themeTint="99"/>
        </w:tcBorders>
      </w:tcPr>
    </w:tblStylePr>
  </w:style>
  <w:style w:type="table" w:styleId="TableGrid">
    <w:name w:val="Table Grid"/>
    <w:basedOn w:val="TableNormal"/>
    <w:uiPriority w:val="39"/>
    <w:rsid w:val="00F722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41">
    <w:name w:val="Grid Table 6 Colorful - Accent 41"/>
    <w:basedOn w:val="TableNormal"/>
    <w:uiPriority w:val="51"/>
    <w:rsid w:val="00F72242"/>
    <w:pPr>
      <w:spacing w:after="0" w:line="240" w:lineRule="auto"/>
    </w:pPr>
    <w:rPr>
      <w:color w:val="89102A" w:themeColor="accent4" w:themeShade="BF"/>
    </w:rPr>
    <w:tblPr>
      <w:tblStyleRowBandSize w:val="1"/>
      <w:tblStyleColBandSize w:val="1"/>
      <w:tblInd w:w="0" w:type="dxa"/>
      <w:tblBorders>
        <w:top w:val="single" w:sz="4" w:space="0" w:color="EB5B7A" w:themeColor="accent4" w:themeTint="99"/>
        <w:left w:val="single" w:sz="4" w:space="0" w:color="EB5B7A" w:themeColor="accent4" w:themeTint="99"/>
        <w:bottom w:val="single" w:sz="4" w:space="0" w:color="EB5B7A" w:themeColor="accent4" w:themeTint="99"/>
        <w:right w:val="single" w:sz="4" w:space="0" w:color="EB5B7A" w:themeColor="accent4" w:themeTint="99"/>
        <w:insideH w:val="single" w:sz="4" w:space="0" w:color="EB5B7A" w:themeColor="accent4" w:themeTint="99"/>
        <w:insideV w:val="single" w:sz="4" w:space="0" w:color="EB5B7A" w:themeColor="accent4" w:themeTint="99"/>
      </w:tblBorders>
      <w:tblCellMar>
        <w:top w:w="0" w:type="dxa"/>
        <w:left w:w="108" w:type="dxa"/>
        <w:bottom w:w="0" w:type="dxa"/>
        <w:right w:w="108" w:type="dxa"/>
      </w:tblCellMar>
    </w:tblPr>
    <w:tblStylePr w:type="firstRow">
      <w:rPr>
        <w:b/>
        <w:bCs/>
      </w:rPr>
      <w:tblPr/>
      <w:tcPr>
        <w:tcBorders>
          <w:bottom w:val="single" w:sz="12" w:space="0" w:color="EB5B7A" w:themeColor="accent4" w:themeTint="99"/>
        </w:tcBorders>
      </w:tcPr>
    </w:tblStylePr>
    <w:tblStylePr w:type="lastRow">
      <w:rPr>
        <w:b/>
        <w:bCs/>
      </w:rPr>
      <w:tblPr/>
      <w:tcPr>
        <w:tcBorders>
          <w:top w:val="double" w:sz="4" w:space="0" w:color="EB5B7A" w:themeColor="accent4" w:themeTint="99"/>
        </w:tcBorders>
      </w:tcPr>
    </w:tblStylePr>
    <w:tblStylePr w:type="firstCol">
      <w:rPr>
        <w:b/>
        <w:bCs/>
      </w:rPr>
    </w:tblStylePr>
    <w:tblStylePr w:type="lastCol">
      <w:rPr>
        <w:b/>
        <w:bCs/>
      </w:rPr>
    </w:tblStylePr>
    <w:tblStylePr w:type="band1Vert">
      <w:tblPr/>
      <w:tcPr>
        <w:shd w:val="clear" w:color="auto" w:fill="F8C8D2" w:themeFill="accent4" w:themeFillTint="33"/>
      </w:tcPr>
    </w:tblStylePr>
    <w:tblStylePr w:type="band1Horz">
      <w:tblPr/>
      <w:tcPr>
        <w:shd w:val="clear" w:color="auto" w:fill="F8C8D2" w:themeFill="accent4" w:themeFillTint="33"/>
      </w:tcPr>
    </w:tblStylePr>
  </w:style>
  <w:style w:type="table" w:customStyle="1" w:styleId="GridTable1Light-Accent31">
    <w:name w:val="Grid Table 1 Light - Accent 31"/>
    <w:basedOn w:val="TableNormal"/>
    <w:uiPriority w:val="46"/>
    <w:rsid w:val="00F72242"/>
    <w:pPr>
      <w:spacing w:after="0" w:line="240" w:lineRule="auto"/>
    </w:pPr>
    <w:tblPr>
      <w:tblStyleRowBandSize w:val="1"/>
      <w:tblStyleColBandSize w:val="1"/>
      <w:tblInd w:w="0" w:type="dxa"/>
      <w:tblBorders>
        <w:top w:val="single" w:sz="4" w:space="0" w:color="EB5F7C" w:themeColor="accent3" w:themeTint="66"/>
        <w:left w:val="single" w:sz="4" w:space="0" w:color="EB5F7C" w:themeColor="accent3" w:themeTint="66"/>
        <w:bottom w:val="single" w:sz="4" w:space="0" w:color="EB5F7C" w:themeColor="accent3" w:themeTint="66"/>
        <w:right w:val="single" w:sz="4" w:space="0" w:color="EB5F7C" w:themeColor="accent3" w:themeTint="66"/>
        <w:insideH w:val="single" w:sz="4" w:space="0" w:color="EB5F7C" w:themeColor="accent3" w:themeTint="66"/>
        <w:insideV w:val="single" w:sz="4" w:space="0" w:color="EB5F7C" w:themeColor="accent3" w:themeTint="66"/>
      </w:tblBorders>
      <w:tblCellMar>
        <w:top w:w="0" w:type="dxa"/>
        <w:left w:w="108" w:type="dxa"/>
        <w:bottom w:w="0" w:type="dxa"/>
        <w:right w:w="108" w:type="dxa"/>
      </w:tblCellMar>
    </w:tblPr>
    <w:tblStylePr w:type="firstRow">
      <w:rPr>
        <w:b/>
        <w:bCs/>
      </w:rPr>
      <w:tblPr/>
      <w:tcPr>
        <w:tcBorders>
          <w:bottom w:val="single" w:sz="12" w:space="0" w:color="D61B41" w:themeColor="accent3" w:themeTint="99"/>
        </w:tcBorders>
      </w:tcPr>
    </w:tblStylePr>
    <w:tblStylePr w:type="lastRow">
      <w:rPr>
        <w:b/>
        <w:bCs/>
      </w:rPr>
      <w:tblPr/>
      <w:tcPr>
        <w:tcBorders>
          <w:top w:val="double" w:sz="2" w:space="0" w:color="D61B41" w:themeColor="accent3" w:themeTint="99"/>
        </w:tcBorders>
      </w:tcPr>
    </w:tblStylePr>
    <w:tblStylePr w:type="firstCol">
      <w:rPr>
        <w:b/>
        <w:bCs/>
      </w:rPr>
    </w:tblStylePr>
    <w:tblStylePr w:type="lastCol">
      <w:rPr>
        <w:b/>
        <w:bCs/>
      </w:rPr>
    </w:tblStylePr>
  </w:style>
  <w:style w:type="paragraph" w:customStyle="1" w:styleId="Nagwekbeznumeracji">
    <w:name w:val="Nagłówek bez numeracji"/>
    <w:basedOn w:val="Heading1"/>
    <w:next w:val="Normal"/>
    <w:link w:val="NagwekbeznumeracjiZnak"/>
    <w:uiPriority w:val="10"/>
    <w:qFormat/>
    <w:rsid w:val="000E0F1E"/>
    <w:pPr>
      <w:numPr>
        <w:numId w:val="0"/>
      </w:numPr>
    </w:pPr>
    <w:rPr>
      <w:lang w:val="en-US"/>
    </w:rPr>
  </w:style>
  <w:style w:type="paragraph" w:styleId="TOCHeading">
    <w:name w:val="TOC Heading"/>
    <w:basedOn w:val="Heading1"/>
    <w:next w:val="Normal"/>
    <w:uiPriority w:val="39"/>
    <w:unhideWhenUsed/>
    <w:qFormat/>
    <w:rsid w:val="00BD7F5C"/>
    <w:pPr>
      <w:numPr>
        <w:numId w:val="0"/>
      </w:numPr>
      <w:spacing w:before="240" w:after="480" w:line="259" w:lineRule="auto"/>
      <w:outlineLvl w:val="9"/>
    </w:pPr>
    <w:rPr>
      <w:color w:val="B81639" w:themeColor="accent1"/>
      <w:sz w:val="32"/>
      <w:lang w:val="pl-PL" w:eastAsia="pl-PL"/>
    </w:rPr>
  </w:style>
  <w:style w:type="character" w:customStyle="1" w:styleId="NagwekbeznumeracjiZnak">
    <w:name w:val="Nagłówek bez numeracji Znak"/>
    <w:basedOn w:val="Heading1Char"/>
    <w:link w:val="Nagwekbeznumeracji"/>
    <w:uiPriority w:val="10"/>
    <w:rsid w:val="00FA5A29"/>
    <w:rPr>
      <w:rFonts w:asciiTheme="majorHAnsi" w:eastAsiaTheme="majorEastAsia" w:hAnsiTheme="majorHAnsi" w:cstheme="majorBidi"/>
      <w:color w:val="B81639"/>
      <w:sz w:val="36"/>
      <w:szCs w:val="32"/>
      <w:lang w:val="en-US"/>
    </w:rPr>
  </w:style>
  <w:style w:type="paragraph" w:styleId="TOC1">
    <w:name w:val="toc 1"/>
    <w:basedOn w:val="Normal"/>
    <w:next w:val="Normal"/>
    <w:autoRedefine/>
    <w:uiPriority w:val="39"/>
    <w:unhideWhenUsed/>
    <w:rsid w:val="00C17B48"/>
    <w:pPr>
      <w:spacing w:after="100"/>
      <w:ind w:left="0"/>
    </w:pPr>
  </w:style>
  <w:style w:type="paragraph" w:styleId="TOC2">
    <w:name w:val="toc 2"/>
    <w:basedOn w:val="Normal"/>
    <w:next w:val="Normal"/>
    <w:autoRedefine/>
    <w:uiPriority w:val="39"/>
    <w:unhideWhenUsed/>
    <w:rsid w:val="00C17B48"/>
    <w:pPr>
      <w:spacing w:after="100"/>
      <w:ind w:left="220"/>
    </w:pPr>
  </w:style>
  <w:style w:type="paragraph" w:styleId="TOC3">
    <w:name w:val="toc 3"/>
    <w:basedOn w:val="Normal"/>
    <w:next w:val="Normal"/>
    <w:autoRedefine/>
    <w:uiPriority w:val="39"/>
    <w:unhideWhenUsed/>
    <w:rsid w:val="00C17B48"/>
    <w:pPr>
      <w:spacing w:after="100"/>
      <w:ind w:left="440"/>
    </w:pPr>
  </w:style>
  <w:style w:type="character" w:styleId="Hyperlink">
    <w:name w:val="Hyperlink"/>
    <w:basedOn w:val="DefaultParagraphFont"/>
    <w:uiPriority w:val="99"/>
    <w:unhideWhenUsed/>
    <w:rsid w:val="00C17B48"/>
    <w:rPr>
      <w:color w:val="780E25" w:themeColor="hyperlink"/>
      <w:u w:val="single"/>
    </w:rPr>
  </w:style>
  <w:style w:type="paragraph" w:styleId="TableofFigures">
    <w:name w:val="table of figures"/>
    <w:basedOn w:val="Normal"/>
    <w:next w:val="Normal"/>
    <w:uiPriority w:val="99"/>
    <w:unhideWhenUsed/>
    <w:rsid w:val="000E0F1E"/>
    <w:pPr>
      <w:spacing w:after="0"/>
      <w:ind w:left="0"/>
    </w:pPr>
  </w:style>
  <w:style w:type="paragraph" w:customStyle="1" w:styleId="Bezwcicia">
    <w:name w:val="Bez wcięcia"/>
    <w:basedOn w:val="Normal"/>
    <w:uiPriority w:val="1"/>
    <w:qFormat/>
    <w:rsid w:val="00FA5A29"/>
    <w:pPr>
      <w:ind w:left="0"/>
    </w:pPr>
  </w:style>
  <w:style w:type="paragraph" w:styleId="ListParagraph">
    <w:name w:val="List Paragraph"/>
    <w:basedOn w:val="Normal"/>
    <w:uiPriority w:val="34"/>
    <w:unhideWhenUsed/>
    <w:qFormat/>
    <w:rsid w:val="00814743"/>
    <w:pPr>
      <w:numPr>
        <w:numId w:val="4"/>
      </w:numPr>
      <w:spacing w:line="360" w:lineRule="auto"/>
      <w:contextualSpacing/>
    </w:pPr>
    <w:rPr>
      <w:lang w:val="en-US"/>
    </w:rPr>
  </w:style>
  <w:style w:type="numbering" w:customStyle="1" w:styleId="NoList1">
    <w:name w:val="No List1"/>
    <w:next w:val="NoList"/>
    <w:uiPriority w:val="99"/>
    <w:semiHidden/>
    <w:unhideWhenUsed/>
    <w:rsid w:val="001B5FAB"/>
  </w:style>
  <w:style w:type="table" w:customStyle="1" w:styleId="TableNormal1">
    <w:name w:val="Table Normal1"/>
    <w:rsid w:val="001B5F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_tradnl"/>
    </w:rPr>
    <w:tblPr>
      <w:tblInd w:w="0" w:type="dxa"/>
      <w:tblCellMar>
        <w:top w:w="0" w:type="dxa"/>
        <w:left w:w="0" w:type="dxa"/>
        <w:bottom w:w="0" w:type="dxa"/>
        <w:right w:w="0" w:type="dxa"/>
      </w:tblCellMar>
    </w:tblPr>
  </w:style>
  <w:style w:type="paragraph" w:customStyle="1" w:styleId="Cuerpo">
    <w:name w:val="Cuerpo"/>
    <w:rsid w:val="001B5FAB"/>
    <w:pPr>
      <w:pBdr>
        <w:top w:val="nil"/>
        <w:left w:val="nil"/>
        <w:bottom w:val="nil"/>
        <w:right w:val="nil"/>
        <w:between w:val="nil"/>
        <w:bar w:val="nil"/>
      </w:pBdr>
      <w:spacing w:before="300" w:after="300" w:line="360" w:lineRule="auto"/>
      <w:jc w:val="both"/>
    </w:pPr>
    <w:rPr>
      <w:rFonts w:ascii="Helvetica Neue" w:eastAsia="Arial Unicode MS" w:hAnsi="Helvetica Neue" w:cs="Arial Unicode MS"/>
      <w:color w:val="000000"/>
      <w:sz w:val="24"/>
      <w:szCs w:val="24"/>
      <w:bdr w:val="nil"/>
      <w:lang w:val="es-ES_tradnl" w:eastAsia="es-ES_tradnl"/>
    </w:rPr>
  </w:style>
  <w:style w:type="paragraph" w:customStyle="1" w:styleId="Cuerpovietas">
    <w:name w:val="Cuerpo (viñetas)"/>
    <w:rsid w:val="001B5FAB"/>
    <w:pPr>
      <w:pBdr>
        <w:top w:val="nil"/>
        <w:left w:val="nil"/>
        <w:bottom w:val="nil"/>
        <w:right w:val="nil"/>
        <w:between w:val="nil"/>
        <w:bar w:val="nil"/>
      </w:pBdr>
      <w:spacing w:after="100" w:line="360" w:lineRule="auto"/>
      <w:jc w:val="both"/>
    </w:pPr>
    <w:rPr>
      <w:rFonts w:ascii="Helvetica Neue" w:eastAsia="Helvetica Neue" w:hAnsi="Helvetica Neue" w:cs="Helvetica Neue"/>
      <w:color w:val="000000"/>
      <w:sz w:val="24"/>
      <w:szCs w:val="24"/>
      <w:bdr w:val="nil"/>
      <w:lang w:val="es-ES" w:eastAsia="es-ES_tradnl"/>
    </w:rPr>
  </w:style>
  <w:style w:type="numbering" w:customStyle="1" w:styleId="NmerosIseak">
    <w:name w:val="Números Iseak"/>
    <w:rsid w:val="001B5FAB"/>
    <w:pPr>
      <w:numPr>
        <w:numId w:val="5"/>
      </w:numPr>
    </w:pPr>
  </w:style>
  <w:style w:type="character" w:customStyle="1" w:styleId="Ninguno">
    <w:name w:val="Ninguno"/>
    <w:rsid w:val="001B5FAB"/>
    <w:rPr>
      <w:lang w:val="es-ES_tradnl"/>
    </w:rPr>
  </w:style>
  <w:style w:type="numbering" w:customStyle="1" w:styleId="VietaIseak">
    <w:name w:val="Viñeta Iseak"/>
    <w:rsid w:val="001B5FAB"/>
    <w:pPr>
      <w:numPr>
        <w:numId w:val="7"/>
      </w:numPr>
    </w:pPr>
  </w:style>
  <w:style w:type="table" w:customStyle="1" w:styleId="TableGrid1">
    <w:name w:val="Table Grid1"/>
    <w:basedOn w:val="TableNormal"/>
    <w:next w:val="TableGrid"/>
    <w:uiPriority w:val="59"/>
    <w:rsid w:val="001B5FA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ES"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1B5FAB"/>
    <w:pPr>
      <w:spacing w:after="0" w:line="240" w:lineRule="auto"/>
    </w:pPr>
    <w:rPr>
      <w:rFonts w:ascii="Times New Roman" w:eastAsia="Arial Unicode MS" w:hAnsi="Times New Roman" w:cs="Times New Roman"/>
      <w:sz w:val="24"/>
      <w:szCs w:val="24"/>
      <w:bdr w:val="nil"/>
      <w:lang w:val="en-US"/>
    </w:rPr>
  </w:style>
  <w:style w:type="paragraph" w:customStyle="1" w:styleId="CommentText1">
    <w:name w:val="Comment Text1"/>
    <w:basedOn w:val="Normal"/>
    <w:next w:val="CommentText"/>
    <w:uiPriority w:val="99"/>
    <w:unhideWhenUsed/>
    <w:rsid w:val="001B5FAB"/>
    <w:pPr>
      <w:widowControl w:val="0"/>
      <w:spacing w:after="283" w:line="240" w:lineRule="auto"/>
      <w:ind w:left="-181" w:right="-181"/>
    </w:pPr>
    <w:rPr>
      <w:rFonts w:ascii="Calibri" w:eastAsia="Calibri" w:hAnsi="Calibri" w:cs="Calibri"/>
      <w:color w:val="000000"/>
      <w:sz w:val="20"/>
      <w:szCs w:val="20"/>
      <w:bdr w:val="nil"/>
      <w:lang w:val="es-ES" w:eastAsia="en-GB"/>
    </w:rPr>
  </w:style>
  <w:style w:type="character" w:customStyle="1" w:styleId="CommentTextChar1">
    <w:name w:val="Comment Text Char1"/>
    <w:basedOn w:val="DefaultParagraphFont"/>
    <w:uiPriority w:val="99"/>
    <w:semiHidden/>
    <w:rsid w:val="001B5FAB"/>
    <w:rPr>
      <w:lang w:val="en-US" w:eastAsia="en-US"/>
    </w:rPr>
  </w:style>
  <w:style w:type="character" w:customStyle="1" w:styleId="FollowedHyperlink1">
    <w:name w:val="FollowedHyperlink1"/>
    <w:basedOn w:val="DefaultParagraphFont"/>
    <w:uiPriority w:val="99"/>
    <w:semiHidden/>
    <w:unhideWhenUsed/>
    <w:rsid w:val="001B5FAB"/>
    <w:rPr>
      <w:color w:val="FF00FF"/>
      <w:u w:val="single"/>
    </w:rPr>
  </w:style>
  <w:style w:type="paragraph" w:styleId="NormalWeb">
    <w:name w:val="Normal (Web)"/>
    <w:basedOn w:val="Normal"/>
    <w:uiPriority w:val="99"/>
    <w:semiHidden/>
    <w:unhideWhenUsed/>
    <w:rsid w:val="001B5FAB"/>
    <w:pPr>
      <w:spacing w:before="100" w:beforeAutospacing="1" w:after="100" w:afterAutospacing="1" w:line="240" w:lineRule="auto"/>
      <w:ind w:left="0"/>
      <w:jc w:val="left"/>
    </w:pPr>
    <w:rPr>
      <w:rFonts w:ascii="Times New Roman" w:eastAsia="Times New Roman" w:hAnsi="Times New Roman" w:cs="Times New Roman"/>
      <w:sz w:val="24"/>
      <w:szCs w:val="24"/>
      <w:lang w:val="en-US"/>
    </w:rPr>
  </w:style>
  <w:style w:type="paragraph" w:customStyle="1" w:styleId="Nincsbekezdsstlus">
    <w:name w:val="[Nincs bekezdésstílus]"/>
    <w:link w:val="NincsbekezdsstlusChar"/>
    <w:rsid w:val="001B5FAB"/>
    <w:pPr>
      <w:autoSpaceDE w:val="0"/>
      <w:autoSpaceDN w:val="0"/>
      <w:adjustRightInd w:val="0"/>
      <w:spacing w:after="0" w:line="288" w:lineRule="auto"/>
      <w:textAlignment w:val="center"/>
    </w:pPr>
    <w:rPr>
      <w:rFonts w:ascii="Times" w:eastAsia="Calibri" w:hAnsi="Times" w:cs="Times"/>
      <w:color w:val="000000"/>
      <w:sz w:val="24"/>
      <w:szCs w:val="24"/>
      <w:lang w:val="en-GB" w:eastAsia="hu-HU"/>
    </w:rPr>
  </w:style>
  <w:style w:type="character" w:customStyle="1" w:styleId="NincsbekezdsstlusChar">
    <w:name w:val="[Nincs bekezdésstílus] Char"/>
    <w:basedOn w:val="DefaultParagraphFont"/>
    <w:link w:val="Nincsbekezdsstlus"/>
    <w:rsid w:val="001B5FAB"/>
    <w:rPr>
      <w:rFonts w:ascii="Times" w:eastAsia="Calibri" w:hAnsi="Times" w:cs="Times"/>
      <w:color w:val="000000"/>
      <w:sz w:val="24"/>
      <w:szCs w:val="24"/>
      <w:lang w:val="en-GB" w:eastAsia="hu-HU"/>
    </w:rPr>
  </w:style>
  <w:style w:type="paragraph" w:customStyle="1" w:styleId="1Title">
    <w:name w:val="1 Title"/>
    <w:basedOn w:val="Nincsbekezdsstlus"/>
    <w:link w:val="1TitleChar"/>
    <w:autoRedefine/>
    <w:qFormat/>
    <w:rsid w:val="001B5FAB"/>
    <w:pPr>
      <w:numPr>
        <w:numId w:val="13"/>
      </w:numPr>
      <w:suppressAutoHyphens/>
      <w:spacing w:before="240" w:after="120"/>
    </w:pPr>
    <w:rPr>
      <w:rFonts w:ascii="Calibri" w:hAnsi="Calibri" w:cs="Calibri"/>
      <w:b/>
      <w:caps/>
      <w:color w:val="AF1310"/>
      <w:sz w:val="28"/>
      <w:szCs w:val="28"/>
      <w:lang w:val="en-US"/>
    </w:rPr>
  </w:style>
  <w:style w:type="character" w:customStyle="1" w:styleId="1TitleChar">
    <w:name w:val="1 Title Char"/>
    <w:basedOn w:val="NincsbekezdsstlusChar"/>
    <w:link w:val="1Title"/>
    <w:rsid w:val="001B5FAB"/>
    <w:rPr>
      <w:rFonts w:ascii="Calibri" w:eastAsia="Calibri" w:hAnsi="Calibri" w:cs="Calibri"/>
      <w:b/>
      <w:caps/>
      <w:color w:val="AF1310"/>
      <w:sz w:val="28"/>
      <w:szCs w:val="28"/>
      <w:lang w:val="en-US" w:eastAsia="hu-HU"/>
    </w:rPr>
  </w:style>
  <w:style w:type="paragraph" w:customStyle="1" w:styleId="2Subtitle">
    <w:name w:val="2 Subtitle"/>
    <w:basedOn w:val="Nincsbekezdsstlus"/>
    <w:link w:val="2SubtitleChar"/>
    <w:autoRedefine/>
    <w:qFormat/>
    <w:rsid w:val="001B5FAB"/>
    <w:pPr>
      <w:suppressAutoHyphens/>
      <w:spacing w:before="240" w:after="120" w:line="240" w:lineRule="auto"/>
      <w:ind w:left="720" w:hanging="360"/>
    </w:pPr>
    <w:rPr>
      <w:rFonts w:ascii="Calibri" w:hAnsi="Calibri" w:cs="Calibri"/>
      <w:b/>
      <w:caps/>
      <w:color w:val="68686C"/>
      <w:szCs w:val="28"/>
    </w:rPr>
  </w:style>
  <w:style w:type="character" w:customStyle="1" w:styleId="2SubtitleChar">
    <w:name w:val="2 Subtitle Char"/>
    <w:basedOn w:val="NincsbekezdsstlusChar"/>
    <w:link w:val="2Subtitle"/>
    <w:rsid w:val="001B5FAB"/>
    <w:rPr>
      <w:rFonts w:ascii="Calibri" w:eastAsia="Calibri" w:hAnsi="Calibri" w:cs="Calibri"/>
      <w:b/>
      <w:caps/>
      <w:color w:val="68686C"/>
      <w:sz w:val="24"/>
      <w:szCs w:val="28"/>
      <w:lang w:val="en-GB" w:eastAsia="hu-HU"/>
    </w:rPr>
  </w:style>
  <w:style w:type="paragraph" w:customStyle="1" w:styleId="BodyText1">
    <w:name w:val="Body Text1"/>
    <w:basedOn w:val="Nincsbekezdsstlus"/>
    <w:link w:val="bodytextChar"/>
    <w:qFormat/>
    <w:rsid w:val="001B5FAB"/>
    <w:pPr>
      <w:spacing w:before="120" w:after="120" w:line="240" w:lineRule="auto"/>
      <w:jc w:val="both"/>
    </w:pPr>
    <w:rPr>
      <w:rFonts w:ascii="Calibri" w:hAnsi="Calibri" w:cs="Calibri"/>
      <w:lang w:val="en-US"/>
    </w:rPr>
  </w:style>
  <w:style w:type="character" w:customStyle="1" w:styleId="bodytextChar">
    <w:name w:val="body text Char"/>
    <w:basedOn w:val="NincsbekezdsstlusChar"/>
    <w:link w:val="BodyText1"/>
    <w:rsid w:val="001B5FAB"/>
    <w:rPr>
      <w:rFonts w:ascii="Calibri" w:eastAsia="Calibri" w:hAnsi="Calibri" w:cs="Calibri"/>
      <w:color w:val="000000"/>
      <w:sz w:val="24"/>
      <w:szCs w:val="24"/>
      <w:lang w:val="en-US" w:eastAsia="hu-HU"/>
    </w:rPr>
  </w:style>
  <w:style w:type="paragraph" w:customStyle="1" w:styleId="Footnote">
    <w:name w:val="Footnote"/>
    <w:basedOn w:val="FootnoteText"/>
    <w:link w:val="FootnoteChar"/>
    <w:qFormat/>
    <w:rsid w:val="001B5FAB"/>
    <w:pPr>
      <w:widowControl w:val="0"/>
      <w:ind w:left="-181" w:right="-181"/>
    </w:pPr>
    <w:rPr>
      <w:rFonts w:ascii="NeuzeitS-Book" w:eastAsia="Calibri" w:hAnsi="NeuzeitS-Book" w:cs="NeuzeitS-Book"/>
      <w:color w:val="000000"/>
      <w:sz w:val="18"/>
      <w:lang w:val="en-GB" w:eastAsia="en-GB"/>
    </w:rPr>
  </w:style>
  <w:style w:type="character" w:customStyle="1" w:styleId="FootnoteChar">
    <w:name w:val="Footnote Char"/>
    <w:basedOn w:val="FootnoteTextChar"/>
    <w:link w:val="Footnote"/>
    <w:rsid w:val="001B5FAB"/>
    <w:rPr>
      <w:rFonts w:ascii="NeuzeitS-Book" w:eastAsia="Calibri" w:hAnsi="NeuzeitS-Book" w:cs="NeuzeitS-Book"/>
      <w:color w:val="000000"/>
      <w:sz w:val="18"/>
      <w:szCs w:val="20"/>
      <w:lang w:val="en-GB" w:eastAsia="en-GB"/>
    </w:rPr>
  </w:style>
  <w:style w:type="paragraph" w:customStyle="1" w:styleId="TOCListofTablesFigures">
    <w:name w:val="TOC List of Tables Figures"/>
    <w:basedOn w:val="Normal"/>
    <w:link w:val="TOCListofTablesFiguresChar"/>
    <w:qFormat/>
    <w:rsid w:val="001B5FAB"/>
    <w:pPr>
      <w:suppressAutoHyphens/>
      <w:autoSpaceDE w:val="0"/>
      <w:autoSpaceDN w:val="0"/>
      <w:adjustRightInd w:val="0"/>
      <w:spacing w:before="240" w:after="120" w:line="288" w:lineRule="auto"/>
      <w:ind w:left="0"/>
      <w:jc w:val="left"/>
      <w:textAlignment w:val="center"/>
    </w:pPr>
    <w:rPr>
      <w:rFonts w:ascii="Calibri" w:eastAsia="Calibri" w:hAnsi="Calibri" w:cs="Calibri"/>
      <w:b/>
      <w:caps/>
      <w:color w:val="68686C"/>
      <w:sz w:val="28"/>
      <w:szCs w:val="28"/>
      <w:lang w:val="en-US" w:eastAsia="hu-HU"/>
    </w:rPr>
  </w:style>
  <w:style w:type="character" w:customStyle="1" w:styleId="TOCListofTablesFiguresChar">
    <w:name w:val="TOC List of Tables Figures Char"/>
    <w:basedOn w:val="DefaultParagraphFont"/>
    <w:link w:val="TOCListofTablesFigures"/>
    <w:rsid w:val="001B5FAB"/>
    <w:rPr>
      <w:rFonts w:ascii="Calibri" w:eastAsia="Calibri" w:hAnsi="Calibri" w:cs="Calibri"/>
      <w:b/>
      <w:caps/>
      <w:color w:val="68686C"/>
      <w:sz w:val="28"/>
      <w:szCs w:val="28"/>
      <w:lang w:val="en-US" w:eastAsia="hu-HU"/>
    </w:rPr>
  </w:style>
  <w:style w:type="character" w:customStyle="1" w:styleId="hotkey-layer">
    <w:name w:val="hotkey-layer"/>
    <w:basedOn w:val="DefaultParagraphFont"/>
    <w:rsid w:val="001B5FAB"/>
  </w:style>
  <w:style w:type="paragraph" w:styleId="Bibliography">
    <w:name w:val="Bibliography"/>
    <w:basedOn w:val="Normal"/>
    <w:next w:val="Normal"/>
    <w:uiPriority w:val="37"/>
    <w:semiHidden/>
    <w:unhideWhenUsed/>
    <w:rsid w:val="001B5FAB"/>
    <w:pPr>
      <w:pBdr>
        <w:top w:val="nil"/>
        <w:left w:val="nil"/>
        <w:bottom w:val="nil"/>
        <w:right w:val="nil"/>
        <w:between w:val="nil"/>
        <w:bar w:val="nil"/>
      </w:pBdr>
      <w:spacing w:after="0" w:line="240" w:lineRule="auto"/>
      <w:ind w:left="0"/>
      <w:jc w:val="left"/>
    </w:pPr>
    <w:rPr>
      <w:rFonts w:ascii="Times New Roman" w:eastAsia="Arial Unicode MS" w:hAnsi="Times New Roman" w:cs="Times New Roman"/>
      <w:sz w:val="24"/>
      <w:szCs w:val="24"/>
      <w:bdr w:val="nil"/>
      <w:lang w:val="en-US"/>
    </w:rPr>
  </w:style>
  <w:style w:type="character" w:styleId="FollowedHyperlink">
    <w:name w:val="FollowedHyperlink"/>
    <w:basedOn w:val="DefaultParagraphFont"/>
    <w:uiPriority w:val="99"/>
    <w:semiHidden/>
    <w:unhideWhenUsed/>
    <w:rsid w:val="001B5FAB"/>
    <w:rPr>
      <w:color w:val="380711" w:themeColor="followedHyperlink"/>
      <w:u w:val="single"/>
    </w:rPr>
  </w:style>
  <w:style w:type="character" w:customStyle="1" w:styleId="author-13708016827">
    <w:name w:val="author-13708016827"/>
    <w:basedOn w:val="DefaultParagraphFont"/>
    <w:rsid w:val="0054509A"/>
  </w:style>
  <w:style w:type="character" w:customStyle="1" w:styleId="UnresolvedMention1">
    <w:name w:val="Unresolved Mention1"/>
    <w:basedOn w:val="DefaultParagraphFont"/>
    <w:uiPriority w:val="99"/>
    <w:semiHidden/>
    <w:unhideWhenUsed/>
    <w:rsid w:val="006127A8"/>
    <w:rPr>
      <w:color w:val="605E5C"/>
      <w:shd w:val="clear" w:color="auto" w:fill="E1DFDD"/>
    </w:rPr>
  </w:style>
  <w:style w:type="character" w:customStyle="1" w:styleId="qv3wpe">
    <w:name w:val="qv3wpe"/>
    <w:basedOn w:val="DefaultParagraphFont"/>
    <w:rsid w:val="00126292"/>
  </w:style>
  <w:style w:type="table" w:customStyle="1" w:styleId="BItable1">
    <w:name w:val="BI_table1"/>
    <w:basedOn w:val="TableNormal"/>
    <w:uiPriority w:val="99"/>
    <w:rsid w:val="007144C3"/>
    <w:pPr>
      <w:spacing w:after="0" w:line="240" w:lineRule="auto"/>
      <w:jc w:val="right"/>
    </w:pPr>
    <w:rPr>
      <w:rFonts w:ascii="Calibri" w:eastAsia="Calibri" w:hAnsi="Calibri" w:cstheme="minorHAnsi"/>
      <w:color w:val="000000"/>
      <w:sz w:val="24"/>
      <w:lang w:val="en-GB"/>
    </w:rPr>
    <w:tblPr>
      <w:tblInd w:w="0" w:type="dxa"/>
      <w:tblBorders>
        <w:top w:val="dotted" w:sz="4" w:space="0" w:color="B1B2B6"/>
        <w:bottom w:val="dotted" w:sz="4" w:space="0" w:color="AF1310"/>
        <w:insideH w:val="dotted" w:sz="4" w:space="0" w:color="B1B2B6"/>
      </w:tblBorders>
      <w:tblCellMar>
        <w:top w:w="0" w:type="dxa"/>
        <w:left w:w="108" w:type="dxa"/>
        <w:bottom w:w="0" w:type="dxa"/>
        <w:right w:w="108" w:type="dxa"/>
      </w:tblCellMar>
    </w:tblPr>
    <w:tcPr>
      <w:shd w:val="clear" w:color="auto" w:fill="FFFFFF"/>
      <w:tcMar>
        <w:top w:w="57" w:type="dxa"/>
        <w:bottom w:w="57" w:type="dxa"/>
      </w:tcMar>
    </w:tcPr>
    <w:tblStylePr w:type="firstRow">
      <w:pPr>
        <w:jc w:val="center"/>
      </w:pPr>
      <w:rPr>
        <w:b/>
      </w:rPr>
      <w:tblPr/>
      <w:tcPr>
        <w:tcBorders>
          <w:top w:val="dotted" w:sz="4" w:space="0" w:color="AF1310"/>
          <w:bottom w:val="dotted" w:sz="4" w:space="0" w:color="AF1310"/>
        </w:tcBorders>
      </w:tcPr>
    </w:tblStylePr>
    <w:tblStylePr w:type="lastRow">
      <w:pPr>
        <w:jc w:val="right"/>
      </w:pPr>
      <w:rPr>
        <w:b/>
      </w:rPr>
      <w:tblPr/>
      <w:tcPr>
        <w:tcBorders>
          <w:bottom w:val="dotted" w:sz="4" w:space="0" w:color="AF1310"/>
        </w:tcBorders>
      </w:tcPr>
    </w:tblStylePr>
    <w:tblStylePr w:type="firstCol">
      <w:pPr>
        <w:jc w:val="left"/>
      </w:pPr>
      <w:rPr>
        <w:b w:val="0"/>
      </w:rPr>
    </w:tblStylePr>
    <w:tblStylePr w:type="nwCell">
      <w:pPr>
        <w:jc w:val="left"/>
      </w:pPr>
      <w:rPr>
        <w:b/>
      </w:rPr>
    </w:tblStylePr>
  </w:style>
  <w:style w:type="character" w:customStyle="1" w:styleId="UnresolvedMention">
    <w:name w:val="Unresolved Mention"/>
    <w:basedOn w:val="DefaultParagraphFont"/>
    <w:uiPriority w:val="99"/>
    <w:semiHidden/>
    <w:unhideWhenUsed/>
    <w:rsid w:val="00A209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9417842">
      <w:bodyDiv w:val="1"/>
      <w:marLeft w:val="0"/>
      <w:marRight w:val="0"/>
      <w:marTop w:val="0"/>
      <w:marBottom w:val="0"/>
      <w:divBdr>
        <w:top w:val="none" w:sz="0" w:space="0" w:color="auto"/>
        <w:left w:val="none" w:sz="0" w:space="0" w:color="auto"/>
        <w:bottom w:val="none" w:sz="0" w:space="0" w:color="auto"/>
        <w:right w:val="none" w:sz="0" w:space="0" w:color="auto"/>
      </w:divBdr>
      <w:divsChild>
        <w:div w:id="250436384">
          <w:marLeft w:val="480"/>
          <w:marRight w:val="0"/>
          <w:marTop w:val="0"/>
          <w:marBottom w:val="0"/>
          <w:divBdr>
            <w:top w:val="none" w:sz="0" w:space="0" w:color="auto"/>
            <w:left w:val="none" w:sz="0" w:space="0" w:color="auto"/>
            <w:bottom w:val="none" w:sz="0" w:space="0" w:color="auto"/>
            <w:right w:val="none" w:sz="0" w:space="0" w:color="auto"/>
          </w:divBdr>
          <w:divsChild>
            <w:div w:id="3387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65597">
      <w:bodyDiv w:val="1"/>
      <w:marLeft w:val="0"/>
      <w:marRight w:val="0"/>
      <w:marTop w:val="0"/>
      <w:marBottom w:val="0"/>
      <w:divBdr>
        <w:top w:val="none" w:sz="0" w:space="0" w:color="auto"/>
        <w:left w:val="none" w:sz="0" w:space="0" w:color="auto"/>
        <w:bottom w:val="none" w:sz="0" w:space="0" w:color="auto"/>
        <w:right w:val="none" w:sz="0" w:space="0" w:color="auto"/>
      </w:divBdr>
      <w:divsChild>
        <w:div w:id="1333559018">
          <w:marLeft w:val="480"/>
          <w:marRight w:val="0"/>
          <w:marTop w:val="0"/>
          <w:marBottom w:val="0"/>
          <w:divBdr>
            <w:top w:val="none" w:sz="0" w:space="0" w:color="auto"/>
            <w:left w:val="none" w:sz="0" w:space="0" w:color="auto"/>
            <w:bottom w:val="none" w:sz="0" w:space="0" w:color="auto"/>
            <w:right w:val="none" w:sz="0" w:space="0" w:color="auto"/>
          </w:divBdr>
          <w:divsChild>
            <w:div w:id="2272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90930">
      <w:bodyDiv w:val="1"/>
      <w:marLeft w:val="0"/>
      <w:marRight w:val="0"/>
      <w:marTop w:val="0"/>
      <w:marBottom w:val="0"/>
      <w:divBdr>
        <w:top w:val="none" w:sz="0" w:space="0" w:color="auto"/>
        <w:left w:val="none" w:sz="0" w:space="0" w:color="auto"/>
        <w:bottom w:val="none" w:sz="0" w:space="0" w:color="auto"/>
        <w:right w:val="none" w:sz="0" w:space="0" w:color="auto"/>
      </w:divBdr>
      <w:divsChild>
        <w:div w:id="1511795175">
          <w:marLeft w:val="480"/>
          <w:marRight w:val="0"/>
          <w:marTop w:val="0"/>
          <w:marBottom w:val="0"/>
          <w:divBdr>
            <w:top w:val="none" w:sz="0" w:space="0" w:color="auto"/>
            <w:left w:val="none" w:sz="0" w:space="0" w:color="auto"/>
            <w:bottom w:val="none" w:sz="0" w:space="0" w:color="auto"/>
            <w:right w:val="none" w:sz="0" w:space="0" w:color="auto"/>
          </w:divBdr>
          <w:divsChild>
            <w:div w:id="11164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7020">
      <w:bodyDiv w:val="1"/>
      <w:marLeft w:val="0"/>
      <w:marRight w:val="0"/>
      <w:marTop w:val="0"/>
      <w:marBottom w:val="0"/>
      <w:divBdr>
        <w:top w:val="none" w:sz="0" w:space="0" w:color="auto"/>
        <w:left w:val="none" w:sz="0" w:space="0" w:color="auto"/>
        <w:bottom w:val="none" w:sz="0" w:space="0" w:color="auto"/>
        <w:right w:val="none" w:sz="0" w:space="0" w:color="auto"/>
      </w:divBdr>
    </w:div>
    <w:div w:id="348065232">
      <w:bodyDiv w:val="1"/>
      <w:marLeft w:val="0"/>
      <w:marRight w:val="0"/>
      <w:marTop w:val="0"/>
      <w:marBottom w:val="0"/>
      <w:divBdr>
        <w:top w:val="none" w:sz="0" w:space="0" w:color="auto"/>
        <w:left w:val="none" w:sz="0" w:space="0" w:color="auto"/>
        <w:bottom w:val="none" w:sz="0" w:space="0" w:color="auto"/>
        <w:right w:val="none" w:sz="0" w:space="0" w:color="auto"/>
      </w:divBdr>
      <w:divsChild>
        <w:div w:id="1665890049">
          <w:marLeft w:val="480"/>
          <w:marRight w:val="0"/>
          <w:marTop w:val="0"/>
          <w:marBottom w:val="0"/>
          <w:divBdr>
            <w:top w:val="none" w:sz="0" w:space="0" w:color="auto"/>
            <w:left w:val="none" w:sz="0" w:space="0" w:color="auto"/>
            <w:bottom w:val="none" w:sz="0" w:space="0" w:color="auto"/>
            <w:right w:val="none" w:sz="0" w:space="0" w:color="auto"/>
          </w:divBdr>
          <w:divsChild>
            <w:div w:id="922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235">
      <w:bodyDiv w:val="1"/>
      <w:marLeft w:val="0"/>
      <w:marRight w:val="0"/>
      <w:marTop w:val="0"/>
      <w:marBottom w:val="0"/>
      <w:divBdr>
        <w:top w:val="none" w:sz="0" w:space="0" w:color="auto"/>
        <w:left w:val="none" w:sz="0" w:space="0" w:color="auto"/>
        <w:bottom w:val="none" w:sz="0" w:space="0" w:color="auto"/>
        <w:right w:val="none" w:sz="0" w:space="0" w:color="auto"/>
      </w:divBdr>
      <w:divsChild>
        <w:div w:id="1396977928">
          <w:marLeft w:val="480"/>
          <w:marRight w:val="0"/>
          <w:marTop w:val="0"/>
          <w:marBottom w:val="0"/>
          <w:divBdr>
            <w:top w:val="none" w:sz="0" w:space="0" w:color="auto"/>
            <w:left w:val="none" w:sz="0" w:space="0" w:color="auto"/>
            <w:bottom w:val="none" w:sz="0" w:space="0" w:color="auto"/>
            <w:right w:val="none" w:sz="0" w:space="0" w:color="auto"/>
          </w:divBdr>
          <w:divsChild>
            <w:div w:id="76364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7603">
      <w:bodyDiv w:val="1"/>
      <w:marLeft w:val="0"/>
      <w:marRight w:val="0"/>
      <w:marTop w:val="0"/>
      <w:marBottom w:val="0"/>
      <w:divBdr>
        <w:top w:val="none" w:sz="0" w:space="0" w:color="auto"/>
        <w:left w:val="none" w:sz="0" w:space="0" w:color="auto"/>
        <w:bottom w:val="none" w:sz="0" w:space="0" w:color="auto"/>
        <w:right w:val="none" w:sz="0" w:space="0" w:color="auto"/>
      </w:divBdr>
      <w:divsChild>
        <w:div w:id="1623876195">
          <w:marLeft w:val="480"/>
          <w:marRight w:val="0"/>
          <w:marTop w:val="0"/>
          <w:marBottom w:val="0"/>
          <w:divBdr>
            <w:top w:val="none" w:sz="0" w:space="0" w:color="auto"/>
            <w:left w:val="none" w:sz="0" w:space="0" w:color="auto"/>
            <w:bottom w:val="none" w:sz="0" w:space="0" w:color="auto"/>
            <w:right w:val="none" w:sz="0" w:space="0" w:color="auto"/>
          </w:divBdr>
          <w:divsChild>
            <w:div w:id="7118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431">
      <w:bodyDiv w:val="1"/>
      <w:marLeft w:val="0"/>
      <w:marRight w:val="0"/>
      <w:marTop w:val="0"/>
      <w:marBottom w:val="0"/>
      <w:divBdr>
        <w:top w:val="none" w:sz="0" w:space="0" w:color="auto"/>
        <w:left w:val="none" w:sz="0" w:space="0" w:color="auto"/>
        <w:bottom w:val="none" w:sz="0" w:space="0" w:color="auto"/>
        <w:right w:val="none" w:sz="0" w:space="0" w:color="auto"/>
      </w:divBdr>
      <w:divsChild>
        <w:div w:id="742793686">
          <w:marLeft w:val="0"/>
          <w:marRight w:val="0"/>
          <w:marTop w:val="0"/>
          <w:marBottom w:val="0"/>
          <w:divBdr>
            <w:top w:val="none" w:sz="0" w:space="0" w:color="auto"/>
            <w:left w:val="none" w:sz="0" w:space="0" w:color="auto"/>
            <w:bottom w:val="none" w:sz="0" w:space="0" w:color="auto"/>
            <w:right w:val="none" w:sz="0" w:space="0" w:color="auto"/>
          </w:divBdr>
        </w:div>
        <w:div w:id="805316863">
          <w:marLeft w:val="0"/>
          <w:marRight w:val="0"/>
          <w:marTop w:val="0"/>
          <w:marBottom w:val="0"/>
          <w:divBdr>
            <w:top w:val="none" w:sz="0" w:space="0" w:color="auto"/>
            <w:left w:val="none" w:sz="0" w:space="0" w:color="auto"/>
            <w:bottom w:val="none" w:sz="0" w:space="0" w:color="auto"/>
            <w:right w:val="none" w:sz="0" w:space="0" w:color="auto"/>
          </w:divBdr>
        </w:div>
        <w:div w:id="1118716327">
          <w:marLeft w:val="0"/>
          <w:marRight w:val="0"/>
          <w:marTop w:val="0"/>
          <w:marBottom w:val="0"/>
          <w:divBdr>
            <w:top w:val="none" w:sz="0" w:space="0" w:color="auto"/>
            <w:left w:val="none" w:sz="0" w:space="0" w:color="auto"/>
            <w:bottom w:val="none" w:sz="0" w:space="0" w:color="auto"/>
            <w:right w:val="none" w:sz="0" w:space="0" w:color="auto"/>
          </w:divBdr>
        </w:div>
        <w:div w:id="1124419099">
          <w:marLeft w:val="0"/>
          <w:marRight w:val="0"/>
          <w:marTop w:val="0"/>
          <w:marBottom w:val="0"/>
          <w:divBdr>
            <w:top w:val="none" w:sz="0" w:space="0" w:color="auto"/>
            <w:left w:val="none" w:sz="0" w:space="0" w:color="auto"/>
            <w:bottom w:val="none" w:sz="0" w:space="0" w:color="auto"/>
            <w:right w:val="none" w:sz="0" w:space="0" w:color="auto"/>
          </w:divBdr>
        </w:div>
      </w:divsChild>
    </w:div>
    <w:div w:id="469589839">
      <w:bodyDiv w:val="1"/>
      <w:marLeft w:val="0"/>
      <w:marRight w:val="0"/>
      <w:marTop w:val="0"/>
      <w:marBottom w:val="0"/>
      <w:divBdr>
        <w:top w:val="none" w:sz="0" w:space="0" w:color="auto"/>
        <w:left w:val="none" w:sz="0" w:space="0" w:color="auto"/>
        <w:bottom w:val="none" w:sz="0" w:space="0" w:color="auto"/>
        <w:right w:val="none" w:sz="0" w:space="0" w:color="auto"/>
      </w:divBdr>
      <w:divsChild>
        <w:div w:id="524825501">
          <w:marLeft w:val="480"/>
          <w:marRight w:val="0"/>
          <w:marTop w:val="0"/>
          <w:marBottom w:val="0"/>
          <w:divBdr>
            <w:top w:val="none" w:sz="0" w:space="0" w:color="auto"/>
            <w:left w:val="none" w:sz="0" w:space="0" w:color="auto"/>
            <w:bottom w:val="none" w:sz="0" w:space="0" w:color="auto"/>
            <w:right w:val="none" w:sz="0" w:space="0" w:color="auto"/>
          </w:divBdr>
          <w:divsChild>
            <w:div w:id="13875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6093">
      <w:bodyDiv w:val="1"/>
      <w:marLeft w:val="0"/>
      <w:marRight w:val="0"/>
      <w:marTop w:val="0"/>
      <w:marBottom w:val="0"/>
      <w:divBdr>
        <w:top w:val="none" w:sz="0" w:space="0" w:color="auto"/>
        <w:left w:val="none" w:sz="0" w:space="0" w:color="auto"/>
        <w:bottom w:val="none" w:sz="0" w:space="0" w:color="auto"/>
        <w:right w:val="none" w:sz="0" w:space="0" w:color="auto"/>
      </w:divBdr>
    </w:div>
    <w:div w:id="491602231">
      <w:bodyDiv w:val="1"/>
      <w:marLeft w:val="0"/>
      <w:marRight w:val="0"/>
      <w:marTop w:val="0"/>
      <w:marBottom w:val="0"/>
      <w:divBdr>
        <w:top w:val="none" w:sz="0" w:space="0" w:color="auto"/>
        <w:left w:val="none" w:sz="0" w:space="0" w:color="auto"/>
        <w:bottom w:val="none" w:sz="0" w:space="0" w:color="auto"/>
        <w:right w:val="none" w:sz="0" w:space="0" w:color="auto"/>
      </w:divBdr>
      <w:divsChild>
        <w:div w:id="1376615677">
          <w:marLeft w:val="480"/>
          <w:marRight w:val="0"/>
          <w:marTop w:val="0"/>
          <w:marBottom w:val="0"/>
          <w:divBdr>
            <w:top w:val="none" w:sz="0" w:space="0" w:color="auto"/>
            <w:left w:val="none" w:sz="0" w:space="0" w:color="auto"/>
            <w:bottom w:val="none" w:sz="0" w:space="0" w:color="auto"/>
            <w:right w:val="none" w:sz="0" w:space="0" w:color="auto"/>
          </w:divBdr>
          <w:divsChild>
            <w:div w:id="669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4467">
      <w:bodyDiv w:val="1"/>
      <w:marLeft w:val="0"/>
      <w:marRight w:val="0"/>
      <w:marTop w:val="0"/>
      <w:marBottom w:val="0"/>
      <w:divBdr>
        <w:top w:val="none" w:sz="0" w:space="0" w:color="auto"/>
        <w:left w:val="none" w:sz="0" w:space="0" w:color="auto"/>
        <w:bottom w:val="none" w:sz="0" w:space="0" w:color="auto"/>
        <w:right w:val="none" w:sz="0" w:space="0" w:color="auto"/>
      </w:divBdr>
      <w:divsChild>
        <w:div w:id="652031114">
          <w:marLeft w:val="0"/>
          <w:marRight w:val="0"/>
          <w:marTop w:val="0"/>
          <w:marBottom w:val="0"/>
          <w:divBdr>
            <w:top w:val="none" w:sz="0" w:space="0" w:color="auto"/>
            <w:left w:val="none" w:sz="0" w:space="0" w:color="auto"/>
            <w:bottom w:val="none" w:sz="0" w:space="0" w:color="auto"/>
            <w:right w:val="none" w:sz="0" w:space="0" w:color="auto"/>
          </w:divBdr>
        </w:div>
        <w:div w:id="786386201">
          <w:marLeft w:val="0"/>
          <w:marRight w:val="0"/>
          <w:marTop w:val="0"/>
          <w:marBottom w:val="0"/>
          <w:divBdr>
            <w:top w:val="none" w:sz="0" w:space="0" w:color="auto"/>
            <w:left w:val="none" w:sz="0" w:space="0" w:color="auto"/>
            <w:bottom w:val="none" w:sz="0" w:space="0" w:color="auto"/>
            <w:right w:val="none" w:sz="0" w:space="0" w:color="auto"/>
          </w:divBdr>
        </w:div>
        <w:div w:id="1694845417">
          <w:marLeft w:val="0"/>
          <w:marRight w:val="0"/>
          <w:marTop w:val="0"/>
          <w:marBottom w:val="0"/>
          <w:divBdr>
            <w:top w:val="none" w:sz="0" w:space="0" w:color="auto"/>
            <w:left w:val="none" w:sz="0" w:space="0" w:color="auto"/>
            <w:bottom w:val="none" w:sz="0" w:space="0" w:color="auto"/>
            <w:right w:val="none" w:sz="0" w:space="0" w:color="auto"/>
          </w:divBdr>
        </w:div>
      </w:divsChild>
    </w:div>
    <w:div w:id="551889325">
      <w:bodyDiv w:val="1"/>
      <w:marLeft w:val="0"/>
      <w:marRight w:val="0"/>
      <w:marTop w:val="0"/>
      <w:marBottom w:val="0"/>
      <w:divBdr>
        <w:top w:val="none" w:sz="0" w:space="0" w:color="auto"/>
        <w:left w:val="none" w:sz="0" w:space="0" w:color="auto"/>
        <w:bottom w:val="none" w:sz="0" w:space="0" w:color="auto"/>
        <w:right w:val="none" w:sz="0" w:space="0" w:color="auto"/>
      </w:divBdr>
      <w:divsChild>
        <w:div w:id="1482230055">
          <w:marLeft w:val="480"/>
          <w:marRight w:val="0"/>
          <w:marTop w:val="0"/>
          <w:marBottom w:val="0"/>
          <w:divBdr>
            <w:top w:val="none" w:sz="0" w:space="0" w:color="auto"/>
            <w:left w:val="none" w:sz="0" w:space="0" w:color="auto"/>
            <w:bottom w:val="none" w:sz="0" w:space="0" w:color="auto"/>
            <w:right w:val="none" w:sz="0" w:space="0" w:color="auto"/>
          </w:divBdr>
          <w:divsChild>
            <w:div w:id="21091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6876">
      <w:bodyDiv w:val="1"/>
      <w:marLeft w:val="0"/>
      <w:marRight w:val="0"/>
      <w:marTop w:val="0"/>
      <w:marBottom w:val="0"/>
      <w:divBdr>
        <w:top w:val="none" w:sz="0" w:space="0" w:color="auto"/>
        <w:left w:val="none" w:sz="0" w:space="0" w:color="auto"/>
        <w:bottom w:val="none" w:sz="0" w:space="0" w:color="auto"/>
        <w:right w:val="none" w:sz="0" w:space="0" w:color="auto"/>
      </w:divBdr>
    </w:div>
    <w:div w:id="618101761">
      <w:bodyDiv w:val="1"/>
      <w:marLeft w:val="0"/>
      <w:marRight w:val="0"/>
      <w:marTop w:val="0"/>
      <w:marBottom w:val="0"/>
      <w:divBdr>
        <w:top w:val="none" w:sz="0" w:space="0" w:color="auto"/>
        <w:left w:val="none" w:sz="0" w:space="0" w:color="auto"/>
        <w:bottom w:val="none" w:sz="0" w:space="0" w:color="auto"/>
        <w:right w:val="none" w:sz="0" w:space="0" w:color="auto"/>
      </w:divBdr>
      <w:divsChild>
        <w:div w:id="1004936325">
          <w:marLeft w:val="480"/>
          <w:marRight w:val="0"/>
          <w:marTop w:val="0"/>
          <w:marBottom w:val="0"/>
          <w:divBdr>
            <w:top w:val="none" w:sz="0" w:space="0" w:color="auto"/>
            <w:left w:val="none" w:sz="0" w:space="0" w:color="auto"/>
            <w:bottom w:val="none" w:sz="0" w:space="0" w:color="auto"/>
            <w:right w:val="none" w:sz="0" w:space="0" w:color="auto"/>
          </w:divBdr>
          <w:divsChild>
            <w:div w:id="13647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255">
      <w:bodyDiv w:val="1"/>
      <w:marLeft w:val="0"/>
      <w:marRight w:val="0"/>
      <w:marTop w:val="0"/>
      <w:marBottom w:val="0"/>
      <w:divBdr>
        <w:top w:val="none" w:sz="0" w:space="0" w:color="auto"/>
        <w:left w:val="none" w:sz="0" w:space="0" w:color="auto"/>
        <w:bottom w:val="none" w:sz="0" w:space="0" w:color="auto"/>
        <w:right w:val="none" w:sz="0" w:space="0" w:color="auto"/>
      </w:divBdr>
    </w:div>
    <w:div w:id="706221275">
      <w:bodyDiv w:val="1"/>
      <w:marLeft w:val="0"/>
      <w:marRight w:val="0"/>
      <w:marTop w:val="0"/>
      <w:marBottom w:val="0"/>
      <w:divBdr>
        <w:top w:val="none" w:sz="0" w:space="0" w:color="auto"/>
        <w:left w:val="none" w:sz="0" w:space="0" w:color="auto"/>
        <w:bottom w:val="none" w:sz="0" w:space="0" w:color="auto"/>
        <w:right w:val="none" w:sz="0" w:space="0" w:color="auto"/>
      </w:divBdr>
      <w:divsChild>
        <w:div w:id="1691225403">
          <w:marLeft w:val="480"/>
          <w:marRight w:val="0"/>
          <w:marTop w:val="0"/>
          <w:marBottom w:val="0"/>
          <w:divBdr>
            <w:top w:val="none" w:sz="0" w:space="0" w:color="auto"/>
            <w:left w:val="none" w:sz="0" w:space="0" w:color="auto"/>
            <w:bottom w:val="none" w:sz="0" w:space="0" w:color="auto"/>
            <w:right w:val="none" w:sz="0" w:space="0" w:color="auto"/>
          </w:divBdr>
          <w:divsChild>
            <w:div w:id="10033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1800">
      <w:bodyDiv w:val="1"/>
      <w:marLeft w:val="0"/>
      <w:marRight w:val="0"/>
      <w:marTop w:val="0"/>
      <w:marBottom w:val="0"/>
      <w:divBdr>
        <w:top w:val="none" w:sz="0" w:space="0" w:color="auto"/>
        <w:left w:val="none" w:sz="0" w:space="0" w:color="auto"/>
        <w:bottom w:val="none" w:sz="0" w:space="0" w:color="auto"/>
        <w:right w:val="none" w:sz="0" w:space="0" w:color="auto"/>
      </w:divBdr>
      <w:divsChild>
        <w:div w:id="735052464">
          <w:marLeft w:val="480"/>
          <w:marRight w:val="0"/>
          <w:marTop w:val="0"/>
          <w:marBottom w:val="0"/>
          <w:divBdr>
            <w:top w:val="none" w:sz="0" w:space="0" w:color="auto"/>
            <w:left w:val="none" w:sz="0" w:space="0" w:color="auto"/>
            <w:bottom w:val="none" w:sz="0" w:space="0" w:color="auto"/>
            <w:right w:val="none" w:sz="0" w:space="0" w:color="auto"/>
          </w:divBdr>
          <w:divsChild>
            <w:div w:id="119619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665000">
      <w:bodyDiv w:val="1"/>
      <w:marLeft w:val="0"/>
      <w:marRight w:val="0"/>
      <w:marTop w:val="0"/>
      <w:marBottom w:val="0"/>
      <w:divBdr>
        <w:top w:val="none" w:sz="0" w:space="0" w:color="auto"/>
        <w:left w:val="none" w:sz="0" w:space="0" w:color="auto"/>
        <w:bottom w:val="none" w:sz="0" w:space="0" w:color="auto"/>
        <w:right w:val="none" w:sz="0" w:space="0" w:color="auto"/>
      </w:divBdr>
      <w:divsChild>
        <w:div w:id="1010837761">
          <w:marLeft w:val="480"/>
          <w:marRight w:val="0"/>
          <w:marTop w:val="0"/>
          <w:marBottom w:val="0"/>
          <w:divBdr>
            <w:top w:val="none" w:sz="0" w:space="0" w:color="auto"/>
            <w:left w:val="none" w:sz="0" w:space="0" w:color="auto"/>
            <w:bottom w:val="none" w:sz="0" w:space="0" w:color="auto"/>
            <w:right w:val="none" w:sz="0" w:space="0" w:color="auto"/>
          </w:divBdr>
          <w:divsChild>
            <w:div w:id="10759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441">
      <w:bodyDiv w:val="1"/>
      <w:marLeft w:val="0"/>
      <w:marRight w:val="0"/>
      <w:marTop w:val="0"/>
      <w:marBottom w:val="0"/>
      <w:divBdr>
        <w:top w:val="none" w:sz="0" w:space="0" w:color="auto"/>
        <w:left w:val="none" w:sz="0" w:space="0" w:color="auto"/>
        <w:bottom w:val="none" w:sz="0" w:space="0" w:color="auto"/>
        <w:right w:val="none" w:sz="0" w:space="0" w:color="auto"/>
      </w:divBdr>
      <w:divsChild>
        <w:div w:id="179592730">
          <w:marLeft w:val="480"/>
          <w:marRight w:val="0"/>
          <w:marTop w:val="0"/>
          <w:marBottom w:val="0"/>
          <w:divBdr>
            <w:top w:val="none" w:sz="0" w:space="0" w:color="auto"/>
            <w:left w:val="none" w:sz="0" w:space="0" w:color="auto"/>
            <w:bottom w:val="none" w:sz="0" w:space="0" w:color="auto"/>
            <w:right w:val="none" w:sz="0" w:space="0" w:color="auto"/>
          </w:divBdr>
          <w:divsChild>
            <w:div w:id="20618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225">
      <w:bodyDiv w:val="1"/>
      <w:marLeft w:val="0"/>
      <w:marRight w:val="0"/>
      <w:marTop w:val="0"/>
      <w:marBottom w:val="0"/>
      <w:divBdr>
        <w:top w:val="none" w:sz="0" w:space="0" w:color="auto"/>
        <w:left w:val="none" w:sz="0" w:space="0" w:color="auto"/>
        <w:bottom w:val="none" w:sz="0" w:space="0" w:color="auto"/>
        <w:right w:val="none" w:sz="0" w:space="0" w:color="auto"/>
      </w:divBdr>
    </w:div>
    <w:div w:id="927619608">
      <w:bodyDiv w:val="1"/>
      <w:marLeft w:val="0"/>
      <w:marRight w:val="0"/>
      <w:marTop w:val="0"/>
      <w:marBottom w:val="0"/>
      <w:divBdr>
        <w:top w:val="none" w:sz="0" w:space="0" w:color="auto"/>
        <w:left w:val="none" w:sz="0" w:space="0" w:color="auto"/>
        <w:bottom w:val="none" w:sz="0" w:space="0" w:color="auto"/>
        <w:right w:val="none" w:sz="0" w:space="0" w:color="auto"/>
      </w:divBdr>
      <w:divsChild>
        <w:div w:id="1178889125">
          <w:marLeft w:val="720"/>
          <w:marRight w:val="0"/>
          <w:marTop w:val="400"/>
          <w:marBottom w:val="0"/>
          <w:divBdr>
            <w:top w:val="none" w:sz="0" w:space="0" w:color="auto"/>
            <w:left w:val="none" w:sz="0" w:space="0" w:color="auto"/>
            <w:bottom w:val="none" w:sz="0" w:space="0" w:color="auto"/>
            <w:right w:val="none" w:sz="0" w:space="0" w:color="auto"/>
          </w:divBdr>
        </w:div>
      </w:divsChild>
    </w:div>
    <w:div w:id="931398102">
      <w:bodyDiv w:val="1"/>
      <w:marLeft w:val="0"/>
      <w:marRight w:val="0"/>
      <w:marTop w:val="0"/>
      <w:marBottom w:val="0"/>
      <w:divBdr>
        <w:top w:val="none" w:sz="0" w:space="0" w:color="auto"/>
        <w:left w:val="none" w:sz="0" w:space="0" w:color="auto"/>
        <w:bottom w:val="none" w:sz="0" w:space="0" w:color="auto"/>
        <w:right w:val="none" w:sz="0" w:space="0" w:color="auto"/>
      </w:divBdr>
      <w:divsChild>
        <w:div w:id="475100269">
          <w:marLeft w:val="480"/>
          <w:marRight w:val="0"/>
          <w:marTop w:val="0"/>
          <w:marBottom w:val="0"/>
          <w:divBdr>
            <w:top w:val="none" w:sz="0" w:space="0" w:color="auto"/>
            <w:left w:val="none" w:sz="0" w:space="0" w:color="auto"/>
            <w:bottom w:val="none" w:sz="0" w:space="0" w:color="auto"/>
            <w:right w:val="none" w:sz="0" w:space="0" w:color="auto"/>
          </w:divBdr>
          <w:divsChild>
            <w:div w:id="7974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726">
      <w:bodyDiv w:val="1"/>
      <w:marLeft w:val="0"/>
      <w:marRight w:val="0"/>
      <w:marTop w:val="0"/>
      <w:marBottom w:val="0"/>
      <w:divBdr>
        <w:top w:val="none" w:sz="0" w:space="0" w:color="auto"/>
        <w:left w:val="none" w:sz="0" w:space="0" w:color="auto"/>
        <w:bottom w:val="none" w:sz="0" w:space="0" w:color="auto"/>
        <w:right w:val="none" w:sz="0" w:space="0" w:color="auto"/>
      </w:divBdr>
      <w:divsChild>
        <w:div w:id="859705534">
          <w:marLeft w:val="0"/>
          <w:marRight w:val="0"/>
          <w:marTop w:val="0"/>
          <w:marBottom w:val="0"/>
          <w:divBdr>
            <w:top w:val="none" w:sz="0" w:space="0" w:color="auto"/>
            <w:left w:val="none" w:sz="0" w:space="0" w:color="auto"/>
            <w:bottom w:val="none" w:sz="0" w:space="0" w:color="auto"/>
            <w:right w:val="none" w:sz="0" w:space="0" w:color="auto"/>
          </w:divBdr>
        </w:div>
        <w:div w:id="1143158372">
          <w:marLeft w:val="0"/>
          <w:marRight w:val="0"/>
          <w:marTop w:val="0"/>
          <w:marBottom w:val="0"/>
          <w:divBdr>
            <w:top w:val="none" w:sz="0" w:space="0" w:color="auto"/>
            <w:left w:val="none" w:sz="0" w:space="0" w:color="auto"/>
            <w:bottom w:val="none" w:sz="0" w:space="0" w:color="auto"/>
            <w:right w:val="none" w:sz="0" w:space="0" w:color="auto"/>
          </w:divBdr>
        </w:div>
      </w:divsChild>
    </w:div>
    <w:div w:id="1029840897">
      <w:bodyDiv w:val="1"/>
      <w:marLeft w:val="0"/>
      <w:marRight w:val="0"/>
      <w:marTop w:val="0"/>
      <w:marBottom w:val="0"/>
      <w:divBdr>
        <w:top w:val="none" w:sz="0" w:space="0" w:color="auto"/>
        <w:left w:val="none" w:sz="0" w:space="0" w:color="auto"/>
        <w:bottom w:val="none" w:sz="0" w:space="0" w:color="auto"/>
        <w:right w:val="none" w:sz="0" w:space="0" w:color="auto"/>
      </w:divBdr>
      <w:divsChild>
        <w:div w:id="35590157">
          <w:marLeft w:val="480"/>
          <w:marRight w:val="0"/>
          <w:marTop w:val="0"/>
          <w:marBottom w:val="0"/>
          <w:divBdr>
            <w:top w:val="none" w:sz="0" w:space="0" w:color="auto"/>
            <w:left w:val="none" w:sz="0" w:space="0" w:color="auto"/>
            <w:bottom w:val="none" w:sz="0" w:space="0" w:color="auto"/>
            <w:right w:val="none" w:sz="0" w:space="0" w:color="auto"/>
          </w:divBdr>
          <w:divsChild>
            <w:div w:id="13905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4171">
      <w:bodyDiv w:val="1"/>
      <w:marLeft w:val="0"/>
      <w:marRight w:val="0"/>
      <w:marTop w:val="0"/>
      <w:marBottom w:val="0"/>
      <w:divBdr>
        <w:top w:val="none" w:sz="0" w:space="0" w:color="auto"/>
        <w:left w:val="none" w:sz="0" w:space="0" w:color="auto"/>
        <w:bottom w:val="none" w:sz="0" w:space="0" w:color="auto"/>
        <w:right w:val="none" w:sz="0" w:space="0" w:color="auto"/>
      </w:divBdr>
    </w:div>
    <w:div w:id="1118791610">
      <w:bodyDiv w:val="1"/>
      <w:marLeft w:val="0"/>
      <w:marRight w:val="0"/>
      <w:marTop w:val="0"/>
      <w:marBottom w:val="0"/>
      <w:divBdr>
        <w:top w:val="none" w:sz="0" w:space="0" w:color="auto"/>
        <w:left w:val="none" w:sz="0" w:space="0" w:color="auto"/>
        <w:bottom w:val="none" w:sz="0" w:space="0" w:color="auto"/>
        <w:right w:val="none" w:sz="0" w:space="0" w:color="auto"/>
      </w:divBdr>
      <w:divsChild>
        <w:div w:id="1382168425">
          <w:marLeft w:val="480"/>
          <w:marRight w:val="0"/>
          <w:marTop w:val="0"/>
          <w:marBottom w:val="0"/>
          <w:divBdr>
            <w:top w:val="none" w:sz="0" w:space="0" w:color="auto"/>
            <w:left w:val="none" w:sz="0" w:space="0" w:color="auto"/>
            <w:bottom w:val="none" w:sz="0" w:space="0" w:color="auto"/>
            <w:right w:val="none" w:sz="0" w:space="0" w:color="auto"/>
          </w:divBdr>
          <w:divsChild>
            <w:div w:id="172471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8553">
      <w:bodyDiv w:val="1"/>
      <w:marLeft w:val="0"/>
      <w:marRight w:val="0"/>
      <w:marTop w:val="0"/>
      <w:marBottom w:val="0"/>
      <w:divBdr>
        <w:top w:val="none" w:sz="0" w:space="0" w:color="auto"/>
        <w:left w:val="none" w:sz="0" w:space="0" w:color="auto"/>
        <w:bottom w:val="none" w:sz="0" w:space="0" w:color="auto"/>
        <w:right w:val="none" w:sz="0" w:space="0" w:color="auto"/>
      </w:divBdr>
      <w:divsChild>
        <w:div w:id="1540390546">
          <w:marLeft w:val="480"/>
          <w:marRight w:val="0"/>
          <w:marTop w:val="0"/>
          <w:marBottom w:val="0"/>
          <w:divBdr>
            <w:top w:val="none" w:sz="0" w:space="0" w:color="auto"/>
            <w:left w:val="none" w:sz="0" w:space="0" w:color="auto"/>
            <w:bottom w:val="none" w:sz="0" w:space="0" w:color="auto"/>
            <w:right w:val="none" w:sz="0" w:space="0" w:color="auto"/>
          </w:divBdr>
          <w:divsChild>
            <w:div w:id="9419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6151">
      <w:bodyDiv w:val="1"/>
      <w:marLeft w:val="0"/>
      <w:marRight w:val="0"/>
      <w:marTop w:val="0"/>
      <w:marBottom w:val="0"/>
      <w:divBdr>
        <w:top w:val="none" w:sz="0" w:space="0" w:color="auto"/>
        <w:left w:val="none" w:sz="0" w:space="0" w:color="auto"/>
        <w:bottom w:val="none" w:sz="0" w:space="0" w:color="auto"/>
        <w:right w:val="none" w:sz="0" w:space="0" w:color="auto"/>
      </w:divBdr>
    </w:div>
    <w:div w:id="1200049518">
      <w:bodyDiv w:val="1"/>
      <w:marLeft w:val="0"/>
      <w:marRight w:val="0"/>
      <w:marTop w:val="0"/>
      <w:marBottom w:val="0"/>
      <w:divBdr>
        <w:top w:val="none" w:sz="0" w:space="0" w:color="auto"/>
        <w:left w:val="none" w:sz="0" w:space="0" w:color="auto"/>
        <w:bottom w:val="none" w:sz="0" w:space="0" w:color="auto"/>
        <w:right w:val="none" w:sz="0" w:space="0" w:color="auto"/>
      </w:divBdr>
      <w:divsChild>
        <w:div w:id="1068460728">
          <w:marLeft w:val="480"/>
          <w:marRight w:val="0"/>
          <w:marTop w:val="0"/>
          <w:marBottom w:val="0"/>
          <w:divBdr>
            <w:top w:val="none" w:sz="0" w:space="0" w:color="auto"/>
            <w:left w:val="none" w:sz="0" w:space="0" w:color="auto"/>
            <w:bottom w:val="none" w:sz="0" w:space="0" w:color="auto"/>
            <w:right w:val="none" w:sz="0" w:space="0" w:color="auto"/>
          </w:divBdr>
          <w:divsChild>
            <w:div w:id="20476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04142">
      <w:bodyDiv w:val="1"/>
      <w:marLeft w:val="0"/>
      <w:marRight w:val="0"/>
      <w:marTop w:val="0"/>
      <w:marBottom w:val="0"/>
      <w:divBdr>
        <w:top w:val="none" w:sz="0" w:space="0" w:color="auto"/>
        <w:left w:val="none" w:sz="0" w:space="0" w:color="auto"/>
        <w:bottom w:val="none" w:sz="0" w:space="0" w:color="auto"/>
        <w:right w:val="none" w:sz="0" w:space="0" w:color="auto"/>
      </w:divBdr>
      <w:divsChild>
        <w:div w:id="1905681700">
          <w:marLeft w:val="480"/>
          <w:marRight w:val="0"/>
          <w:marTop w:val="0"/>
          <w:marBottom w:val="0"/>
          <w:divBdr>
            <w:top w:val="none" w:sz="0" w:space="0" w:color="auto"/>
            <w:left w:val="none" w:sz="0" w:space="0" w:color="auto"/>
            <w:bottom w:val="none" w:sz="0" w:space="0" w:color="auto"/>
            <w:right w:val="none" w:sz="0" w:space="0" w:color="auto"/>
          </w:divBdr>
          <w:divsChild>
            <w:div w:id="601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78970">
      <w:bodyDiv w:val="1"/>
      <w:marLeft w:val="0"/>
      <w:marRight w:val="0"/>
      <w:marTop w:val="0"/>
      <w:marBottom w:val="0"/>
      <w:divBdr>
        <w:top w:val="none" w:sz="0" w:space="0" w:color="auto"/>
        <w:left w:val="none" w:sz="0" w:space="0" w:color="auto"/>
        <w:bottom w:val="none" w:sz="0" w:space="0" w:color="auto"/>
        <w:right w:val="none" w:sz="0" w:space="0" w:color="auto"/>
      </w:divBdr>
      <w:divsChild>
        <w:div w:id="837386214">
          <w:marLeft w:val="480"/>
          <w:marRight w:val="0"/>
          <w:marTop w:val="0"/>
          <w:marBottom w:val="0"/>
          <w:divBdr>
            <w:top w:val="none" w:sz="0" w:space="0" w:color="auto"/>
            <w:left w:val="none" w:sz="0" w:space="0" w:color="auto"/>
            <w:bottom w:val="none" w:sz="0" w:space="0" w:color="auto"/>
            <w:right w:val="none" w:sz="0" w:space="0" w:color="auto"/>
          </w:divBdr>
          <w:divsChild>
            <w:div w:id="1615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6541">
      <w:bodyDiv w:val="1"/>
      <w:marLeft w:val="0"/>
      <w:marRight w:val="0"/>
      <w:marTop w:val="0"/>
      <w:marBottom w:val="0"/>
      <w:divBdr>
        <w:top w:val="none" w:sz="0" w:space="0" w:color="auto"/>
        <w:left w:val="none" w:sz="0" w:space="0" w:color="auto"/>
        <w:bottom w:val="none" w:sz="0" w:space="0" w:color="auto"/>
        <w:right w:val="none" w:sz="0" w:space="0" w:color="auto"/>
      </w:divBdr>
      <w:divsChild>
        <w:div w:id="2136285742">
          <w:marLeft w:val="720"/>
          <w:marRight w:val="0"/>
          <w:marTop w:val="400"/>
          <w:marBottom w:val="0"/>
          <w:divBdr>
            <w:top w:val="none" w:sz="0" w:space="0" w:color="auto"/>
            <w:left w:val="none" w:sz="0" w:space="0" w:color="auto"/>
            <w:bottom w:val="none" w:sz="0" w:space="0" w:color="auto"/>
            <w:right w:val="none" w:sz="0" w:space="0" w:color="auto"/>
          </w:divBdr>
        </w:div>
        <w:div w:id="2138596184">
          <w:marLeft w:val="720"/>
          <w:marRight w:val="0"/>
          <w:marTop w:val="400"/>
          <w:marBottom w:val="0"/>
          <w:divBdr>
            <w:top w:val="none" w:sz="0" w:space="0" w:color="auto"/>
            <w:left w:val="none" w:sz="0" w:space="0" w:color="auto"/>
            <w:bottom w:val="none" w:sz="0" w:space="0" w:color="auto"/>
            <w:right w:val="none" w:sz="0" w:space="0" w:color="auto"/>
          </w:divBdr>
        </w:div>
      </w:divsChild>
    </w:div>
    <w:div w:id="1436825962">
      <w:bodyDiv w:val="1"/>
      <w:marLeft w:val="0"/>
      <w:marRight w:val="0"/>
      <w:marTop w:val="0"/>
      <w:marBottom w:val="0"/>
      <w:divBdr>
        <w:top w:val="none" w:sz="0" w:space="0" w:color="auto"/>
        <w:left w:val="none" w:sz="0" w:space="0" w:color="auto"/>
        <w:bottom w:val="none" w:sz="0" w:space="0" w:color="auto"/>
        <w:right w:val="none" w:sz="0" w:space="0" w:color="auto"/>
      </w:divBdr>
    </w:div>
    <w:div w:id="1566141800">
      <w:bodyDiv w:val="1"/>
      <w:marLeft w:val="0"/>
      <w:marRight w:val="0"/>
      <w:marTop w:val="0"/>
      <w:marBottom w:val="0"/>
      <w:divBdr>
        <w:top w:val="none" w:sz="0" w:space="0" w:color="auto"/>
        <w:left w:val="none" w:sz="0" w:space="0" w:color="auto"/>
        <w:bottom w:val="none" w:sz="0" w:space="0" w:color="auto"/>
        <w:right w:val="none" w:sz="0" w:space="0" w:color="auto"/>
      </w:divBdr>
      <w:divsChild>
        <w:div w:id="1801223533">
          <w:marLeft w:val="480"/>
          <w:marRight w:val="0"/>
          <w:marTop w:val="0"/>
          <w:marBottom w:val="0"/>
          <w:divBdr>
            <w:top w:val="none" w:sz="0" w:space="0" w:color="auto"/>
            <w:left w:val="none" w:sz="0" w:space="0" w:color="auto"/>
            <w:bottom w:val="none" w:sz="0" w:space="0" w:color="auto"/>
            <w:right w:val="none" w:sz="0" w:space="0" w:color="auto"/>
          </w:divBdr>
          <w:divsChild>
            <w:div w:id="3431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3485">
      <w:bodyDiv w:val="1"/>
      <w:marLeft w:val="0"/>
      <w:marRight w:val="0"/>
      <w:marTop w:val="0"/>
      <w:marBottom w:val="0"/>
      <w:divBdr>
        <w:top w:val="none" w:sz="0" w:space="0" w:color="auto"/>
        <w:left w:val="none" w:sz="0" w:space="0" w:color="auto"/>
        <w:bottom w:val="none" w:sz="0" w:space="0" w:color="auto"/>
        <w:right w:val="none" w:sz="0" w:space="0" w:color="auto"/>
      </w:divBdr>
    </w:div>
    <w:div w:id="1794595646">
      <w:bodyDiv w:val="1"/>
      <w:marLeft w:val="0"/>
      <w:marRight w:val="0"/>
      <w:marTop w:val="0"/>
      <w:marBottom w:val="0"/>
      <w:divBdr>
        <w:top w:val="none" w:sz="0" w:space="0" w:color="auto"/>
        <w:left w:val="none" w:sz="0" w:space="0" w:color="auto"/>
        <w:bottom w:val="none" w:sz="0" w:space="0" w:color="auto"/>
        <w:right w:val="none" w:sz="0" w:space="0" w:color="auto"/>
      </w:divBdr>
      <w:divsChild>
        <w:div w:id="1953516162">
          <w:marLeft w:val="480"/>
          <w:marRight w:val="0"/>
          <w:marTop w:val="0"/>
          <w:marBottom w:val="0"/>
          <w:divBdr>
            <w:top w:val="none" w:sz="0" w:space="0" w:color="auto"/>
            <w:left w:val="none" w:sz="0" w:space="0" w:color="auto"/>
            <w:bottom w:val="none" w:sz="0" w:space="0" w:color="auto"/>
            <w:right w:val="none" w:sz="0" w:space="0" w:color="auto"/>
          </w:divBdr>
          <w:divsChild>
            <w:div w:id="307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7064">
      <w:bodyDiv w:val="1"/>
      <w:marLeft w:val="0"/>
      <w:marRight w:val="0"/>
      <w:marTop w:val="0"/>
      <w:marBottom w:val="0"/>
      <w:divBdr>
        <w:top w:val="none" w:sz="0" w:space="0" w:color="auto"/>
        <w:left w:val="none" w:sz="0" w:space="0" w:color="auto"/>
        <w:bottom w:val="none" w:sz="0" w:space="0" w:color="auto"/>
        <w:right w:val="none" w:sz="0" w:space="0" w:color="auto"/>
      </w:divBdr>
      <w:divsChild>
        <w:div w:id="1147744776">
          <w:marLeft w:val="480"/>
          <w:marRight w:val="0"/>
          <w:marTop w:val="0"/>
          <w:marBottom w:val="0"/>
          <w:divBdr>
            <w:top w:val="none" w:sz="0" w:space="0" w:color="auto"/>
            <w:left w:val="none" w:sz="0" w:space="0" w:color="auto"/>
            <w:bottom w:val="none" w:sz="0" w:space="0" w:color="auto"/>
            <w:right w:val="none" w:sz="0" w:space="0" w:color="auto"/>
          </w:divBdr>
          <w:divsChild>
            <w:div w:id="4707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148">
      <w:bodyDiv w:val="1"/>
      <w:marLeft w:val="0"/>
      <w:marRight w:val="0"/>
      <w:marTop w:val="0"/>
      <w:marBottom w:val="0"/>
      <w:divBdr>
        <w:top w:val="none" w:sz="0" w:space="0" w:color="auto"/>
        <w:left w:val="none" w:sz="0" w:space="0" w:color="auto"/>
        <w:bottom w:val="none" w:sz="0" w:space="0" w:color="auto"/>
        <w:right w:val="none" w:sz="0" w:space="0" w:color="auto"/>
      </w:divBdr>
      <w:divsChild>
        <w:div w:id="1823421250">
          <w:marLeft w:val="0"/>
          <w:marRight w:val="0"/>
          <w:marTop w:val="0"/>
          <w:marBottom w:val="0"/>
          <w:divBdr>
            <w:top w:val="none" w:sz="0" w:space="0" w:color="auto"/>
            <w:left w:val="none" w:sz="0" w:space="0" w:color="auto"/>
            <w:bottom w:val="none" w:sz="0" w:space="0" w:color="auto"/>
            <w:right w:val="none" w:sz="0" w:space="0" w:color="auto"/>
          </w:divBdr>
        </w:div>
      </w:divsChild>
    </w:div>
    <w:div w:id="2044476518">
      <w:bodyDiv w:val="1"/>
      <w:marLeft w:val="0"/>
      <w:marRight w:val="0"/>
      <w:marTop w:val="0"/>
      <w:marBottom w:val="0"/>
      <w:divBdr>
        <w:top w:val="none" w:sz="0" w:space="0" w:color="auto"/>
        <w:left w:val="none" w:sz="0" w:space="0" w:color="auto"/>
        <w:bottom w:val="none" w:sz="0" w:space="0" w:color="auto"/>
        <w:right w:val="none" w:sz="0" w:space="0" w:color="auto"/>
      </w:divBdr>
      <w:divsChild>
        <w:div w:id="191000594">
          <w:marLeft w:val="480"/>
          <w:marRight w:val="0"/>
          <w:marTop w:val="0"/>
          <w:marBottom w:val="0"/>
          <w:divBdr>
            <w:top w:val="none" w:sz="0" w:space="0" w:color="auto"/>
            <w:left w:val="none" w:sz="0" w:space="0" w:color="auto"/>
            <w:bottom w:val="none" w:sz="0" w:space="0" w:color="auto"/>
            <w:right w:val="none" w:sz="0" w:space="0" w:color="auto"/>
          </w:divBdr>
          <w:divsChild>
            <w:div w:id="14425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3666">
      <w:bodyDiv w:val="1"/>
      <w:marLeft w:val="0"/>
      <w:marRight w:val="0"/>
      <w:marTop w:val="0"/>
      <w:marBottom w:val="0"/>
      <w:divBdr>
        <w:top w:val="none" w:sz="0" w:space="0" w:color="auto"/>
        <w:left w:val="none" w:sz="0" w:space="0" w:color="auto"/>
        <w:bottom w:val="none" w:sz="0" w:space="0" w:color="auto"/>
        <w:right w:val="none" w:sz="0" w:space="0" w:color="auto"/>
      </w:divBdr>
    </w:div>
    <w:div w:id="2107923063">
      <w:bodyDiv w:val="1"/>
      <w:marLeft w:val="0"/>
      <w:marRight w:val="0"/>
      <w:marTop w:val="0"/>
      <w:marBottom w:val="0"/>
      <w:divBdr>
        <w:top w:val="none" w:sz="0" w:space="0" w:color="auto"/>
        <w:left w:val="none" w:sz="0" w:space="0" w:color="auto"/>
        <w:bottom w:val="none" w:sz="0" w:space="0" w:color="auto"/>
        <w:right w:val="none" w:sz="0" w:space="0" w:color="auto"/>
      </w:divBdr>
      <w:divsChild>
        <w:div w:id="1550074601">
          <w:marLeft w:val="0"/>
          <w:marRight w:val="0"/>
          <w:marTop w:val="0"/>
          <w:marBottom w:val="0"/>
          <w:divBdr>
            <w:top w:val="none" w:sz="0" w:space="0" w:color="auto"/>
            <w:left w:val="none" w:sz="0" w:space="0" w:color="auto"/>
            <w:bottom w:val="none" w:sz="0" w:space="0" w:color="auto"/>
            <w:right w:val="none" w:sz="0" w:space="0" w:color="auto"/>
          </w:divBdr>
        </w:div>
      </w:divsChild>
    </w:div>
    <w:div w:id="21246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nPapers.repec.org/RePEc:has:lmbook: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budapestinstitute.eu"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Youth partnerSHIP">
      <a:dk1>
        <a:sysClr val="windowText" lastClr="000000"/>
      </a:dk1>
      <a:lt1>
        <a:sysClr val="window" lastClr="FFFFFF"/>
      </a:lt1>
      <a:dk2>
        <a:srgbClr val="595959"/>
      </a:dk2>
      <a:lt2>
        <a:srgbClr val="D8D8D8"/>
      </a:lt2>
      <a:accent1>
        <a:srgbClr val="B81639"/>
      </a:accent1>
      <a:accent2>
        <a:srgbClr val="780E25"/>
      </a:accent2>
      <a:accent3>
        <a:srgbClr val="380711"/>
      </a:accent3>
      <a:accent4>
        <a:srgbClr val="B81639"/>
      </a:accent4>
      <a:accent5>
        <a:srgbClr val="C4183D"/>
      </a:accent5>
      <a:accent6>
        <a:srgbClr val="9E1331"/>
      </a:accent6>
      <a:hlink>
        <a:srgbClr val="780E25"/>
      </a:hlink>
      <a:folHlink>
        <a:srgbClr val="380711"/>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D96A6-AFBF-4081-A03D-9F5748E5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4968</Words>
  <Characters>34286</Characters>
  <Application>Microsoft Office Word</Application>
  <DocSecurity>0</DocSecurity>
  <Lines>285</Lines>
  <Paragraphs>78</Paragraphs>
  <ScaleCrop>false</ScaleCrop>
  <HeadingPairs>
    <vt:vector size="6" baseType="variant">
      <vt:variant>
        <vt:lpstr>Title</vt:lpstr>
      </vt:variant>
      <vt:variant>
        <vt:i4>1</vt:i4>
      </vt:variant>
      <vt:variant>
        <vt:lpstr>Cím</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39176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Marton Csillag;Agota Scharle</dc:creator>
  <cp:lastModifiedBy>Lenovo</cp:lastModifiedBy>
  <cp:revision>2</cp:revision>
  <cp:lastPrinted>2021-02-26T08:58:00Z</cp:lastPrinted>
  <dcterms:created xsi:type="dcterms:W3CDTF">2021-10-20T14:11:00Z</dcterms:created>
  <dcterms:modified xsi:type="dcterms:W3CDTF">2021-10-20T14:11:00Z</dcterms:modified>
</cp:coreProperties>
</file>